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xlsx" ContentType="application/vnd.openxmlformats-officedocument.spreadsheetml.sheet"/>
  <Default Extension="rels" ContentType="application/vnd.openxmlformats-package.relationships+xml"/>
  <Default Extension="wdp" ContentType="image/vnd.ms-photo"/>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4.xml" ContentType="application/vnd.openxmlformats-officedocument.themeOverride+xml"/>
  <Override PartName="/word/charts/chart10.xml" ContentType="application/vnd.openxmlformats-officedocument.drawingml.chart+xml"/>
  <Override PartName="/word/theme/themeOverride5.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6.xml" ContentType="application/vnd.openxmlformats-officedocument.themeOverride+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theme/themeOverride8.xml" ContentType="application/vnd.openxmlformats-officedocument.themeOverride+xml"/>
  <Override PartName="/word/charts/chart15.xml" ContentType="application/vnd.openxmlformats-officedocument.drawingml.chart+xml"/>
  <Override PartName="/word/theme/themeOverride9.xml" ContentType="application/vnd.openxmlformats-officedocument.themeOverride+xml"/>
  <Override PartName="/word/charts/chart16.xml" ContentType="application/vnd.openxmlformats-officedocument.drawingml.chart+xml"/>
  <Override PartName="/word/theme/themeOverride10.xml" ContentType="application/vnd.openxmlformats-officedocument.themeOverride+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F853593" w14:textId="77777777" w:rsidR="00127DF2" w:rsidRPr="00DD7FD7" w:rsidRDefault="008D2047" w:rsidP="00711AB8">
      <w:pPr>
        <w:spacing w:before="240" w:after="0" w:line="360" w:lineRule="auto"/>
        <w:jc w:val="center"/>
        <w:rPr>
          <w:rFonts w:asciiTheme="majorHAnsi" w:hAnsiTheme="majorHAnsi"/>
          <w:b/>
          <w:sz w:val="38"/>
          <w:szCs w:val="38"/>
        </w:rPr>
      </w:pPr>
      <w:r w:rsidRPr="00DD7FD7">
        <w:rPr>
          <w:rFonts w:asciiTheme="majorHAnsi" w:hAnsiTheme="majorHAnsi"/>
          <w:b/>
          <w:sz w:val="38"/>
          <w:szCs w:val="38"/>
        </w:rPr>
        <w:t xml:space="preserve">Nanoskalige </w:t>
      </w:r>
      <w:r w:rsidR="00035EA0" w:rsidRPr="00DD7FD7">
        <w:rPr>
          <w:rFonts w:asciiTheme="majorHAnsi" w:hAnsiTheme="majorHAnsi"/>
          <w:b/>
          <w:sz w:val="38"/>
          <w:szCs w:val="38"/>
        </w:rPr>
        <w:t xml:space="preserve">biokompatible und bioabbaubare </w:t>
      </w:r>
      <w:r w:rsidR="00DD7FD7" w:rsidRPr="00DD7FD7">
        <w:rPr>
          <w:rFonts w:asciiTheme="majorHAnsi" w:hAnsiTheme="majorHAnsi"/>
          <w:b/>
          <w:sz w:val="38"/>
          <w:szCs w:val="38"/>
        </w:rPr>
        <w:t xml:space="preserve">     </w:t>
      </w:r>
      <w:r w:rsidR="00035EA0" w:rsidRPr="00DD7FD7">
        <w:rPr>
          <w:rFonts w:asciiTheme="majorHAnsi" w:hAnsiTheme="majorHAnsi"/>
          <w:b/>
          <w:sz w:val="38"/>
          <w:szCs w:val="38"/>
        </w:rPr>
        <w:t>polymere Arzneistoffträgersysteme</w:t>
      </w:r>
    </w:p>
    <w:p w14:paraId="446537BF" w14:textId="77777777" w:rsidR="00127DF2" w:rsidRPr="00DD7FD7" w:rsidRDefault="00035EA0" w:rsidP="00DD7FD7">
      <w:pPr>
        <w:spacing w:after="0" w:line="360" w:lineRule="auto"/>
        <w:jc w:val="center"/>
        <w:rPr>
          <w:rFonts w:asciiTheme="majorHAnsi" w:hAnsiTheme="majorHAnsi"/>
          <w:b/>
          <w:sz w:val="38"/>
          <w:szCs w:val="38"/>
        </w:rPr>
      </w:pPr>
      <w:r w:rsidRPr="00DD7FD7">
        <w:rPr>
          <w:rFonts w:asciiTheme="majorHAnsi" w:hAnsiTheme="majorHAnsi"/>
          <w:b/>
          <w:sz w:val="38"/>
          <w:szCs w:val="38"/>
        </w:rPr>
        <w:t>zu</w:t>
      </w:r>
      <w:r w:rsidR="007A25F4" w:rsidRPr="00DD7FD7">
        <w:rPr>
          <w:rFonts w:asciiTheme="majorHAnsi" w:hAnsiTheme="majorHAnsi"/>
          <w:b/>
          <w:sz w:val="38"/>
          <w:szCs w:val="38"/>
        </w:rPr>
        <w:t>r</w:t>
      </w:r>
      <w:r w:rsidRPr="00DD7FD7">
        <w:rPr>
          <w:rFonts w:asciiTheme="majorHAnsi" w:hAnsiTheme="majorHAnsi"/>
          <w:b/>
          <w:sz w:val="38"/>
          <w:szCs w:val="38"/>
        </w:rPr>
        <w:t xml:space="preserve"> Verbesser</w:t>
      </w:r>
      <w:r w:rsidR="00127DF2" w:rsidRPr="00DD7FD7">
        <w:rPr>
          <w:rFonts w:asciiTheme="majorHAnsi" w:hAnsiTheme="majorHAnsi"/>
          <w:b/>
          <w:sz w:val="38"/>
          <w:szCs w:val="38"/>
        </w:rPr>
        <w:t>ung der oralen Bioverfügbarkeit</w:t>
      </w:r>
    </w:p>
    <w:p w14:paraId="7A187113" w14:textId="77777777" w:rsidR="00322E64" w:rsidRPr="00DD7FD7" w:rsidRDefault="00035EA0" w:rsidP="00C97C4F">
      <w:pPr>
        <w:spacing w:after="600"/>
        <w:jc w:val="center"/>
        <w:rPr>
          <w:rFonts w:asciiTheme="majorHAnsi" w:hAnsiTheme="majorHAnsi"/>
          <w:b/>
          <w:sz w:val="38"/>
          <w:szCs w:val="38"/>
        </w:rPr>
      </w:pPr>
      <w:r w:rsidRPr="00DD7FD7">
        <w:rPr>
          <w:rFonts w:asciiTheme="majorHAnsi" w:hAnsiTheme="majorHAnsi"/>
          <w:b/>
          <w:sz w:val="38"/>
          <w:szCs w:val="38"/>
        </w:rPr>
        <w:t>von Peptiden und Proteinen</w:t>
      </w:r>
    </w:p>
    <w:p w14:paraId="16B6EC2D" w14:textId="77777777" w:rsidR="00C97C4F" w:rsidRDefault="00C97C4F" w:rsidP="00C97C4F">
      <w:pPr>
        <w:spacing w:after="600"/>
        <w:jc w:val="center"/>
        <w:rPr>
          <w:rFonts w:asciiTheme="majorHAnsi" w:hAnsiTheme="majorHAnsi"/>
          <w:b/>
          <w:sz w:val="32"/>
          <w:szCs w:val="32"/>
        </w:rPr>
      </w:pPr>
    </w:p>
    <w:p w14:paraId="028F4102" w14:textId="77777777" w:rsidR="00127DF2" w:rsidRDefault="00127DF2" w:rsidP="00C97C4F">
      <w:pPr>
        <w:spacing w:after="600"/>
        <w:jc w:val="center"/>
        <w:rPr>
          <w:rFonts w:asciiTheme="majorHAnsi" w:hAnsiTheme="majorHAnsi"/>
          <w:b/>
          <w:sz w:val="32"/>
          <w:szCs w:val="32"/>
        </w:rPr>
      </w:pPr>
    </w:p>
    <w:p w14:paraId="4CBDA837" w14:textId="77777777" w:rsidR="00AD08D1" w:rsidRDefault="00AD08D1" w:rsidP="00A508AB">
      <w:pPr>
        <w:spacing w:after="0" w:line="240" w:lineRule="auto"/>
        <w:jc w:val="center"/>
        <w:rPr>
          <w:rFonts w:asciiTheme="majorHAnsi" w:hAnsiTheme="majorHAnsi"/>
          <w:b/>
          <w:sz w:val="32"/>
          <w:szCs w:val="32"/>
        </w:rPr>
      </w:pPr>
      <w:r w:rsidRPr="00A508AB">
        <w:rPr>
          <w:rFonts w:asciiTheme="majorHAnsi" w:hAnsiTheme="majorHAnsi"/>
          <w:b/>
          <w:sz w:val="32"/>
          <w:szCs w:val="32"/>
        </w:rPr>
        <w:t>Dissertation</w:t>
      </w:r>
    </w:p>
    <w:p w14:paraId="22EB328E" w14:textId="77777777" w:rsidR="00A508AB" w:rsidRPr="00A508AB" w:rsidRDefault="00A508AB" w:rsidP="00A508AB">
      <w:pPr>
        <w:spacing w:after="0" w:line="240" w:lineRule="auto"/>
        <w:jc w:val="center"/>
        <w:rPr>
          <w:rFonts w:asciiTheme="majorHAnsi" w:hAnsiTheme="majorHAnsi"/>
          <w:b/>
          <w:sz w:val="32"/>
          <w:szCs w:val="32"/>
        </w:rPr>
      </w:pPr>
    </w:p>
    <w:p w14:paraId="33FF43A2" w14:textId="77777777" w:rsidR="00AD08D1" w:rsidRDefault="00AD08D1" w:rsidP="00AD08D1">
      <w:pPr>
        <w:spacing w:after="0"/>
        <w:jc w:val="center"/>
        <w:rPr>
          <w:rFonts w:asciiTheme="majorHAnsi" w:hAnsiTheme="majorHAnsi"/>
          <w:sz w:val="28"/>
          <w:szCs w:val="28"/>
        </w:rPr>
      </w:pPr>
      <w:r>
        <w:rPr>
          <w:rFonts w:asciiTheme="majorHAnsi" w:hAnsiTheme="majorHAnsi"/>
          <w:sz w:val="28"/>
          <w:szCs w:val="28"/>
        </w:rPr>
        <w:t>zur Erlangung des Grades</w:t>
      </w:r>
    </w:p>
    <w:p w14:paraId="62D273B8" w14:textId="77777777" w:rsidR="00AD08D1" w:rsidRDefault="00AD08D1" w:rsidP="00AD08D1">
      <w:pPr>
        <w:spacing w:after="0"/>
        <w:jc w:val="center"/>
        <w:rPr>
          <w:rFonts w:asciiTheme="majorHAnsi" w:hAnsiTheme="majorHAnsi"/>
          <w:sz w:val="28"/>
          <w:szCs w:val="28"/>
        </w:rPr>
      </w:pPr>
      <w:r>
        <w:rPr>
          <w:rFonts w:asciiTheme="majorHAnsi" w:hAnsiTheme="majorHAnsi"/>
          <w:sz w:val="28"/>
          <w:szCs w:val="28"/>
        </w:rPr>
        <w:t>des Doktors der Naturwissenschaften</w:t>
      </w:r>
    </w:p>
    <w:p w14:paraId="3EAE39D4" w14:textId="77777777" w:rsidR="00AD08D1" w:rsidRDefault="00AD08D1" w:rsidP="00AD08D1">
      <w:pPr>
        <w:spacing w:after="0"/>
        <w:jc w:val="center"/>
        <w:rPr>
          <w:rFonts w:asciiTheme="majorHAnsi" w:hAnsiTheme="majorHAnsi"/>
          <w:sz w:val="28"/>
          <w:szCs w:val="28"/>
        </w:rPr>
      </w:pPr>
      <w:r>
        <w:rPr>
          <w:rFonts w:asciiTheme="majorHAnsi" w:hAnsiTheme="majorHAnsi"/>
          <w:sz w:val="28"/>
          <w:szCs w:val="28"/>
        </w:rPr>
        <w:t>der Naturwissenschaftlich-Technischen Fakultäten</w:t>
      </w:r>
    </w:p>
    <w:p w14:paraId="3CED47A4" w14:textId="77777777" w:rsidR="00AD08D1" w:rsidRDefault="00AD08D1" w:rsidP="00AD08D1">
      <w:pPr>
        <w:spacing w:after="0"/>
        <w:jc w:val="center"/>
        <w:rPr>
          <w:rFonts w:asciiTheme="majorHAnsi" w:hAnsiTheme="majorHAnsi"/>
          <w:sz w:val="28"/>
          <w:szCs w:val="28"/>
        </w:rPr>
      </w:pPr>
      <w:r>
        <w:rPr>
          <w:rFonts w:asciiTheme="majorHAnsi" w:hAnsiTheme="majorHAnsi"/>
          <w:sz w:val="28"/>
          <w:szCs w:val="28"/>
        </w:rPr>
        <w:t>der Universität des Saarlandes</w:t>
      </w:r>
    </w:p>
    <w:p w14:paraId="75E23F4F" w14:textId="77777777" w:rsidR="00AD08D1" w:rsidRDefault="00AD08D1" w:rsidP="00AD08D1">
      <w:pPr>
        <w:spacing w:after="0"/>
        <w:jc w:val="center"/>
        <w:rPr>
          <w:rFonts w:asciiTheme="majorHAnsi" w:hAnsiTheme="majorHAnsi"/>
          <w:sz w:val="28"/>
          <w:szCs w:val="28"/>
        </w:rPr>
      </w:pPr>
    </w:p>
    <w:p w14:paraId="03A3A6A6" w14:textId="77777777" w:rsidR="00127DF2" w:rsidRDefault="00127DF2" w:rsidP="008E43F9">
      <w:pPr>
        <w:spacing w:after="0"/>
        <w:rPr>
          <w:rFonts w:asciiTheme="majorHAnsi" w:hAnsiTheme="majorHAnsi"/>
          <w:sz w:val="28"/>
          <w:szCs w:val="28"/>
        </w:rPr>
      </w:pPr>
    </w:p>
    <w:p w14:paraId="383CE5FA" w14:textId="77777777" w:rsidR="00A031F2" w:rsidRDefault="00A031F2" w:rsidP="00DD7FD7">
      <w:pPr>
        <w:spacing w:after="0"/>
        <w:rPr>
          <w:rFonts w:asciiTheme="majorHAnsi" w:hAnsiTheme="majorHAnsi"/>
          <w:sz w:val="28"/>
          <w:szCs w:val="28"/>
        </w:rPr>
      </w:pPr>
    </w:p>
    <w:p w14:paraId="134F8017" w14:textId="77777777" w:rsidR="00A508AB" w:rsidRDefault="00A508AB" w:rsidP="00AD08D1">
      <w:pPr>
        <w:spacing w:after="0"/>
        <w:jc w:val="center"/>
        <w:rPr>
          <w:rFonts w:asciiTheme="majorHAnsi" w:hAnsiTheme="majorHAnsi"/>
          <w:sz w:val="28"/>
          <w:szCs w:val="28"/>
        </w:rPr>
      </w:pPr>
    </w:p>
    <w:p w14:paraId="6BF1A4C8" w14:textId="77777777" w:rsidR="00A031F2" w:rsidRDefault="00A031F2" w:rsidP="00AD08D1">
      <w:pPr>
        <w:spacing w:after="0"/>
        <w:jc w:val="center"/>
        <w:rPr>
          <w:rFonts w:asciiTheme="majorHAnsi" w:hAnsiTheme="majorHAnsi"/>
          <w:sz w:val="28"/>
          <w:szCs w:val="28"/>
        </w:rPr>
      </w:pPr>
    </w:p>
    <w:p w14:paraId="304B6FDD" w14:textId="77777777" w:rsidR="00AD08D1" w:rsidRDefault="00AD08D1" w:rsidP="00A508AB">
      <w:pPr>
        <w:spacing w:after="0"/>
        <w:rPr>
          <w:rFonts w:asciiTheme="majorHAnsi" w:hAnsiTheme="majorHAnsi"/>
          <w:sz w:val="28"/>
          <w:szCs w:val="28"/>
        </w:rPr>
      </w:pPr>
    </w:p>
    <w:p w14:paraId="590F37A4" w14:textId="77777777" w:rsidR="00AD08D1" w:rsidRDefault="00AD08D1" w:rsidP="00A508AB">
      <w:pPr>
        <w:spacing w:after="0" w:line="240" w:lineRule="auto"/>
        <w:jc w:val="center"/>
        <w:rPr>
          <w:rFonts w:asciiTheme="majorHAnsi" w:hAnsiTheme="majorHAnsi"/>
          <w:sz w:val="28"/>
          <w:szCs w:val="28"/>
        </w:rPr>
      </w:pPr>
      <w:r>
        <w:rPr>
          <w:rFonts w:asciiTheme="majorHAnsi" w:hAnsiTheme="majorHAnsi"/>
          <w:sz w:val="28"/>
          <w:szCs w:val="28"/>
        </w:rPr>
        <w:t>von</w:t>
      </w:r>
    </w:p>
    <w:p w14:paraId="37D67DEC" w14:textId="77777777" w:rsidR="00A031F2" w:rsidRDefault="00A031F2" w:rsidP="00A508AB">
      <w:pPr>
        <w:spacing w:after="0" w:line="240" w:lineRule="auto"/>
        <w:rPr>
          <w:rFonts w:asciiTheme="majorHAnsi" w:hAnsiTheme="majorHAnsi"/>
          <w:sz w:val="28"/>
          <w:szCs w:val="28"/>
        </w:rPr>
      </w:pPr>
    </w:p>
    <w:p w14:paraId="3AA99D6D" w14:textId="77777777" w:rsidR="00127DF2" w:rsidRPr="00A031F2" w:rsidRDefault="00BC0B4B" w:rsidP="00A508AB">
      <w:pPr>
        <w:spacing w:after="0" w:line="240" w:lineRule="auto"/>
        <w:jc w:val="center"/>
        <w:rPr>
          <w:rFonts w:asciiTheme="majorHAnsi" w:hAnsiTheme="majorHAnsi"/>
          <w:b/>
          <w:sz w:val="32"/>
          <w:szCs w:val="32"/>
        </w:rPr>
      </w:pPr>
      <w:r w:rsidRPr="00A031F2">
        <w:rPr>
          <w:rFonts w:asciiTheme="majorHAnsi" w:hAnsiTheme="majorHAnsi"/>
          <w:b/>
          <w:sz w:val="32"/>
          <w:szCs w:val="32"/>
        </w:rPr>
        <w:t>Andreas</w:t>
      </w:r>
      <w:r w:rsidR="00AD08D1" w:rsidRPr="00A031F2">
        <w:rPr>
          <w:rFonts w:asciiTheme="majorHAnsi" w:hAnsiTheme="majorHAnsi"/>
          <w:b/>
          <w:sz w:val="32"/>
          <w:szCs w:val="32"/>
        </w:rPr>
        <w:t xml:space="preserve"> Kirchner</w:t>
      </w:r>
    </w:p>
    <w:p w14:paraId="18093E82" w14:textId="77777777" w:rsidR="00BC0B4B" w:rsidRDefault="00BC0B4B" w:rsidP="00A508AB">
      <w:pPr>
        <w:spacing w:after="0" w:line="240" w:lineRule="auto"/>
        <w:jc w:val="center"/>
        <w:rPr>
          <w:rFonts w:asciiTheme="majorHAnsi" w:hAnsiTheme="majorHAnsi"/>
          <w:sz w:val="28"/>
          <w:szCs w:val="28"/>
        </w:rPr>
      </w:pPr>
    </w:p>
    <w:p w14:paraId="35AFC7E3" w14:textId="77777777" w:rsidR="00127DF2" w:rsidRDefault="00127DF2" w:rsidP="00127DF2">
      <w:pPr>
        <w:spacing w:after="0"/>
        <w:jc w:val="center"/>
        <w:rPr>
          <w:rFonts w:asciiTheme="majorHAnsi" w:hAnsiTheme="majorHAnsi"/>
          <w:sz w:val="28"/>
          <w:szCs w:val="28"/>
        </w:rPr>
      </w:pPr>
      <w:r>
        <w:rPr>
          <w:rFonts w:asciiTheme="majorHAnsi" w:hAnsiTheme="majorHAnsi"/>
          <w:sz w:val="28"/>
          <w:szCs w:val="28"/>
        </w:rPr>
        <w:t>Saarbrücken</w:t>
      </w:r>
    </w:p>
    <w:p w14:paraId="33940DF5" w14:textId="77777777" w:rsidR="00BC0B4B" w:rsidRDefault="00CD24CD" w:rsidP="00BC0B4B">
      <w:pPr>
        <w:spacing w:after="0"/>
        <w:jc w:val="center"/>
        <w:rPr>
          <w:rFonts w:asciiTheme="majorHAnsi" w:hAnsiTheme="majorHAnsi"/>
          <w:sz w:val="28"/>
          <w:szCs w:val="28"/>
        </w:rPr>
      </w:pPr>
      <w:r>
        <w:rPr>
          <w:rFonts w:asciiTheme="majorHAnsi" w:hAnsiTheme="majorHAnsi"/>
          <w:sz w:val="28"/>
          <w:szCs w:val="28"/>
        </w:rPr>
        <w:t>201</w:t>
      </w:r>
      <w:r w:rsidR="00E016FB">
        <w:rPr>
          <w:rFonts w:asciiTheme="majorHAnsi" w:hAnsiTheme="majorHAnsi"/>
          <w:sz w:val="28"/>
          <w:szCs w:val="28"/>
        </w:rPr>
        <w:t>5</w:t>
      </w:r>
    </w:p>
    <w:p w14:paraId="51E83636" w14:textId="77777777" w:rsidR="00BC0B4B" w:rsidRDefault="00BC0B4B" w:rsidP="007F5226">
      <w:pPr>
        <w:spacing w:after="0"/>
        <w:rPr>
          <w:rFonts w:asciiTheme="majorHAnsi" w:hAnsiTheme="majorHAnsi"/>
          <w:sz w:val="28"/>
          <w:szCs w:val="28"/>
        </w:rPr>
      </w:pPr>
    </w:p>
    <w:p w14:paraId="54749706" w14:textId="77777777" w:rsidR="007F5226" w:rsidRDefault="007F5226" w:rsidP="007F5226">
      <w:pPr>
        <w:spacing w:after="0"/>
        <w:rPr>
          <w:rFonts w:asciiTheme="majorHAnsi" w:hAnsiTheme="majorHAnsi"/>
          <w:sz w:val="28"/>
          <w:szCs w:val="28"/>
        </w:rPr>
      </w:pPr>
    </w:p>
    <w:p w14:paraId="17D2A01E" w14:textId="77777777" w:rsidR="007F5226" w:rsidRDefault="007F5226" w:rsidP="007F5226">
      <w:pPr>
        <w:spacing w:after="0"/>
        <w:rPr>
          <w:rFonts w:asciiTheme="majorHAnsi" w:hAnsiTheme="majorHAnsi"/>
          <w:sz w:val="28"/>
          <w:szCs w:val="28"/>
        </w:rPr>
      </w:pPr>
    </w:p>
    <w:p w14:paraId="065557B3" w14:textId="77777777" w:rsidR="007F5226" w:rsidRDefault="007F5226" w:rsidP="007F5226">
      <w:pPr>
        <w:spacing w:after="0"/>
        <w:rPr>
          <w:rFonts w:asciiTheme="majorHAnsi" w:hAnsiTheme="majorHAnsi"/>
          <w:sz w:val="28"/>
          <w:szCs w:val="28"/>
        </w:rPr>
      </w:pPr>
    </w:p>
    <w:p w14:paraId="1312155E" w14:textId="77777777" w:rsidR="007F5226" w:rsidRDefault="007F5226" w:rsidP="007F5226">
      <w:pPr>
        <w:spacing w:after="0"/>
        <w:rPr>
          <w:rFonts w:asciiTheme="majorHAnsi" w:hAnsiTheme="majorHAnsi"/>
          <w:sz w:val="28"/>
          <w:szCs w:val="28"/>
        </w:rPr>
      </w:pPr>
    </w:p>
    <w:p w14:paraId="37CA787D" w14:textId="77777777" w:rsidR="007F5226" w:rsidRDefault="007F5226" w:rsidP="007F5226">
      <w:pPr>
        <w:spacing w:after="0"/>
        <w:rPr>
          <w:rFonts w:asciiTheme="majorHAnsi" w:hAnsiTheme="majorHAnsi"/>
          <w:sz w:val="28"/>
          <w:szCs w:val="28"/>
        </w:rPr>
      </w:pPr>
    </w:p>
    <w:p w14:paraId="6D7D15DE" w14:textId="77777777" w:rsidR="007F5226" w:rsidRDefault="007F5226" w:rsidP="007F5226">
      <w:pPr>
        <w:spacing w:after="0"/>
        <w:rPr>
          <w:rFonts w:asciiTheme="majorHAnsi" w:hAnsiTheme="majorHAnsi"/>
          <w:sz w:val="28"/>
          <w:szCs w:val="28"/>
        </w:rPr>
      </w:pPr>
    </w:p>
    <w:p w14:paraId="72BCEA45" w14:textId="77777777" w:rsidR="007F5226" w:rsidRDefault="007F5226" w:rsidP="007F5226">
      <w:pPr>
        <w:spacing w:after="0"/>
        <w:rPr>
          <w:rFonts w:asciiTheme="majorHAnsi" w:hAnsiTheme="majorHAnsi"/>
          <w:sz w:val="28"/>
          <w:szCs w:val="28"/>
        </w:rPr>
      </w:pPr>
    </w:p>
    <w:p w14:paraId="54744663" w14:textId="77777777" w:rsidR="00367064" w:rsidRDefault="00367064" w:rsidP="007F5226">
      <w:pPr>
        <w:spacing w:after="0"/>
        <w:rPr>
          <w:rFonts w:asciiTheme="majorHAnsi" w:hAnsiTheme="majorHAnsi"/>
          <w:sz w:val="28"/>
          <w:szCs w:val="28"/>
        </w:rPr>
      </w:pPr>
    </w:p>
    <w:p w14:paraId="0BBD1E68" w14:textId="77777777" w:rsidR="00367064" w:rsidRDefault="00367064" w:rsidP="007F5226">
      <w:pPr>
        <w:spacing w:after="0"/>
        <w:rPr>
          <w:rFonts w:asciiTheme="majorHAnsi" w:hAnsiTheme="majorHAnsi"/>
          <w:sz w:val="28"/>
          <w:szCs w:val="28"/>
        </w:rPr>
      </w:pPr>
    </w:p>
    <w:p w14:paraId="71443878" w14:textId="77777777" w:rsidR="00367064" w:rsidRDefault="00367064" w:rsidP="007F5226">
      <w:pPr>
        <w:spacing w:after="0"/>
        <w:rPr>
          <w:rFonts w:asciiTheme="majorHAnsi" w:hAnsiTheme="majorHAnsi"/>
          <w:sz w:val="28"/>
          <w:szCs w:val="28"/>
        </w:rPr>
      </w:pPr>
    </w:p>
    <w:p w14:paraId="613758BD" w14:textId="77777777" w:rsidR="00367064" w:rsidRDefault="00367064" w:rsidP="007F5226">
      <w:pPr>
        <w:spacing w:after="0"/>
        <w:rPr>
          <w:rFonts w:asciiTheme="majorHAnsi" w:hAnsiTheme="majorHAnsi"/>
          <w:sz w:val="28"/>
          <w:szCs w:val="28"/>
        </w:rPr>
      </w:pPr>
    </w:p>
    <w:p w14:paraId="23544253" w14:textId="77777777" w:rsidR="00367064" w:rsidRDefault="00367064" w:rsidP="007F5226">
      <w:pPr>
        <w:spacing w:after="0"/>
        <w:rPr>
          <w:rFonts w:asciiTheme="majorHAnsi" w:hAnsiTheme="majorHAnsi"/>
          <w:sz w:val="28"/>
          <w:szCs w:val="28"/>
        </w:rPr>
      </w:pPr>
    </w:p>
    <w:p w14:paraId="728120B3" w14:textId="77777777" w:rsidR="00367064" w:rsidRDefault="00367064" w:rsidP="007F5226">
      <w:pPr>
        <w:spacing w:after="0"/>
        <w:rPr>
          <w:rFonts w:asciiTheme="majorHAnsi" w:hAnsiTheme="majorHAnsi"/>
          <w:sz w:val="28"/>
          <w:szCs w:val="28"/>
        </w:rPr>
      </w:pPr>
    </w:p>
    <w:p w14:paraId="5ED055DB" w14:textId="77777777" w:rsidR="00367064" w:rsidRDefault="00367064" w:rsidP="007F5226">
      <w:pPr>
        <w:spacing w:after="0"/>
        <w:rPr>
          <w:rFonts w:asciiTheme="majorHAnsi" w:hAnsiTheme="majorHAnsi"/>
          <w:sz w:val="28"/>
          <w:szCs w:val="28"/>
        </w:rPr>
      </w:pPr>
    </w:p>
    <w:p w14:paraId="797AA2DF" w14:textId="77777777" w:rsidR="00367064" w:rsidRDefault="00367064" w:rsidP="007F5226">
      <w:pPr>
        <w:spacing w:after="0"/>
        <w:rPr>
          <w:rFonts w:asciiTheme="majorHAnsi" w:hAnsiTheme="majorHAnsi"/>
          <w:sz w:val="28"/>
          <w:szCs w:val="28"/>
        </w:rPr>
      </w:pPr>
    </w:p>
    <w:p w14:paraId="70C74FED" w14:textId="77777777" w:rsidR="00A508AB" w:rsidRDefault="00A508AB" w:rsidP="007F5226">
      <w:pPr>
        <w:spacing w:after="0"/>
        <w:rPr>
          <w:rFonts w:asciiTheme="majorHAnsi" w:hAnsiTheme="majorHAnsi"/>
          <w:sz w:val="28"/>
          <w:szCs w:val="28"/>
        </w:rPr>
      </w:pPr>
    </w:p>
    <w:p w14:paraId="29522E4F" w14:textId="77777777" w:rsidR="00A508AB" w:rsidRDefault="00A508AB" w:rsidP="007F5226">
      <w:pPr>
        <w:spacing w:after="0"/>
        <w:rPr>
          <w:rFonts w:asciiTheme="majorHAnsi" w:hAnsiTheme="majorHAnsi"/>
          <w:sz w:val="28"/>
          <w:szCs w:val="28"/>
        </w:rPr>
      </w:pPr>
    </w:p>
    <w:p w14:paraId="50C7663D" w14:textId="77777777" w:rsidR="00A508AB" w:rsidRDefault="00A508AB" w:rsidP="007F5226">
      <w:pPr>
        <w:spacing w:after="0"/>
        <w:rPr>
          <w:rFonts w:asciiTheme="majorHAnsi" w:hAnsiTheme="majorHAnsi"/>
          <w:sz w:val="28"/>
          <w:szCs w:val="28"/>
        </w:rPr>
      </w:pPr>
    </w:p>
    <w:p w14:paraId="0CAA0E53" w14:textId="77777777" w:rsidR="00367064" w:rsidRDefault="00367064" w:rsidP="007F5226">
      <w:pPr>
        <w:spacing w:after="0"/>
        <w:rPr>
          <w:rFonts w:asciiTheme="majorHAnsi" w:hAnsiTheme="majorHAnsi"/>
          <w:sz w:val="28"/>
          <w:szCs w:val="28"/>
        </w:rPr>
      </w:pPr>
    </w:p>
    <w:p w14:paraId="72F449A9" w14:textId="77777777" w:rsidR="00367064" w:rsidRDefault="00367064" w:rsidP="007F5226">
      <w:pPr>
        <w:spacing w:after="0"/>
        <w:rPr>
          <w:rFonts w:asciiTheme="majorHAnsi" w:hAnsiTheme="majorHAnsi"/>
          <w:sz w:val="28"/>
          <w:szCs w:val="28"/>
        </w:rPr>
      </w:pPr>
    </w:p>
    <w:p w14:paraId="20BACB7D" w14:textId="77777777" w:rsidR="00367064" w:rsidRDefault="00367064" w:rsidP="007F5226">
      <w:pPr>
        <w:spacing w:after="0"/>
        <w:rPr>
          <w:rFonts w:asciiTheme="majorHAnsi" w:hAnsiTheme="majorHAnsi"/>
          <w:sz w:val="28"/>
          <w:szCs w:val="28"/>
        </w:rPr>
      </w:pPr>
    </w:p>
    <w:p w14:paraId="391D2DE3" w14:textId="77777777" w:rsidR="00367064" w:rsidRDefault="00367064" w:rsidP="007F5226">
      <w:pPr>
        <w:spacing w:after="0"/>
        <w:rPr>
          <w:rFonts w:asciiTheme="majorHAnsi" w:hAnsiTheme="majorHAnsi"/>
          <w:sz w:val="28"/>
          <w:szCs w:val="28"/>
        </w:rPr>
      </w:pPr>
    </w:p>
    <w:p w14:paraId="2F762F23" w14:textId="77777777" w:rsidR="003375F3" w:rsidRDefault="003375F3" w:rsidP="007F5226">
      <w:pPr>
        <w:spacing w:after="0"/>
        <w:rPr>
          <w:rFonts w:asciiTheme="majorHAnsi" w:hAnsiTheme="majorHAnsi"/>
          <w:sz w:val="28"/>
          <w:szCs w:val="28"/>
        </w:rPr>
      </w:pPr>
    </w:p>
    <w:p w14:paraId="63FB2B1A" w14:textId="77777777" w:rsidR="00367064" w:rsidRDefault="00367064" w:rsidP="007F5226">
      <w:pPr>
        <w:spacing w:after="0"/>
        <w:rPr>
          <w:rFonts w:asciiTheme="majorHAnsi" w:hAnsiTheme="majorHAnsi"/>
          <w:sz w:val="28"/>
          <w:szCs w:val="28"/>
        </w:rPr>
      </w:pPr>
    </w:p>
    <w:p w14:paraId="35B17909" w14:textId="77777777" w:rsidR="007F5226" w:rsidRDefault="007F5226" w:rsidP="007F5226">
      <w:pPr>
        <w:spacing w:after="0"/>
        <w:rPr>
          <w:rFonts w:asciiTheme="majorHAnsi" w:hAnsiTheme="majorHAnsi"/>
          <w:sz w:val="28"/>
          <w:szCs w:val="28"/>
        </w:rPr>
      </w:pPr>
    </w:p>
    <w:p w14:paraId="747D1A05" w14:textId="77777777" w:rsidR="007F5226" w:rsidRPr="00DD7FD7" w:rsidRDefault="007F5226" w:rsidP="00DD7FD7">
      <w:pPr>
        <w:ind w:left="708" w:firstLine="708"/>
        <w:rPr>
          <w:rFonts w:asciiTheme="majorHAnsi" w:hAnsiTheme="majorHAnsi"/>
          <w:szCs w:val="24"/>
        </w:rPr>
      </w:pPr>
      <w:r w:rsidRPr="00DD7FD7">
        <w:rPr>
          <w:rFonts w:asciiTheme="majorHAnsi" w:hAnsiTheme="majorHAnsi"/>
          <w:szCs w:val="24"/>
        </w:rPr>
        <w:t>Tag des Kolloquiums:</w:t>
      </w:r>
      <w:r w:rsidR="00A031F2" w:rsidRPr="00DD7FD7">
        <w:rPr>
          <w:rFonts w:asciiTheme="majorHAnsi" w:hAnsiTheme="majorHAnsi"/>
          <w:szCs w:val="24"/>
        </w:rPr>
        <w:tab/>
        <w:t xml:space="preserve">  16.06.2015</w:t>
      </w:r>
    </w:p>
    <w:p w14:paraId="7E5C2427" w14:textId="77777777" w:rsidR="007F5226" w:rsidRPr="00DD7FD7" w:rsidRDefault="007F5226" w:rsidP="00DD7FD7">
      <w:pPr>
        <w:ind w:left="708" w:firstLine="708"/>
        <w:rPr>
          <w:rFonts w:asciiTheme="majorHAnsi" w:hAnsiTheme="majorHAnsi"/>
          <w:szCs w:val="24"/>
        </w:rPr>
      </w:pPr>
      <w:r w:rsidRPr="00DD7FD7">
        <w:rPr>
          <w:rFonts w:asciiTheme="majorHAnsi" w:hAnsiTheme="majorHAnsi"/>
          <w:szCs w:val="24"/>
        </w:rPr>
        <w:t>Dekan:</w:t>
      </w:r>
      <w:r w:rsidR="00A031F2" w:rsidRPr="00DD7FD7">
        <w:rPr>
          <w:rFonts w:asciiTheme="majorHAnsi" w:hAnsiTheme="majorHAnsi"/>
          <w:szCs w:val="24"/>
        </w:rPr>
        <w:t xml:space="preserve"> </w:t>
      </w:r>
      <w:r w:rsidR="00A031F2" w:rsidRPr="00DD7FD7">
        <w:rPr>
          <w:rFonts w:asciiTheme="majorHAnsi" w:hAnsiTheme="majorHAnsi"/>
          <w:szCs w:val="24"/>
        </w:rPr>
        <w:tab/>
      </w:r>
      <w:r w:rsidR="00A031F2" w:rsidRPr="00DD7FD7">
        <w:rPr>
          <w:rFonts w:asciiTheme="majorHAnsi" w:hAnsiTheme="majorHAnsi"/>
          <w:szCs w:val="24"/>
        </w:rPr>
        <w:tab/>
      </w:r>
      <w:r w:rsidR="00A031F2" w:rsidRPr="00DD7FD7">
        <w:rPr>
          <w:rFonts w:asciiTheme="majorHAnsi" w:hAnsiTheme="majorHAnsi"/>
          <w:szCs w:val="24"/>
        </w:rPr>
        <w:tab/>
        <w:t xml:space="preserve">  Prof. Dr. Dirk Bähre</w:t>
      </w:r>
    </w:p>
    <w:p w14:paraId="2FE3F391" w14:textId="77777777" w:rsidR="00367064" w:rsidRPr="00DD7FD7" w:rsidRDefault="007F5226" w:rsidP="00DD7FD7">
      <w:pPr>
        <w:spacing w:after="0"/>
        <w:ind w:left="707" w:firstLine="709"/>
        <w:rPr>
          <w:rFonts w:asciiTheme="majorHAnsi" w:hAnsiTheme="majorHAnsi"/>
          <w:szCs w:val="24"/>
        </w:rPr>
      </w:pPr>
      <w:r w:rsidRPr="00DD7FD7">
        <w:rPr>
          <w:rFonts w:asciiTheme="majorHAnsi" w:hAnsiTheme="majorHAnsi"/>
          <w:szCs w:val="24"/>
        </w:rPr>
        <w:t>Berichterstatter:</w:t>
      </w:r>
      <w:r w:rsidR="00A031F2" w:rsidRPr="00DD7FD7">
        <w:rPr>
          <w:rFonts w:asciiTheme="majorHAnsi" w:hAnsiTheme="majorHAnsi"/>
          <w:szCs w:val="24"/>
        </w:rPr>
        <w:t xml:space="preserve"> </w:t>
      </w:r>
      <w:r w:rsidR="00A031F2" w:rsidRPr="00DD7FD7">
        <w:rPr>
          <w:rFonts w:asciiTheme="majorHAnsi" w:hAnsiTheme="majorHAnsi"/>
          <w:szCs w:val="24"/>
        </w:rPr>
        <w:tab/>
      </w:r>
      <w:r w:rsidR="00A031F2" w:rsidRPr="00DD7FD7">
        <w:rPr>
          <w:rFonts w:asciiTheme="majorHAnsi" w:hAnsiTheme="majorHAnsi"/>
          <w:szCs w:val="24"/>
        </w:rPr>
        <w:tab/>
        <w:t xml:space="preserve">  Prof. Dr. Marc Schneider</w:t>
      </w:r>
    </w:p>
    <w:p w14:paraId="5703BDD8" w14:textId="77777777" w:rsidR="00A031F2" w:rsidRPr="00DD7FD7" w:rsidRDefault="00A031F2" w:rsidP="00BC51E6">
      <w:pPr>
        <w:ind w:firstLine="708"/>
        <w:rPr>
          <w:rFonts w:asciiTheme="majorHAnsi" w:hAnsiTheme="majorHAnsi"/>
          <w:szCs w:val="24"/>
        </w:rPr>
      </w:pPr>
      <w:r w:rsidRPr="00DD7FD7">
        <w:rPr>
          <w:rFonts w:asciiTheme="majorHAnsi" w:hAnsiTheme="majorHAnsi"/>
          <w:szCs w:val="24"/>
        </w:rPr>
        <w:tab/>
      </w:r>
      <w:r w:rsidR="00DD7FD7">
        <w:rPr>
          <w:rFonts w:asciiTheme="majorHAnsi" w:hAnsiTheme="majorHAnsi"/>
          <w:szCs w:val="24"/>
        </w:rPr>
        <w:tab/>
      </w:r>
      <w:r w:rsidRPr="00DD7FD7">
        <w:rPr>
          <w:rFonts w:asciiTheme="majorHAnsi" w:hAnsiTheme="majorHAnsi"/>
          <w:szCs w:val="24"/>
        </w:rPr>
        <w:tab/>
      </w:r>
      <w:r w:rsidRPr="00DD7FD7">
        <w:rPr>
          <w:rFonts w:asciiTheme="majorHAnsi" w:hAnsiTheme="majorHAnsi"/>
          <w:szCs w:val="24"/>
        </w:rPr>
        <w:tab/>
      </w:r>
      <w:r w:rsidRPr="00DD7FD7">
        <w:rPr>
          <w:rFonts w:asciiTheme="majorHAnsi" w:hAnsiTheme="majorHAnsi"/>
          <w:szCs w:val="24"/>
        </w:rPr>
        <w:tab/>
        <w:t xml:space="preserve">  Prof. Dr. Christian Ducho</w:t>
      </w:r>
    </w:p>
    <w:p w14:paraId="4596DBD7" w14:textId="77777777" w:rsidR="00367064" w:rsidRPr="00DD7FD7" w:rsidRDefault="00367064" w:rsidP="00DD7FD7">
      <w:pPr>
        <w:ind w:left="708" w:firstLine="708"/>
        <w:rPr>
          <w:rFonts w:asciiTheme="majorHAnsi" w:hAnsiTheme="majorHAnsi"/>
          <w:szCs w:val="24"/>
        </w:rPr>
      </w:pPr>
      <w:r w:rsidRPr="00DD7FD7">
        <w:rPr>
          <w:rFonts w:asciiTheme="majorHAnsi" w:hAnsiTheme="majorHAnsi"/>
          <w:szCs w:val="24"/>
        </w:rPr>
        <w:t>Vorsitz:</w:t>
      </w:r>
      <w:r w:rsidR="00A031F2" w:rsidRPr="00DD7FD7">
        <w:rPr>
          <w:rFonts w:asciiTheme="majorHAnsi" w:hAnsiTheme="majorHAnsi"/>
          <w:szCs w:val="24"/>
        </w:rPr>
        <w:t xml:space="preserve"> </w:t>
      </w:r>
      <w:r w:rsidR="00A031F2" w:rsidRPr="00DD7FD7">
        <w:rPr>
          <w:rFonts w:asciiTheme="majorHAnsi" w:hAnsiTheme="majorHAnsi"/>
          <w:szCs w:val="24"/>
        </w:rPr>
        <w:tab/>
      </w:r>
      <w:r w:rsidR="00A031F2" w:rsidRPr="00DD7FD7">
        <w:rPr>
          <w:rFonts w:asciiTheme="majorHAnsi" w:hAnsiTheme="majorHAnsi"/>
          <w:szCs w:val="24"/>
        </w:rPr>
        <w:tab/>
      </w:r>
      <w:r w:rsidR="00A031F2" w:rsidRPr="00DD7FD7">
        <w:rPr>
          <w:rFonts w:asciiTheme="majorHAnsi" w:hAnsiTheme="majorHAnsi"/>
          <w:szCs w:val="24"/>
        </w:rPr>
        <w:tab/>
        <w:t xml:space="preserve">  Prof. Dr. Claus Jacob</w:t>
      </w:r>
    </w:p>
    <w:p w14:paraId="477C8ED0" w14:textId="77777777" w:rsidR="00BC0B4B" w:rsidRPr="00DD7FD7" w:rsidRDefault="00367064" w:rsidP="00DD7FD7">
      <w:pPr>
        <w:ind w:left="708" w:firstLine="708"/>
        <w:rPr>
          <w:rFonts w:asciiTheme="majorHAnsi" w:hAnsiTheme="majorHAnsi"/>
          <w:szCs w:val="24"/>
        </w:rPr>
      </w:pPr>
      <w:r w:rsidRPr="00DD7FD7">
        <w:rPr>
          <w:rFonts w:asciiTheme="majorHAnsi" w:hAnsiTheme="majorHAnsi"/>
          <w:szCs w:val="24"/>
        </w:rPr>
        <w:t>Akad. Mitarbeiter:</w:t>
      </w:r>
      <w:r w:rsidR="00A031F2" w:rsidRPr="00DD7FD7">
        <w:rPr>
          <w:rFonts w:asciiTheme="majorHAnsi" w:hAnsiTheme="majorHAnsi"/>
          <w:szCs w:val="24"/>
        </w:rPr>
        <w:t xml:space="preserve"> </w:t>
      </w:r>
      <w:r w:rsidR="00A031F2" w:rsidRPr="00DD7FD7">
        <w:rPr>
          <w:rFonts w:asciiTheme="majorHAnsi" w:hAnsiTheme="majorHAnsi"/>
          <w:szCs w:val="24"/>
        </w:rPr>
        <w:tab/>
        <w:t xml:space="preserve">  </w:t>
      </w:r>
      <w:r w:rsidR="00DD7FD7">
        <w:rPr>
          <w:rFonts w:asciiTheme="majorHAnsi" w:hAnsiTheme="majorHAnsi"/>
          <w:szCs w:val="24"/>
        </w:rPr>
        <w:tab/>
        <w:t xml:space="preserve">  </w:t>
      </w:r>
      <w:r w:rsidR="00A031F2" w:rsidRPr="00DD7FD7">
        <w:rPr>
          <w:rFonts w:asciiTheme="majorHAnsi" w:hAnsiTheme="majorHAnsi"/>
          <w:szCs w:val="24"/>
        </w:rPr>
        <w:t>Dr. Sonja Keßler</w:t>
      </w:r>
    </w:p>
    <w:p w14:paraId="107F94E3" w14:textId="77777777" w:rsidR="00BC0B4B" w:rsidRDefault="00BC0B4B" w:rsidP="00951EF5">
      <w:pPr>
        <w:spacing w:after="0"/>
        <w:rPr>
          <w:rFonts w:cs="Times New Roman"/>
          <w:szCs w:val="24"/>
        </w:rPr>
      </w:pPr>
    </w:p>
    <w:p w14:paraId="097F7B58" w14:textId="77777777" w:rsidR="00F84D5B" w:rsidRPr="00DD7FD7" w:rsidRDefault="00F84D5B" w:rsidP="00951EF5">
      <w:pPr>
        <w:spacing w:after="0"/>
        <w:rPr>
          <w:rFonts w:asciiTheme="majorHAnsi" w:hAnsiTheme="majorHAnsi"/>
          <w:szCs w:val="24"/>
        </w:rPr>
      </w:pPr>
      <w:r w:rsidRPr="00DD7FD7">
        <w:rPr>
          <w:rFonts w:asciiTheme="majorHAnsi" w:hAnsiTheme="majorHAnsi"/>
          <w:szCs w:val="24"/>
        </w:rPr>
        <w:lastRenderedPageBreak/>
        <w:t>Die</w:t>
      </w:r>
      <w:r w:rsidR="00A36A63" w:rsidRPr="00DD7FD7">
        <w:rPr>
          <w:rFonts w:asciiTheme="majorHAnsi" w:hAnsiTheme="majorHAnsi"/>
          <w:szCs w:val="24"/>
        </w:rPr>
        <w:t xml:space="preserve"> </w:t>
      </w:r>
      <w:r w:rsidRPr="00DD7FD7">
        <w:rPr>
          <w:rFonts w:asciiTheme="majorHAnsi" w:hAnsiTheme="majorHAnsi"/>
          <w:szCs w:val="24"/>
        </w:rPr>
        <w:t xml:space="preserve">vorliegende </w:t>
      </w:r>
      <w:r w:rsidR="00A36A63" w:rsidRPr="00DD7FD7">
        <w:rPr>
          <w:rFonts w:asciiTheme="majorHAnsi" w:hAnsiTheme="majorHAnsi"/>
          <w:szCs w:val="24"/>
        </w:rPr>
        <w:t>Arbeit wurde</w:t>
      </w:r>
      <w:r w:rsidRPr="00DD7FD7">
        <w:rPr>
          <w:rFonts w:asciiTheme="majorHAnsi" w:hAnsiTheme="majorHAnsi"/>
          <w:szCs w:val="24"/>
        </w:rPr>
        <w:t xml:space="preserve"> von August 2011 bis Dezember 2014</w:t>
      </w:r>
      <w:r w:rsidR="00A36A63" w:rsidRPr="00DD7FD7">
        <w:rPr>
          <w:rFonts w:asciiTheme="majorHAnsi" w:hAnsiTheme="majorHAnsi"/>
          <w:szCs w:val="24"/>
        </w:rPr>
        <w:t xml:space="preserve"> unter Anleitung</w:t>
      </w:r>
      <w:r w:rsidRPr="00DD7FD7">
        <w:rPr>
          <w:rFonts w:asciiTheme="majorHAnsi" w:hAnsiTheme="majorHAnsi"/>
          <w:szCs w:val="24"/>
        </w:rPr>
        <w:t xml:space="preserve"> von</w:t>
      </w:r>
      <w:r w:rsidR="00105E6B" w:rsidRPr="00DD7FD7">
        <w:rPr>
          <w:rFonts w:asciiTheme="majorHAnsi" w:hAnsiTheme="majorHAnsi"/>
          <w:szCs w:val="24"/>
        </w:rPr>
        <w:t xml:space="preserve"> Herrn</w:t>
      </w:r>
      <w:r w:rsidRPr="00DD7FD7">
        <w:rPr>
          <w:rFonts w:asciiTheme="majorHAnsi" w:hAnsiTheme="majorHAnsi"/>
          <w:szCs w:val="24"/>
        </w:rPr>
        <w:t xml:space="preserve"> Prof. Dr. Marc Schneider (Institut für Biopharmazie und Pharmazeutische Technologie</w:t>
      </w:r>
      <w:r w:rsidR="00105E6B" w:rsidRPr="00DD7FD7">
        <w:rPr>
          <w:rFonts w:asciiTheme="majorHAnsi" w:hAnsiTheme="majorHAnsi"/>
          <w:szCs w:val="24"/>
        </w:rPr>
        <w:t>, Universität des Saarlandes</w:t>
      </w:r>
      <w:r w:rsidRPr="00DD7FD7">
        <w:rPr>
          <w:rFonts w:asciiTheme="majorHAnsi" w:hAnsiTheme="majorHAnsi"/>
          <w:szCs w:val="24"/>
        </w:rPr>
        <w:t>) und</w:t>
      </w:r>
      <w:r w:rsidR="00105E6B" w:rsidRPr="00DD7FD7">
        <w:rPr>
          <w:rFonts w:asciiTheme="majorHAnsi" w:hAnsiTheme="majorHAnsi"/>
          <w:szCs w:val="24"/>
        </w:rPr>
        <w:t xml:space="preserve"> Herrn</w:t>
      </w:r>
      <w:r w:rsidRPr="00DD7FD7">
        <w:rPr>
          <w:rFonts w:asciiTheme="majorHAnsi" w:hAnsiTheme="majorHAnsi"/>
          <w:szCs w:val="24"/>
        </w:rPr>
        <w:t xml:space="preserve"> Dr. Rosario Lizi</w:t>
      </w:r>
      <w:r w:rsidR="008E31A3" w:rsidRPr="00DD7FD7">
        <w:rPr>
          <w:rFonts w:asciiTheme="majorHAnsi" w:hAnsiTheme="majorHAnsi"/>
          <w:szCs w:val="24"/>
        </w:rPr>
        <w:t>o (Evonik Industries AG) bei</w:t>
      </w:r>
      <w:r w:rsidRPr="00DD7FD7">
        <w:rPr>
          <w:rFonts w:asciiTheme="majorHAnsi" w:hAnsiTheme="majorHAnsi"/>
          <w:szCs w:val="24"/>
        </w:rPr>
        <w:t xml:space="preserve"> Evonik Industries AG in Darmstadt angefertigt.</w:t>
      </w:r>
    </w:p>
    <w:p w14:paraId="7AAB9F41" w14:textId="77777777" w:rsidR="00F84D5B" w:rsidRPr="00F84D5B" w:rsidRDefault="00F84D5B" w:rsidP="00F84D5B">
      <w:pPr>
        <w:rPr>
          <w:rFonts w:asciiTheme="majorHAnsi" w:hAnsiTheme="majorHAnsi"/>
          <w:sz w:val="28"/>
          <w:szCs w:val="28"/>
        </w:rPr>
      </w:pPr>
    </w:p>
    <w:p w14:paraId="25097AF9" w14:textId="77777777" w:rsidR="00F84D5B" w:rsidRPr="00F84D5B" w:rsidRDefault="00F84D5B" w:rsidP="00F84D5B">
      <w:pPr>
        <w:rPr>
          <w:rFonts w:asciiTheme="majorHAnsi" w:hAnsiTheme="majorHAnsi"/>
          <w:sz w:val="28"/>
          <w:szCs w:val="28"/>
        </w:rPr>
      </w:pPr>
    </w:p>
    <w:p w14:paraId="77BF6DC2" w14:textId="77777777" w:rsidR="00F84D5B" w:rsidRPr="00F84D5B" w:rsidRDefault="00F84D5B" w:rsidP="00F84D5B">
      <w:pPr>
        <w:rPr>
          <w:rFonts w:asciiTheme="majorHAnsi" w:hAnsiTheme="majorHAnsi"/>
          <w:sz w:val="28"/>
          <w:szCs w:val="28"/>
        </w:rPr>
      </w:pPr>
    </w:p>
    <w:p w14:paraId="05E29A60" w14:textId="77777777" w:rsidR="00F84D5B" w:rsidRPr="00F84D5B" w:rsidRDefault="00F84D5B" w:rsidP="00F84D5B">
      <w:pPr>
        <w:rPr>
          <w:rFonts w:asciiTheme="majorHAnsi" w:hAnsiTheme="majorHAnsi"/>
          <w:sz w:val="28"/>
          <w:szCs w:val="28"/>
        </w:rPr>
      </w:pPr>
    </w:p>
    <w:p w14:paraId="614901C1" w14:textId="77777777" w:rsidR="00F84D5B" w:rsidRPr="00F84D5B" w:rsidRDefault="00F84D5B" w:rsidP="00F84D5B">
      <w:pPr>
        <w:rPr>
          <w:rFonts w:asciiTheme="majorHAnsi" w:hAnsiTheme="majorHAnsi"/>
          <w:sz w:val="28"/>
          <w:szCs w:val="28"/>
        </w:rPr>
      </w:pPr>
    </w:p>
    <w:p w14:paraId="48D541BF" w14:textId="77777777" w:rsidR="00F84D5B" w:rsidRPr="00F84D5B" w:rsidRDefault="00F84D5B" w:rsidP="00F84D5B">
      <w:pPr>
        <w:rPr>
          <w:rFonts w:asciiTheme="majorHAnsi" w:hAnsiTheme="majorHAnsi"/>
          <w:sz w:val="28"/>
          <w:szCs w:val="28"/>
        </w:rPr>
      </w:pPr>
    </w:p>
    <w:p w14:paraId="38482729" w14:textId="77777777" w:rsidR="00F84D5B" w:rsidRPr="00F84D5B" w:rsidRDefault="00F84D5B" w:rsidP="00F84D5B">
      <w:pPr>
        <w:rPr>
          <w:rFonts w:asciiTheme="majorHAnsi" w:hAnsiTheme="majorHAnsi"/>
          <w:sz w:val="28"/>
          <w:szCs w:val="28"/>
        </w:rPr>
      </w:pPr>
    </w:p>
    <w:p w14:paraId="43132384" w14:textId="77777777" w:rsidR="00F84D5B" w:rsidRPr="00F84D5B" w:rsidRDefault="00F84D5B" w:rsidP="00F84D5B">
      <w:pPr>
        <w:rPr>
          <w:rFonts w:asciiTheme="majorHAnsi" w:hAnsiTheme="majorHAnsi"/>
          <w:sz w:val="28"/>
          <w:szCs w:val="28"/>
        </w:rPr>
      </w:pPr>
    </w:p>
    <w:p w14:paraId="50464DB4" w14:textId="77777777" w:rsidR="00F84D5B" w:rsidRPr="00F84D5B" w:rsidRDefault="00F84D5B" w:rsidP="00F84D5B">
      <w:pPr>
        <w:rPr>
          <w:rFonts w:asciiTheme="majorHAnsi" w:hAnsiTheme="majorHAnsi"/>
          <w:sz w:val="28"/>
          <w:szCs w:val="28"/>
        </w:rPr>
      </w:pPr>
    </w:p>
    <w:p w14:paraId="341FC88F" w14:textId="77777777" w:rsidR="00F84D5B" w:rsidRPr="00F84D5B" w:rsidRDefault="00F84D5B" w:rsidP="00F84D5B">
      <w:pPr>
        <w:rPr>
          <w:rFonts w:asciiTheme="majorHAnsi" w:hAnsiTheme="majorHAnsi"/>
          <w:sz w:val="28"/>
          <w:szCs w:val="28"/>
        </w:rPr>
      </w:pPr>
    </w:p>
    <w:p w14:paraId="425DEB71" w14:textId="77777777" w:rsidR="00F84D5B" w:rsidRPr="00F84D5B" w:rsidRDefault="00F84D5B" w:rsidP="00F84D5B">
      <w:pPr>
        <w:rPr>
          <w:rFonts w:asciiTheme="majorHAnsi" w:hAnsiTheme="majorHAnsi"/>
          <w:sz w:val="28"/>
          <w:szCs w:val="28"/>
        </w:rPr>
      </w:pPr>
    </w:p>
    <w:p w14:paraId="281E318F" w14:textId="77777777" w:rsidR="00F84D5B" w:rsidRPr="00F84D5B" w:rsidRDefault="00F84D5B" w:rsidP="00F84D5B">
      <w:pPr>
        <w:rPr>
          <w:rFonts w:asciiTheme="majorHAnsi" w:hAnsiTheme="majorHAnsi"/>
          <w:sz w:val="28"/>
          <w:szCs w:val="28"/>
        </w:rPr>
      </w:pPr>
    </w:p>
    <w:p w14:paraId="295FF6D2" w14:textId="77777777" w:rsidR="00F84D5B" w:rsidRPr="00F84D5B" w:rsidRDefault="00F84D5B" w:rsidP="00F84D5B">
      <w:pPr>
        <w:rPr>
          <w:rFonts w:asciiTheme="majorHAnsi" w:hAnsiTheme="majorHAnsi"/>
          <w:sz w:val="28"/>
          <w:szCs w:val="28"/>
        </w:rPr>
      </w:pPr>
    </w:p>
    <w:p w14:paraId="618C8EC9" w14:textId="77777777" w:rsidR="00F84D5B" w:rsidRPr="00F84D5B" w:rsidRDefault="00F84D5B" w:rsidP="00F84D5B">
      <w:pPr>
        <w:rPr>
          <w:rFonts w:asciiTheme="majorHAnsi" w:hAnsiTheme="majorHAnsi"/>
          <w:sz w:val="28"/>
          <w:szCs w:val="28"/>
        </w:rPr>
      </w:pPr>
    </w:p>
    <w:p w14:paraId="684E8D35" w14:textId="77777777" w:rsidR="00F84D5B" w:rsidRPr="00F84D5B" w:rsidRDefault="00F84D5B" w:rsidP="00F84D5B">
      <w:pPr>
        <w:rPr>
          <w:rFonts w:asciiTheme="majorHAnsi" w:hAnsiTheme="majorHAnsi"/>
          <w:sz w:val="28"/>
          <w:szCs w:val="28"/>
        </w:rPr>
      </w:pPr>
    </w:p>
    <w:p w14:paraId="288C2271" w14:textId="77777777" w:rsidR="00F84D5B" w:rsidRPr="00F84D5B" w:rsidRDefault="00F84D5B" w:rsidP="00F84D5B">
      <w:pPr>
        <w:rPr>
          <w:rFonts w:asciiTheme="majorHAnsi" w:hAnsiTheme="majorHAnsi"/>
          <w:sz w:val="28"/>
          <w:szCs w:val="28"/>
        </w:rPr>
      </w:pPr>
    </w:p>
    <w:p w14:paraId="23120A04" w14:textId="77777777" w:rsidR="00F84D5B" w:rsidRPr="00F84D5B" w:rsidRDefault="00F84D5B" w:rsidP="00F84D5B">
      <w:pPr>
        <w:rPr>
          <w:rFonts w:asciiTheme="majorHAnsi" w:hAnsiTheme="majorHAnsi"/>
          <w:sz w:val="28"/>
          <w:szCs w:val="28"/>
        </w:rPr>
      </w:pPr>
    </w:p>
    <w:p w14:paraId="06170171" w14:textId="77777777" w:rsidR="00F84D5B" w:rsidRDefault="00F84D5B" w:rsidP="00F84D5B">
      <w:pPr>
        <w:rPr>
          <w:rFonts w:asciiTheme="majorHAnsi" w:hAnsiTheme="majorHAnsi"/>
          <w:sz w:val="28"/>
          <w:szCs w:val="28"/>
        </w:rPr>
      </w:pPr>
    </w:p>
    <w:p w14:paraId="3B9EF231" w14:textId="77777777" w:rsidR="00F84D5B" w:rsidRDefault="00F84D5B" w:rsidP="00F84D5B">
      <w:pPr>
        <w:tabs>
          <w:tab w:val="left" w:pos="3792"/>
        </w:tabs>
        <w:rPr>
          <w:rFonts w:asciiTheme="majorHAnsi" w:hAnsiTheme="majorHAnsi"/>
          <w:sz w:val="28"/>
          <w:szCs w:val="28"/>
        </w:rPr>
      </w:pPr>
      <w:r>
        <w:rPr>
          <w:rFonts w:asciiTheme="majorHAnsi" w:hAnsiTheme="majorHAnsi"/>
          <w:sz w:val="28"/>
          <w:szCs w:val="28"/>
        </w:rPr>
        <w:tab/>
      </w:r>
    </w:p>
    <w:p w14:paraId="5BBE06BC" w14:textId="77777777" w:rsidR="00F84D5B" w:rsidRDefault="00F84D5B" w:rsidP="00F84D5B">
      <w:pPr>
        <w:tabs>
          <w:tab w:val="left" w:pos="3792"/>
        </w:tabs>
        <w:rPr>
          <w:rFonts w:asciiTheme="majorHAnsi" w:hAnsiTheme="majorHAnsi"/>
          <w:sz w:val="28"/>
          <w:szCs w:val="28"/>
        </w:rPr>
      </w:pPr>
    </w:p>
    <w:p w14:paraId="24153855" w14:textId="77777777" w:rsidR="00F84D5B" w:rsidRDefault="00F84D5B" w:rsidP="00F84D5B">
      <w:pPr>
        <w:tabs>
          <w:tab w:val="left" w:pos="3792"/>
        </w:tabs>
        <w:rPr>
          <w:rFonts w:asciiTheme="majorHAnsi" w:hAnsiTheme="majorHAnsi"/>
          <w:sz w:val="28"/>
          <w:szCs w:val="28"/>
        </w:rPr>
      </w:pPr>
    </w:p>
    <w:p w14:paraId="5D1EED25" w14:textId="77777777" w:rsidR="00F84D5B" w:rsidRPr="00F84D5B" w:rsidRDefault="00F84D5B" w:rsidP="00F84D5B">
      <w:pPr>
        <w:rPr>
          <w:rFonts w:asciiTheme="majorHAnsi" w:hAnsiTheme="majorHAnsi"/>
          <w:sz w:val="28"/>
          <w:szCs w:val="28"/>
        </w:rPr>
      </w:pPr>
    </w:p>
    <w:p w14:paraId="067C7D3C" w14:textId="77777777" w:rsidR="00F84D5B" w:rsidRPr="00F84D5B" w:rsidRDefault="00F84D5B" w:rsidP="00F84D5B">
      <w:pPr>
        <w:rPr>
          <w:rFonts w:asciiTheme="majorHAnsi" w:hAnsiTheme="majorHAnsi"/>
          <w:sz w:val="28"/>
          <w:szCs w:val="28"/>
        </w:rPr>
      </w:pPr>
    </w:p>
    <w:p w14:paraId="70DD23A3" w14:textId="77777777" w:rsidR="00F84D5B" w:rsidRPr="00F84D5B" w:rsidRDefault="00F84D5B" w:rsidP="00F84D5B">
      <w:pPr>
        <w:rPr>
          <w:rFonts w:asciiTheme="majorHAnsi" w:hAnsiTheme="majorHAnsi"/>
          <w:sz w:val="28"/>
          <w:szCs w:val="28"/>
        </w:rPr>
      </w:pPr>
    </w:p>
    <w:p w14:paraId="6EAD10EF" w14:textId="77777777" w:rsidR="00F84D5B" w:rsidRPr="00F84D5B" w:rsidRDefault="00F84D5B" w:rsidP="00F84D5B">
      <w:pPr>
        <w:rPr>
          <w:rFonts w:asciiTheme="majorHAnsi" w:hAnsiTheme="majorHAnsi"/>
          <w:sz w:val="28"/>
          <w:szCs w:val="28"/>
        </w:rPr>
      </w:pPr>
    </w:p>
    <w:p w14:paraId="006F903F" w14:textId="77777777" w:rsidR="00F84D5B" w:rsidRPr="00F84D5B" w:rsidRDefault="00F84D5B" w:rsidP="00F84D5B">
      <w:pPr>
        <w:rPr>
          <w:rFonts w:asciiTheme="majorHAnsi" w:hAnsiTheme="majorHAnsi"/>
          <w:sz w:val="28"/>
          <w:szCs w:val="28"/>
        </w:rPr>
      </w:pPr>
    </w:p>
    <w:p w14:paraId="52FD7842" w14:textId="77777777" w:rsidR="00F84D5B" w:rsidRPr="00F84D5B" w:rsidRDefault="00F84D5B" w:rsidP="00F84D5B">
      <w:pPr>
        <w:rPr>
          <w:rFonts w:asciiTheme="majorHAnsi" w:hAnsiTheme="majorHAnsi"/>
          <w:sz w:val="28"/>
          <w:szCs w:val="28"/>
        </w:rPr>
      </w:pPr>
    </w:p>
    <w:p w14:paraId="60FB5EBB" w14:textId="77777777" w:rsidR="00F84D5B" w:rsidRPr="00F84D5B" w:rsidRDefault="00F84D5B" w:rsidP="00F84D5B">
      <w:pPr>
        <w:rPr>
          <w:rFonts w:asciiTheme="majorHAnsi" w:hAnsiTheme="majorHAnsi"/>
          <w:sz w:val="28"/>
          <w:szCs w:val="28"/>
        </w:rPr>
      </w:pPr>
    </w:p>
    <w:p w14:paraId="266E20AC" w14:textId="77777777" w:rsidR="00F84D5B" w:rsidRPr="00F84D5B" w:rsidRDefault="00F84D5B" w:rsidP="00F84D5B">
      <w:pPr>
        <w:rPr>
          <w:rFonts w:asciiTheme="majorHAnsi" w:hAnsiTheme="majorHAnsi"/>
          <w:sz w:val="28"/>
          <w:szCs w:val="28"/>
        </w:rPr>
      </w:pPr>
    </w:p>
    <w:p w14:paraId="69E8402C" w14:textId="77777777" w:rsidR="00F84D5B" w:rsidRPr="00F84D5B" w:rsidRDefault="00F84D5B" w:rsidP="00F84D5B">
      <w:pPr>
        <w:rPr>
          <w:rFonts w:asciiTheme="majorHAnsi" w:hAnsiTheme="majorHAnsi"/>
          <w:sz w:val="28"/>
          <w:szCs w:val="28"/>
        </w:rPr>
      </w:pPr>
    </w:p>
    <w:p w14:paraId="0DF2C216" w14:textId="77777777" w:rsidR="00F84D5B" w:rsidRPr="00F84D5B" w:rsidRDefault="00F84D5B" w:rsidP="00F84D5B">
      <w:pPr>
        <w:rPr>
          <w:rFonts w:asciiTheme="majorHAnsi" w:hAnsiTheme="majorHAnsi"/>
          <w:sz w:val="28"/>
          <w:szCs w:val="28"/>
        </w:rPr>
      </w:pPr>
    </w:p>
    <w:p w14:paraId="350C8143" w14:textId="77777777" w:rsidR="00F84D5B" w:rsidRPr="00F84D5B" w:rsidRDefault="00F84D5B" w:rsidP="00F84D5B">
      <w:pPr>
        <w:rPr>
          <w:rFonts w:asciiTheme="majorHAnsi" w:hAnsiTheme="majorHAnsi"/>
          <w:sz w:val="28"/>
          <w:szCs w:val="28"/>
        </w:rPr>
      </w:pPr>
    </w:p>
    <w:p w14:paraId="3BC7B4D1" w14:textId="77777777" w:rsidR="00F84D5B" w:rsidRPr="00F84D5B" w:rsidRDefault="00F84D5B" w:rsidP="00F84D5B">
      <w:pPr>
        <w:rPr>
          <w:rFonts w:asciiTheme="majorHAnsi" w:hAnsiTheme="majorHAnsi"/>
          <w:sz w:val="28"/>
          <w:szCs w:val="28"/>
        </w:rPr>
      </w:pPr>
    </w:p>
    <w:p w14:paraId="777088B8" w14:textId="77777777" w:rsidR="00F84D5B" w:rsidRDefault="00F84D5B" w:rsidP="00F84D5B">
      <w:pPr>
        <w:rPr>
          <w:rFonts w:asciiTheme="majorHAnsi" w:hAnsiTheme="majorHAnsi"/>
          <w:sz w:val="28"/>
          <w:szCs w:val="28"/>
        </w:rPr>
      </w:pPr>
    </w:p>
    <w:p w14:paraId="3339F008" w14:textId="77777777" w:rsidR="00DD7FD7" w:rsidRDefault="00DD7FD7" w:rsidP="00F84D5B">
      <w:pPr>
        <w:rPr>
          <w:rFonts w:asciiTheme="majorHAnsi" w:hAnsiTheme="majorHAnsi"/>
          <w:sz w:val="28"/>
          <w:szCs w:val="28"/>
        </w:rPr>
      </w:pPr>
    </w:p>
    <w:p w14:paraId="50BA400B" w14:textId="77777777" w:rsidR="00DD7FD7" w:rsidRPr="00F84D5B" w:rsidRDefault="00DD7FD7" w:rsidP="00F84D5B">
      <w:pPr>
        <w:rPr>
          <w:rFonts w:asciiTheme="majorHAnsi" w:hAnsiTheme="majorHAnsi"/>
          <w:sz w:val="28"/>
          <w:szCs w:val="28"/>
        </w:rPr>
      </w:pPr>
    </w:p>
    <w:p w14:paraId="1437B75F" w14:textId="77777777" w:rsidR="00F84D5B" w:rsidRPr="00F84D5B" w:rsidRDefault="00F84D5B" w:rsidP="00F84D5B">
      <w:pPr>
        <w:rPr>
          <w:rFonts w:asciiTheme="majorHAnsi" w:hAnsiTheme="majorHAnsi"/>
          <w:sz w:val="28"/>
          <w:szCs w:val="28"/>
        </w:rPr>
      </w:pPr>
    </w:p>
    <w:p w14:paraId="38827507" w14:textId="77777777" w:rsidR="00F84D5B" w:rsidRPr="00F84D5B" w:rsidRDefault="00F84D5B" w:rsidP="00F84D5B">
      <w:pPr>
        <w:rPr>
          <w:rFonts w:asciiTheme="majorHAnsi" w:hAnsiTheme="majorHAnsi"/>
          <w:sz w:val="28"/>
          <w:szCs w:val="28"/>
        </w:rPr>
      </w:pPr>
    </w:p>
    <w:p w14:paraId="7FD06C40" w14:textId="77777777" w:rsidR="00F84D5B" w:rsidRPr="00F84D5B" w:rsidRDefault="00F84D5B" w:rsidP="00F84D5B">
      <w:pPr>
        <w:rPr>
          <w:rFonts w:asciiTheme="majorHAnsi" w:hAnsiTheme="majorHAnsi"/>
          <w:sz w:val="28"/>
          <w:szCs w:val="28"/>
        </w:rPr>
      </w:pPr>
    </w:p>
    <w:p w14:paraId="79D5C3DD" w14:textId="77777777" w:rsidR="00F84D5B" w:rsidRPr="00F84D5B" w:rsidRDefault="00F84D5B" w:rsidP="00F84D5B">
      <w:pPr>
        <w:rPr>
          <w:rFonts w:asciiTheme="majorHAnsi" w:hAnsiTheme="majorHAnsi"/>
          <w:sz w:val="28"/>
          <w:szCs w:val="28"/>
        </w:rPr>
      </w:pPr>
    </w:p>
    <w:p w14:paraId="18C7F5CA" w14:textId="77777777" w:rsidR="00F84D5B" w:rsidRPr="00F84D5B" w:rsidRDefault="00F84D5B" w:rsidP="00F84D5B">
      <w:pPr>
        <w:rPr>
          <w:rFonts w:asciiTheme="majorHAnsi" w:hAnsiTheme="majorHAnsi"/>
          <w:sz w:val="28"/>
          <w:szCs w:val="28"/>
        </w:rPr>
      </w:pPr>
    </w:p>
    <w:p w14:paraId="4A2D0DA4" w14:textId="77777777" w:rsidR="00F84D5B" w:rsidRPr="00F84D5B" w:rsidRDefault="00F84D5B" w:rsidP="00F84D5B">
      <w:pPr>
        <w:rPr>
          <w:rFonts w:asciiTheme="majorHAnsi" w:hAnsiTheme="majorHAnsi"/>
          <w:sz w:val="28"/>
          <w:szCs w:val="28"/>
        </w:rPr>
      </w:pPr>
    </w:p>
    <w:p w14:paraId="3D711C74" w14:textId="77777777" w:rsidR="00105E6B" w:rsidRPr="00DD73B1" w:rsidRDefault="00105E6B" w:rsidP="00105E6B">
      <w:pPr>
        <w:tabs>
          <w:tab w:val="left" w:pos="1480"/>
        </w:tabs>
        <w:jc w:val="center"/>
        <w:rPr>
          <w:rFonts w:cs="Times New Roman"/>
          <w:sz w:val="40"/>
          <w:szCs w:val="40"/>
        </w:rPr>
      </w:pPr>
      <w:r w:rsidRPr="00DD73B1">
        <w:rPr>
          <w:rFonts w:cs="Times New Roman"/>
          <w:sz w:val="40"/>
          <w:szCs w:val="40"/>
        </w:rPr>
        <w:lastRenderedPageBreak/>
        <w:t>Danksagung</w:t>
      </w:r>
    </w:p>
    <w:p w14:paraId="375D59BE" w14:textId="77777777" w:rsidR="00105E6B" w:rsidRDefault="00105E6B" w:rsidP="00105E6B">
      <w:pPr>
        <w:tabs>
          <w:tab w:val="left" w:pos="1480"/>
        </w:tabs>
        <w:spacing w:after="0"/>
        <w:rPr>
          <w:rFonts w:cs="Times New Roman"/>
          <w:szCs w:val="24"/>
        </w:rPr>
      </w:pPr>
    </w:p>
    <w:p w14:paraId="1348B26E" w14:textId="77777777" w:rsidR="00105E6B" w:rsidRDefault="00105E6B" w:rsidP="00105E6B">
      <w:pPr>
        <w:tabs>
          <w:tab w:val="left" w:pos="1480"/>
        </w:tabs>
        <w:rPr>
          <w:rFonts w:cs="Times New Roman"/>
          <w:szCs w:val="24"/>
        </w:rPr>
      </w:pPr>
      <w:r>
        <w:rPr>
          <w:rFonts w:cs="Times New Roman"/>
          <w:szCs w:val="24"/>
        </w:rPr>
        <w:t>Ich möchte mich herzlich bedanken bei:</w:t>
      </w:r>
    </w:p>
    <w:p w14:paraId="66F1E8B8" w14:textId="77777777" w:rsidR="00105E6B" w:rsidRDefault="00105E6B" w:rsidP="00105E6B">
      <w:pPr>
        <w:tabs>
          <w:tab w:val="left" w:pos="1480"/>
        </w:tabs>
        <w:rPr>
          <w:rFonts w:cs="Times New Roman"/>
          <w:szCs w:val="24"/>
        </w:rPr>
      </w:pPr>
      <w:r>
        <w:rPr>
          <w:rFonts w:cs="Times New Roman"/>
          <w:szCs w:val="24"/>
        </w:rPr>
        <w:t xml:space="preserve">Meinem Doktorvater Prof. Dr. Marc Schneider </w:t>
      </w:r>
      <w:r w:rsidR="007324B0">
        <w:rPr>
          <w:rFonts w:cs="Times New Roman"/>
          <w:szCs w:val="24"/>
        </w:rPr>
        <w:t xml:space="preserve">für die Überlassung des </w:t>
      </w:r>
      <w:r w:rsidR="008628BA">
        <w:rPr>
          <w:rFonts w:cs="Times New Roman"/>
          <w:szCs w:val="24"/>
        </w:rPr>
        <w:t>hoch</w:t>
      </w:r>
      <w:r w:rsidR="007324B0">
        <w:rPr>
          <w:rFonts w:cs="Times New Roman"/>
          <w:szCs w:val="24"/>
        </w:rPr>
        <w:t xml:space="preserve">interessanten </w:t>
      </w:r>
      <w:r w:rsidR="00E46AE5">
        <w:rPr>
          <w:rFonts w:cs="Times New Roman"/>
          <w:szCs w:val="24"/>
        </w:rPr>
        <w:t>und vielseitigen Themas, d</w:t>
      </w:r>
      <w:r w:rsidR="005A207C">
        <w:rPr>
          <w:rFonts w:cs="Times New Roman"/>
          <w:szCs w:val="24"/>
        </w:rPr>
        <w:t>as entgegengebrachte Vertrauen, seinen pro</w:t>
      </w:r>
      <w:r w:rsidR="00F109FC">
        <w:rPr>
          <w:rFonts w:cs="Times New Roman"/>
          <w:szCs w:val="24"/>
        </w:rPr>
        <w:t>fessionellen Rat u</w:t>
      </w:r>
      <w:r w:rsidR="00097B32">
        <w:rPr>
          <w:rFonts w:cs="Times New Roman"/>
          <w:szCs w:val="24"/>
        </w:rPr>
        <w:t>nd seine fachliche Unterstützung</w:t>
      </w:r>
      <w:r w:rsidR="005A207C">
        <w:rPr>
          <w:rFonts w:cs="Times New Roman"/>
          <w:szCs w:val="24"/>
        </w:rPr>
        <w:t xml:space="preserve"> in jeder Phase dieser Arbeit, </w:t>
      </w:r>
      <w:r w:rsidR="00E46AE5">
        <w:rPr>
          <w:rFonts w:cs="Times New Roman"/>
          <w:szCs w:val="24"/>
        </w:rPr>
        <w:t>den regelmäßigen wissenschaftlichen Austauch und die</w:t>
      </w:r>
      <w:r w:rsidR="005A207C">
        <w:rPr>
          <w:rFonts w:cs="Times New Roman"/>
          <w:szCs w:val="24"/>
        </w:rPr>
        <w:t xml:space="preserve"> hervorragende Erreichbarkeit </w:t>
      </w:r>
      <w:r w:rsidR="00097B32">
        <w:rPr>
          <w:rFonts w:cs="Times New Roman"/>
          <w:szCs w:val="24"/>
        </w:rPr>
        <w:t>an jedem Ort zu fast jeder Zeit.</w:t>
      </w:r>
    </w:p>
    <w:p w14:paraId="6979D4FA" w14:textId="77777777" w:rsidR="00E46AE5" w:rsidRDefault="00C70C79" w:rsidP="00105E6B">
      <w:pPr>
        <w:tabs>
          <w:tab w:val="left" w:pos="1480"/>
        </w:tabs>
        <w:rPr>
          <w:rFonts w:cs="Times New Roman"/>
          <w:szCs w:val="24"/>
        </w:rPr>
      </w:pPr>
      <w:r>
        <w:rPr>
          <w:rFonts w:cs="Times New Roman"/>
          <w:szCs w:val="24"/>
        </w:rPr>
        <w:t>Meinem</w:t>
      </w:r>
      <w:r w:rsidR="00097B32">
        <w:rPr>
          <w:rFonts w:cs="Times New Roman"/>
          <w:szCs w:val="24"/>
        </w:rPr>
        <w:t xml:space="preserve"> akademischen</w:t>
      </w:r>
      <w:r>
        <w:rPr>
          <w:rFonts w:cs="Times New Roman"/>
          <w:szCs w:val="24"/>
        </w:rPr>
        <w:t xml:space="preserve"> Mentor </w:t>
      </w:r>
      <w:r w:rsidR="00E46AE5">
        <w:rPr>
          <w:rFonts w:cs="Times New Roman"/>
          <w:szCs w:val="24"/>
        </w:rPr>
        <w:t>Dr. Rosario Lizi</w:t>
      </w:r>
      <w:r w:rsidR="008E31A3">
        <w:rPr>
          <w:rFonts w:cs="Times New Roman"/>
          <w:szCs w:val="24"/>
        </w:rPr>
        <w:t>o, der mir ermöglicht hat, diese</w:t>
      </w:r>
      <w:r w:rsidR="00E46AE5">
        <w:rPr>
          <w:rFonts w:cs="Times New Roman"/>
          <w:szCs w:val="24"/>
        </w:rPr>
        <w:t xml:space="preserve"> Arbeit bei Evonik Industries</w:t>
      </w:r>
      <w:r w:rsidR="005A207C">
        <w:rPr>
          <w:rFonts w:cs="Times New Roman"/>
          <w:szCs w:val="24"/>
        </w:rPr>
        <w:t xml:space="preserve"> AG anfertigen zu können</w:t>
      </w:r>
      <w:r w:rsidR="00C41BE5">
        <w:rPr>
          <w:rFonts w:cs="Times New Roman"/>
          <w:szCs w:val="24"/>
        </w:rPr>
        <w:t>,</w:t>
      </w:r>
      <w:r w:rsidR="005A207C">
        <w:rPr>
          <w:rFonts w:cs="Times New Roman"/>
          <w:szCs w:val="24"/>
        </w:rPr>
        <w:t xml:space="preserve"> </w:t>
      </w:r>
      <w:r w:rsidR="00E46AE5">
        <w:rPr>
          <w:rFonts w:cs="Times New Roman"/>
          <w:szCs w:val="24"/>
        </w:rPr>
        <w:t xml:space="preserve">für das </w:t>
      </w:r>
      <w:r w:rsidR="00634D97">
        <w:rPr>
          <w:rFonts w:cs="Times New Roman"/>
          <w:szCs w:val="24"/>
        </w:rPr>
        <w:t>entgegengebrachte Vertraue</w:t>
      </w:r>
      <w:r w:rsidR="005A207C">
        <w:rPr>
          <w:rFonts w:cs="Times New Roman"/>
          <w:szCs w:val="24"/>
        </w:rPr>
        <w:t>n und die</w:t>
      </w:r>
      <w:r w:rsidR="008628BA">
        <w:rPr>
          <w:rFonts w:cs="Times New Roman"/>
          <w:szCs w:val="24"/>
        </w:rPr>
        <w:t xml:space="preserve"> viele</w:t>
      </w:r>
      <w:r w:rsidR="005A207C">
        <w:rPr>
          <w:rFonts w:cs="Times New Roman"/>
          <w:szCs w:val="24"/>
        </w:rPr>
        <w:t>n</w:t>
      </w:r>
      <w:r w:rsidR="008628BA">
        <w:rPr>
          <w:rFonts w:cs="Times New Roman"/>
          <w:szCs w:val="24"/>
        </w:rPr>
        <w:t xml:space="preserve"> kompetente</w:t>
      </w:r>
      <w:r w:rsidR="005A207C">
        <w:rPr>
          <w:rFonts w:cs="Times New Roman"/>
          <w:szCs w:val="24"/>
        </w:rPr>
        <w:t>n</w:t>
      </w:r>
      <w:r w:rsidR="00634D97">
        <w:rPr>
          <w:rFonts w:cs="Times New Roman"/>
          <w:szCs w:val="24"/>
        </w:rPr>
        <w:t xml:space="preserve"> Ratschläge und</w:t>
      </w:r>
      <w:r w:rsidR="00097B32">
        <w:rPr>
          <w:rFonts w:cs="Times New Roman"/>
          <w:szCs w:val="24"/>
        </w:rPr>
        <w:t xml:space="preserve"> anregenden</w:t>
      </w:r>
      <w:r w:rsidR="00634D97">
        <w:rPr>
          <w:rFonts w:cs="Times New Roman"/>
          <w:szCs w:val="24"/>
        </w:rPr>
        <w:t xml:space="preserve"> Diskussionen</w:t>
      </w:r>
      <w:r w:rsidR="00494DAF">
        <w:rPr>
          <w:rFonts w:cs="Times New Roman"/>
          <w:szCs w:val="24"/>
        </w:rPr>
        <w:t>. Seine wegweisenden und kreativen Ideen haben wesentlich zum Gelingen dieser Arbeit beigetragen.</w:t>
      </w:r>
    </w:p>
    <w:p w14:paraId="01EC5783" w14:textId="77777777" w:rsidR="009433BD" w:rsidRDefault="009433BD" w:rsidP="00105E6B">
      <w:pPr>
        <w:tabs>
          <w:tab w:val="left" w:pos="1480"/>
        </w:tabs>
        <w:rPr>
          <w:rFonts w:cs="Times New Roman"/>
          <w:szCs w:val="24"/>
        </w:rPr>
      </w:pPr>
      <w:r>
        <w:rPr>
          <w:rFonts w:cs="Times New Roman"/>
          <w:szCs w:val="24"/>
        </w:rPr>
        <w:t xml:space="preserve">Prof. Dr. Christian Ducho </w:t>
      </w:r>
      <w:r w:rsidR="00334DA8">
        <w:rPr>
          <w:rFonts w:cs="Times New Roman"/>
          <w:szCs w:val="24"/>
        </w:rPr>
        <w:t>für die Übernahme des Zweitgutachtens.</w:t>
      </w:r>
    </w:p>
    <w:p w14:paraId="62E5E426" w14:textId="77777777" w:rsidR="009433BD" w:rsidRDefault="009433BD" w:rsidP="00105E6B">
      <w:pPr>
        <w:tabs>
          <w:tab w:val="left" w:pos="1480"/>
        </w:tabs>
        <w:rPr>
          <w:rFonts w:cs="Times New Roman"/>
          <w:szCs w:val="24"/>
        </w:rPr>
      </w:pPr>
      <w:r>
        <w:rPr>
          <w:rFonts w:cs="Times New Roman"/>
          <w:szCs w:val="24"/>
        </w:rPr>
        <w:t xml:space="preserve">Prof. Dr. Claus Jacob </w:t>
      </w:r>
      <w:r w:rsidR="00C70C79">
        <w:rPr>
          <w:rFonts w:cs="Times New Roman"/>
          <w:szCs w:val="24"/>
        </w:rPr>
        <w:t>für die Übernahme des Vorsitzes der Prüfungskommission.</w:t>
      </w:r>
    </w:p>
    <w:p w14:paraId="286E826A" w14:textId="77777777" w:rsidR="00C70C79" w:rsidRDefault="00C70C79" w:rsidP="00105E6B">
      <w:pPr>
        <w:tabs>
          <w:tab w:val="left" w:pos="1480"/>
        </w:tabs>
        <w:rPr>
          <w:rFonts w:cs="Times New Roman"/>
          <w:szCs w:val="24"/>
        </w:rPr>
      </w:pPr>
      <w:r>
        <w:rPr>
          <w:rFonts w:cs="Times New Roman"/>
          <w:szCs w:val="24"/>
        </w:rPr>
        <w:t>Dr. Sonja Keßler für die Übernahme des Beisitzes der Prüfungskommission.</w:t>
      </w:r>
    </w:p>
    <w:p w14:paraId="328DE99C" w14:textId="77777777" w:rsidR="00C70C79" w:rsidRDefault="0039472D" w:rsidP="00105E6B">
      <w:pPr>
        <w:tabs>
          <w:tab w:val="left" w:pos="1480"/>
        </w:tabs>
        <w:rPr>
          <w:rFonts w:cs="Times New Roman"/>
          <w:szCs w:val="24"/>
        </w:rPr>
      </w:pPr>
      <w:r>
        <w:rPr>
          <w:rFonts w:cs="Times New Roman"/>
          <w:szCs w:val="24"/>
        </w:rPr>
        <w:t>Dr. Silko Grimm für viele hilfreiche Ratschläge zu wissenschaftlichem Arbeiten, die hervorragende Erreichbarkeit und Unterstützung im Doktorandenalltag und wissenschaftlich kritische Hinterfragung.</w:t>
      </w:r>
    </w:p>
    <w:p w14:paraId="0947DBFE" w14:textId="77777777" w:rsidR="00F85294" w:rsidRDefault="00F85294" w:rsidP="00105E6B">
      <w:pPr>
        <w:tabs>
          <w:tab w:val="left" w:pos="1480"/>
        </w:tabs>
        <w:rPr>
          <w:rFonts w:cs="Times New Roman"/>
          <w:szCs w:val="24"/>
        </w:rPr>
      </w:pPr>
      <w:r>
        <w:rPr>
          <w:rFonts w:cs="Times New Roman"/>
          <w:szCs w:val="24"/>
        </w:rPr>
        <w:t>Dr. Markus Rossmeissl, Dr. Johannes Vorholz, Wolfgang Luley und Michael Jokiel für die hervorragende Unterstützung und außerordentlich fruchtbar</w:t>
      </w:r>
      <w:r w:rsidR="00985931">
        <w:rPr>
          <w:rFonts w:cs="Times New Roman"/>
          <w:szCs w:val="24"/>
        </w:rPr>
        <w:t>e Zusammenarbeit beim Aufbau der RESS Versuchsanlage</w:t>
      </w:r>
      <w:r>
        <w:rPr>
          <w:rFonts w:cs="Times New Roman"/>
          <w:szCs w:val="24"/>
        </w:rPr>
        <w:t xml:space="preserve"> und</w:t>
      </w:r>
      <w:r w:rsidR="00634ECE">
        <w:rPr>
          <w:rFonts w:cs="Times New Roman"/>
          <w:szCs w:val="24"/>
        </w:rPr>
        <w:t xml:space="preserve"> bei</w:t>
      </w:r>
      <w:r>
        <w:rPr>
          <w:rFonts w:cs="Times New Roman"/>
          <w:szCs w:val="24"/>
        </w:rPr>
        <w:t xml:space="preserve"> der Durchführung der Versuche.</w:t>
      </w:r>
    </w:p>
    <w:p w14:paraId="24CF5C58" w14:textId="77777777" w:rsidR="005C067B" w:rsidRDefault="005C067B" w:rsidP="00105E6B">
      <w:pPr>
        <w:tabs>
          <w:tab w:val="left" w:pos="1480"/>
        </w:tabs>
        <w:rPr>
          <w:rFonts w:cs="Times New Roman"/>
          <w:szCs w:val="24"/>
        </w:rPr>
      </w:pPr>
      <w:r>
        <w:rPr>
          <w:rFonts w:cs="Times New Roman"/>
          <w:szCs w:val="24"/>
        </w:rPr>
        <w:t>Dem Team des Biolabors bei Evonik Industries AG</w:t>
      </w:r>
      <w:r w:rsidR="00985931">
        <w:rPr>
          <w:rFonts w:cs="Times New Roman"/>
          <w:szCs w:val="24"/>
        </w:rPr>
        <w:t>,</w:t>
      </w:r>
      <w:r>
        <w:rPr>
          <w:rFonts w:cs="Times New Roman"/>
          <w:szCs w:val="24"/>
        </w:rPr>
        <w:t xml:space="preserve"> Dr. Anne Benedikt und Susanne </w:t>
      </w:r>
      <w:r w:rsidR="00957343">
        <w:rPr>
          <w:rFonts w:cs="Times New Roman"/>
          <w:szCs w:val="24"/>
        </w:rPr>
        <w:t>Ull</w:t>
      </w:r>
      <w:r w:rsidR="00C93266">
        <w:rPr>
          <w:rFonts w:cs="Times New Roman"/>
          <w:szCs w:val="24"/>
        </w:rPr>
        <w:t>rich</w:t>
      </w:r>
      <w:r w:rsidR="00985931">
        <w:rPr>
          <w:rFonts w:cs="Times New Roman"/>
          <w:szCs w:val="24"/>
        </w:rPr>
        <w:t>,</w:t>
      </w:r>
      <w:r w:rsidR="00C93266">
        <w:rPr>
          <w:rFonts w:cs="Times New Roman"/>
          <w:szCs w:val="24"/>
        </w:rPr>
        <w:t xml:space="preserve"> für die Unterstützung mit </w:t>
      </w:r>
      <w:r w:rsidR="00C93266" w:rsidRPr="00C93266">
        <w:rPr>
          <w:rFonts w:cs="Times New Roman"/>
          <w:i/>
          <w:szCs w:val="24"/>
        </w:rPr>
        <w:t>in vitro</w:t>
      </w:r>
      <w:r w:rsidR="00C93266">
        <w:rPr>
          <w:rFonts w:cs="Times New Roman"/>
          <w:szCs w:val="24"/>
        </w:rPr>
        <w:t xml:space="preserve"> Charakterisierungen der Formulierungen.</w:t>
      </w:r>
    </w:p>
    <w:p w14:paraId="421650DE" w14:textId="77777777" w:rsidR="00C93266" w:rsidRPr="00C93266" w:rsidRDefault="00954862" w:rsidP="00105E6B">
      <w:pPr>
        <w:tabs>
          <w:tab w:val="left" w:pos="1480"/>
        </w:tabs>
        <w:rPr>
          <w:rFonts w:cs="Times New Roman"/>
          <w:szCs w:val="24"/>
        </w:rPr>
      </w:pPr>
      <w:r>
        <w:rPr>
          <w:rFonts w:cs="Times New Roman"/>
          <w:szCs w:val="24"/>
        </w:rPr>
        <w:t>Dem Bioverfügb</w:t>
      </w:r>
      <w:r w:rsidR="00C93266">
        <w:rPr>
          <w:rFonts w:cs="Times New Roman"/>
          <w:szCs w:val="24"/>
        </w:rPr>
        <w:t>a</w:t>
      </w:r>
      <w:r>
        <w:rPr>
          <w:rFonts w:cs="Times New Roman"/>
          <w:szCs w:val="24"/>
        </w:rPr>
        <w:t>r</w:t>
      </w:r>
      <w:r w:rsidR="00C93266">
        <w:rPr>
          <w:rFonts w:cs="Times New Roman"/>
          <w:szCs w:val="24"/>
        </w:rPr>
        <w:t>keitsteam des PeTrA Projektes mit Prof. Dr. Roland Brock, Dr. Rike Wallbrecher</w:t>
      </w:r>
      <w:r w:rsidR="001F4C93">
        <w:rPr>
          <w:rFonts w:cs="Times New Roman"/>
          <w:szCs w:val="24"/>
        </w:rPr>
        <w:t>,</w:t>
      </w:r>
      <w:r>
        <w:rPr>
          <w:rFonts w:cs="Times New Roman"/>
          <w:szCs w:val="24"/>
        </w:rPr>
        <w:t xml:space="preserve"> Daniel Primaveßy, Dr. Marco Metzger und Matthias Schweinlin.</w:t>
      </w:r>
    </w:p>
    <w:p w14:paraId="6D2937A0" w14:textId="77777777" w:rsidR="00F85294" w:rsidRDefault="00F85294" w:rsidP="00105E6B">
      <w:pPr>
        <w:tabs>
          <w:tab w:val="left" w:pos="1480"/>
        </w:tabs>
        <w:rPr>
          <w:rFonts w:cs="Times New Roman"/>
          <w:szCs w:val="24"/>
        </w:rPr>
      </w:pPr>
      <w:r>
        <w:rPr>
          <w:rFonts w:cs="Times New Roman"/>
          <w:szCs w:val="24"/>
        </w:rPr>
        <w:t>Michael Damm für die Unterstützung bei der Polyme</w:t>
      </w:r>
      <w:r w:rsidR="007A3936">
        <w:rPr>
          <w:rFonts w:cs="Times New Roman"/>
          <w:szCs w:val="24"/>
        </w:rPr>
        <w:t>rcharakterisierung, seine große Hilfsbereitsch</w:t>
      </w:r>
      <w:r w:rsidR="0012344B">
        <w:rPr>
          <w:rFonts w:cs="Times New Roman"/>
          <w:szCs w:val="24"/>
        </w:rPr>
        <w:t>aft</w:t>
      </w:r>
      <w:r w:rsidR="007A3936">
        <w:rPr>
          <w:rFonts w:cs="Times New Roman"/>
          <w:szCs w:val="24"/>
        </w:rPr>
        <w:t>, ein immer offenes Ohr und die unterhaltsamen Mittagspausen.</w:t>
      </w:r>
    </w:p>
    <w:p w14:paraId="6147F34D" w14:textId="77777777" w:rsidR="00104984" w:rsidRDefault="007A3936" w:rsidP="00105E6B">
      <w:pPr>
        <w:tabs>
          <w:tab w:val="left" w:pos="1480"/>
        </w:tabs>
        <w:rPr>
          <w:rFonts w:cs="Times New Roman"/>
          <w:szCs w:val="24"/>
        </w:rPr>
      </w:pPr>
      <w:r>
        <w:rPr>
          <w:rFonts w:cs="Times New Roman"/>
          <w:szCs w:val="24"/>
        </w:rPr>
        <w:t>Silke Kurz und Sina Henderkes für viele kreativ</w:t>
      </w:r>
      <w:r w:rsidR="0012344B">
        <w:rPr>
          <w:rFonts w:cs="Times New Roman"/>
          <w:szCs w:val="24"/>
        </w:rPr>
        <w:t>e Ideen bei der Erstellung hochwertiger REM Aufnahmen.</w:t>
      </w:r>
    </w:p>
    <w:p w14:paraId="204DCCAE" w14:textId="77777777" w:rsidR="00B55B67" w:rsidRDefault="008E31A3" w:rsidP="00105E6B">
      <w:pPr>
        <w:tabs>
          <w:tab w:val="left" w:pos="1480"/>
        </w:tabs>
        <w:rPr>
          <w:rFonts w:cs="Times New Roman"/>
          <w:szCs w:val="24"/>
        </w:rPr>
      </w:pPr>
      <w:r>
        <w:rPr>
          <w:rFonts w:cs="Times New Roman"/>
          <w:szCs w:val="24"/>
        </w:rPr>
        <w:lastRenderedPageBreak/>
        <w:t>Allen</w:t>
      </w:r>
      <w:r w:rsidR="00C41BE5">
        <w:rPr>
          <w:rFonts w:cs="Times New Roman"/>
          <w:szCs w:val="24"/>
        </w:rPr>
        <w:t xml:space="preserve"> ehemaligen und aktuellen Mitg</w:t>
      </w:r>
      <w:r w:rsidR="00104984">
        <w:rPr>
          <w:rFonts w:cs="Times New Roman"/>
          <w:szCs w:val="24"/>
        </w:rPr>
        <w:t>l</w:t>
      </w:r>
      <w:r w:rsidR="00C41BE5">
        <w:rPr>
          <w:rFonts w:cs="Times New Roman"/>
          <w:szCs w:val="24"/>
        </w:rPr>
        <w:t>iedern</w:t>
      </w:r>
      <w:r w:rsidR="00F13E65">
        <w:rPr>
          <w:rFonts w:cs="Times New Roman"/>
          <w:szCs w:val="24"/>
        </w:rPr>
        <w:t xml:space="preserve"> der</w:t>
      </w:r>
      <w:r w:rsidR="00B55B67">
        <w:rPr>
          <w:rFonts w:cs="Times New Roman"/>
          <w:szCs w:val="24"/>
        </w:rPr>
        <w:t xml:space="preserve"> Gruppe Discovery &amp; Development bei Evonik Industries AG </w:t>
      </w:r>
      <w:r w:rsidR="00985931">
        <w:rPr>
          <w:rFonts w:cs="Times New Roman"/>
          <w:szCs w:val="24"/>
        </w:rPr>
        <w:t>für eine</w:t>
      </w:r>
      <w:r w:rsidR="00C41BE5">
        <w:rPr>
          <w:rFonts w:cs="Times New Roman"/>
          <w:szCs w:val="24"/>
        </w:rPr>
        <w:t xml:space="preserve"> stets ausgezeichnete und kollegiale</w:t>
      </w:r>
      <w:r w:rsidR="00954862">
        <w:rPr>
          <w:rFonts w:cs="Times New Roman"/>
          <w:szCs w:val="24"/>
        </w:rPr>
        <w:t xml:space="preserve"> A</w:t>
      </w:r>
      <w:r w:rsidR="00C41BE5">
        <w:rPr>
          <w:rFonts w:cs="Times New Roman"/>
          <w:szCs w:val="24"/>
        </w:rPr>
        <w:t>rbeitsatmosphäre</w:t>
      </w:r>
      <w:r w:rsidR="00985931">
        <w:rPr>
          <w:rFonts w:cs="Times New Roman"/>
          <w:szCs w:val="24"/>
        </w:rPr>
        <w:t xml:space="preserve"> und</w:t>
      </w:r>
      <w:r>
        <w:rPr>
          <w:rFonts w:cs="Times New Roman"/>
          <w:szCs w:val="24"/>
        </w:rPr>
        <w:t xml:space="preserve"> die große Hil</w:t>
      </w:r>
      <w:r w:rsidR="00D72721">
        <w:rPr>
          <w:rFonts w:cs="Times New Roman"/>
          <w:szCs w:val="24"/>
        </w:rPr>
        <w:t>fsbe</w:t>
      </w:r>
      <w:r w:rsidR="00985931">
        <w:rPr>
          <w:rFonts w:cs="Times New Roman"/>
          <w:szCs w:val="24"/>
        </w:rPr>
        <w:t>reitschaft</w:t>
      </w:r>
      <w:r>
        <w:rPr>
          <w:rFonts w:cs="Times New Roman"/>
          <w:szCs w:val="24"/>
        </w:rPr>
        <w:t>.</w:t>
      </w:r>
    </w:p>
    <w:p w14:paraId="63B204C7" w14:textId="77777777" w:rsidR="00B55B67" w:rsidRDefault="00B55B67" w:rsidP="00105E6B">
      <w:pPr>
        <w:tabs>
          <w:tab w:val="left" w:pos="1480"/>
        </w:tabs>
        <w:rPr>
          <w:rFonts w:cs="Times New Roman"/>
          <w:szCs w:val="24"/>
        </w:rPr>
      </w:pPr>
      <w:r>
        <w:rPr>
          <w:rFonts w:cs="Times New Roman"/>
          <w:szCs w:val="24"/>
        </w:rPr>
        <w:t xml:space="preserve">Den Teams von Dr. Niklaus und Dr. Landgrafe </w:t>
      </w:r>
      <w:r w:rsidR="00954862">
        <w:rPr>
          <w:rFonts w:cs="Times New Roman"/>
          <w:szCs w:val="24"/>
        </w:rPr>
        <w:t>von der an</w:t>
      </w:r>
      <w:r w:rsidR="008957AD">
        <w:rPr>
          <w:rFonts w:cs="Times New Roman"/>
          <w:szCs w:val="24"/>
        </w:rPr>
        <w:t>alytischen Abteilung und allen weiteren Mitarbeitern von Evonik Industries AG, d</w:t>
      </w:r>
      <w:r w:rsidR="008E31A3">
        <w:rPr>
          <w:rFonts w:cs="Times New Roman"/>
          <w:szCs w:val="24"/>
        </w:rPr>
        <w:t>ie ebenfalls zum Gelingen dieser</w:t>
      </w:r>
      <w:r w:rsidR="008957AD">
        <w:rPr>
          <w:rFonts w:cs="Times New Roman"/>
          <w:szCs w:val="24"/>
        </w:rPr>
        <w:t xml:space="preserve"> Arbeit beigetragen haben.</w:t>
      </w:r>
    </w:p>
    <w:p w14:paraId="3F6E30C4" w14:textId="77777777" w:rsidR="005A207C" w:rsidRPr="00C41BE5" w:rsidRDefault="005A207C" w:rsidP="00105E6B">
      <w:pPr>
        <w:tabs>
          <w:tab w:val="left" w:pos="1480"/>
        </w:tabs>
        <w:rPr>
          <w:rFonts w:cs="Times New Roman"/>
          <w:szCs w:val="24"/>
        </w:rPr>
      </w:pPr>
      <w:r>
        <w:rPr>
          <w:rFonts w:cs="Times New Roman"/>
          <w:szCs w:val="24"/>
        </w:rPr>
        <w:t xml:space="preserve">Dr. </w:t>
      </w:r>
      <w:r w:rsidR="00C41BE5">
        <w:rPr>
          <w:rFonts w:cs="Times New Roman"/>
          <w:szCs w:val="24"/>
        </w:rPr>
        <w:t xml:space="preserve">Thomas Ebensen und Dr. Wolf-Rainer Abraham </w:t>
      </w:r>
      <w:r w:rsidR="00104984">
        <w:rPr>
          <w:rFonts w:cs="Times New Roman"/>
          <w:szCs w:val="24"/>
        </w:rPr>
        <w:t xml:space="preserve">vom Helmholtz Zentrum für Infektionsforschung in Braunschweig </w:t>
      </w:r>
      <w:r w:rsidR="00C41BE5">
        <w:rPr>
          <w:rFonts w:cs="Times New Roman"/>
          <w:szCs w:val="24"/>
        </w:rPr>
        <w:t xml:space="preserve">für die Durchführung der </w:t>
      </w:r>
      <w:r w:rsidR="00C41BE5">
        <w:rPr>
          <w:rFonts w:cs="Times New Roman"/>
          <w:i/>
          <w:szCs w:val="24"/>
        </w:rPr>
        <w:t>in vivo</w:t>
      </w:r>
      <w:r w:rsidR="00104984">
        <w:rPr>
          <w:rFonts w:cs="Times New Roman"/>
          <w:szCs w:val="24"/>
        </w:rPr>
        <w:t xml:space="preserve"> Versuche.</w:t>
      </w:r>
    </w:p>
    <w:p w14:paraId="0151AD51" w14:textId="77777777" w:rsidR="00256490" w:rsidRDefault="00256490" w:rsidP="00105E6B">
      <w:pPr>
        <w:tabs>
          <w:tab w:val="left" w:pos="1480"/>
        </w:tabs>
        <w:rPr>
          <w:rFonts w:cs="Times New Roman"/>
          <w:szCs w:val="24"/>
        </w:rPr>
      </w:pPr>
      <w:r>
        <w:rPr>
          <w:rFonts w:cs="Times New Roman"/>
          <w:szCs w:val="24"/>
        </w:rPr>
        <w:t xml:space="preserve">Dem gesamten PeTrA Konsortium </w:t>
      </w:r>
      <w:r w:rsidR="00985931">
        <w:rPr>
          <w:rFonts w:cs="Times New Roman"/>
          <w:szCs w:val="24"/>
        </w:rPr>
        <w:t>für eine</w:t>
      </w:r>
      <w:r w:rsidR="008E31A3">
        <w:rPr>
          <w:rFonts w:cs="Times New Roman"/>
          <w:szCs w:val="24"/>
        </w:rPr>
        <w:t xml:space="preserve"> </w:t>
      </w:r>
      <w:r w:rsidR="00985931">
        <w:rPr>
          <w:rFonts w:cs="Times New Roman"/>
          <w:szCs w:val="24"/>
        </w:rPr>
        <w:t xml:space="preserve">wissenschaftlich </w:t>
      </w:r>
      <w:r w:rsidR="008E31A3">
        <w:rPr>
          <w:rFonts w:cs="Times New Roman"/>
          <w:szCs w:val="24"/>
        </w:rPr>
        <w:t xml:space="preserve">sehr spannende Projektarbeit auf höchstem Niveau und </w:t>
      </w:r>
      <w:r w:rsidR="00985931">
        <w:rPr>
          <w:rFonts w:cs="Times New Roman"/>
          <w:szCs w:val="24"/>
        </w:rPr>
        <w:t>die stets</w:t>
      </w:r>
      <w:r w:rsidR="001A54D7">
        <w:rPr>
          <w:rFonts w:cs="Times New Roman"/>
          <w:szCs w:val="24"/>
        </w:rPr>
        <w:t xml:space="preserve"> ergiebigen Konsortialtreffen und Doktorandenseminare.</w:t>
      </w:r>
    </w:p>
    <w:p w14:paraId="3572B54C" w14:textId="77777777" w:rsidR="00D75456" w:rsidRDefault="00D75456" w:rsidP="00105E6B">
      <w:pPr>
        <w:tabs>
          <w:tab w:val="left" w:pos="1480"/>
        </w:tabs>
        <w:rPr>
          <w:rFonts w:cs="Times New Roman"/>
          <w:szCs w:val="24"/>
        </w:rPr>
      </w:pPr>
      <w:r>
        <w:rPr>
          <w:rFonts w:cs="Times New Roman"/>
          <w:szCs w:val="24"/>
        </w:rPr>
        <w:t>Rima Jaber für die hervorragende Zusammenarbeit</w:t>
      </w:r>
      <w:r w:rsidR="00C42CC0">
        <w:rPr>
          <w:rFonts w:cs="Times New Roman"/>
          <w:szCs w:val="24"/>
        </w:rPr>
        <w:t>, die regelmäßigen Mo</w:t>
      </w:r>
      <w:r w:rsidR="001A54D7">
        <w:rPr>
          <w:rFonts w:cs="Times New Roman"/>
          <w:szCs w:val="24"/>
        </w:rPr>
        <w:t>tivationsschübe</w:t>
      </w:r>
      <w:r w:rsidR="00C42CC0">
        <w:rPr>
          <w:rFonts w:cs="Times New Roman"/>
          <w:szCs w:val="24"/>
        </w:rPr>
        <w:t xml:space="preserve"> und</w:t>
      </w:r>
      <w:r w:rsidR="001A54D7">
        <w:rPr>
          <w:rFonts w:cs="Times New Roman"/>
          <w:szCs w:val="24"/>
        </w:rPr>
        <w:t xml:space="preserve"> die vielen stets erheiternden</w:t>
      </w:r>
      <w:r>
        <w:rPr>
          <w:rFonts w:cs="Times New Roman"/>
          <w:szCs w:val="24"/>
        </w:rPr>
        <w:t xml:space="preserve"> Pausen mit s</w:t>
      </w:r>
      <w:r w:rsidR="00CA529F">
        <w:rPr>
          <w:rFonts w:cs="Times New Roman"/>
          <w:szCs w:val="24"/>
        </w:rPr>
        <w:t>pannenden Diskussionen</w:t>
      </w:r>
      <w:r>
        <w:rPr>
          <w:rFonts w:cs="Times New Roman"/>
          <w:szCs w:val="24"/>
        </w:rPr>
        <w:t xml:space="preserve"> bei Kaffee und Cookies.</w:t>
      </w:r>
    </w:p>
    <w:p w14:paraId="0CA1F948" w14:textId="77777777" w:rsidR="00334DA8" w:rsidRDefault="00334DA8" w:rsidP="00105E6B">
      <w:pPr>
        <w:tabs>
          <w:tab w:val="left" w:pos="1480"/>
        </w:tabs>
        <w:rPr>
          <w:rFonts w:cs="Times New Roman"/>
          <w:szCs w:val="24"/>
        </w:rPr>
      </w:pPr>
      <w:r>
        <w:rPr>
          <w:rFonts w:cs="Times New Roman"/>
          <w:szCs w:val="24"/>
        </w:rPr>
        <w:t>Dr. Jessica Müller-Albers für ihre Unterstützung in</w:t>
      </w:r>
      <w:r w:rsidR="00874C85">
        <w:rPr>
          <w:rFonts w:cs="Times New Roman"/>
          <w:szCs w:val="24"/>
        </w:rPr>
        <w:t xml:space="preserve"> komplizierten</w:t>
      </w:r>
      <w:r>
        <w:rPr>
          <w:rFonts w:cs="Times New Roman"/>
          <w:szCs w:val="24"/>
        </w:rPr>
        <w:t xml:space="preserve"> Patentangelegenheiten.</w:t>
      </w:r>
    </w:p>
    <w:p w14:paraId="3CE507D6" w14:textId="77777777" w:rsidR="008E31A3" w:rsidRDefault="008E31A3" w:rsidP="008E31A3">
      <w:pPr>
        <w:tabs>
          <w:tab w:val="left" w:pos="1480"/>
        </w:tabs>
        <w:rPr>
          <w:rFonts w:cs="Times New Roman"/>
          <w:szCs w:val="24"/>
        </w:rPr>
      </w:pPr>
      <w:r>
        <w:rPr>
          <w:rFonts w:cs="Times New Roman"/>
          <w:szCs w:val="24"/>
        </w:rPr>
        <w:t>Der Evonik Industries AG für die Bereitstellung meines Arbe</w:t>
      </w:r>
      <w:r w:rsidR="00D75456">
        <w:rPr>
          <w:rFonts w:cs="Times New Roman"/>
          <w:szCs w:val="24"/>
        </w:rPr>
        <w:t>itsplatzes</w:t>
      </w:r>
      <w:r w:rsidR="00D72721">
        <w:rPr>
          <w:rFonts w:cs="Times New Roman"/>
          <w:szCs w:val="24"/>
        </w:rPr>
        <w:t xml:space="preserve"> und</w:t>
      </w:r>
      <w:r>
        <w:rPr>
          <w:rFonts w:cs="Times New Roman"/>
          <w:szCs w:val="24"/>
        </w:rPr>
        <w:t xml:space="preserve"> der benötigten Materialien.</w:t>
      </w:r>
    </w:p>
    <w:p w14:paraId="396A7DED" w14:textId="77777777" w:rsidR="00F109FC" w:rsidRDefault="00943A15" w:rsidP="00105E6B">
      <w:pPr>
        <w:tabs>
          <w:tab w:val="left" w:pos="1480"/>
        </w:tabs>
        <w:rPr>
          <w:rFonts w:cs="Times New Roman"/>
          <w:szCs w:val="24"/>
        </w:rPr>
      </w:pPr>
      <w:r>
        <w:rPr>
          <w:rFonts w:cs="Times New Roman"/>
          <w:szCs w:val="24"/>
        </w:rPr>
        <w:t>Mein beso</w:t>
      </w:r>
      <w:r w:rsidR="00874C85">
        <w:rPr>
          <w:rFonts w:cs="Times New Roman"/>
          <w:szCs w:val="24"/>
        </w:rPr>
        <w:t xml:space="preserve">nderer Dank gilt meiner </w:t>
      </w:r>
      <w:r w:rsidR="002C7265">
        <w:rPr>
          <w:rFonts w:cs="Times New Roman"/>
          <w:szCs w:val="24"/>
        </w:rPr>
        <w:t>Familie, die mich ste</w:t>
      </w:r>
      <w:r w:rsidR="008F35B1">
        <w:rPr>
          <w:rFonts w:cs="Times New Roman"/>
          <w:szCs w:val="24"/>
        </w:rPr>
        <w:t>ts in vielerlei Hinsicht</w:t>
      </w:r>
      <w:r w:rsidR="002C7265">
        <w:rPr>
          <w:rFonts w:cs="Times New Roman"/>
          <w:szCs w:val="24"/>
        </w:rPr>
        <w:t xml:space="preserve"> in großem Maße unterstützt hat.</w:t>
      </w:r>
      <w:r w:rsidR="008F35B1">
        <w:rPr>
          <w:rFonts w:cs="Times New Roman"/>
          <w:szCs w:val="24"/>
        </w:rPr>
        <w:t xml:space="preserve"> Auch möchte</w:t>
      </w:r>
      <w:r w:rsidR="00F109FC">
        <w:rPr>
          <w:rFonts w:cs="Times New Roman"/>
          <w:szCs w:val="24"/>
        </w:rPr>
        <w:t xml:space="preserve"> ich meinen Freunden danken, die mir mit viel Ausdauer, Ruhe und Geduld zur Seite sta</w:t>
      </w:r>
      <w:r w:rsidR="00097B32">
        <w:rPr>
          <w:rFonts w:cs="Times New Roman"/>
          <w:szCs w:val="24"/>
        </w:rPr>
        <w:t>nden und mich stets unterstützt</w:t>
      </w:r>
      <w:r w:rsidR="00F109FC">
        <w:rPr>
          <w:rFonts w:cs="Times New Roman"/>
          <w:szCs w:val="24"/>
        </w:rPr>
        <w:t xml:space="preserve"> und motiviert haben.</w:t>
      </w:r>
    </w:p>
    <w:p w14:paraId="456DB720" w14:textId="77777777" w:rsidR="008E31A3" w:rsidRPr="00105E6B" w:rsidRDefault="00F109FC" w:rsidP="00105E6B">
      <w:pPr>
        <w:tabs>
          <w:tab w:val="left" w:pos="1480"/>
        </w:tabs>
        <w:rPr>
          <w:rFonts w:cs="Times New Roman"/>
          <w:szCs w:val="24"/>
        </w:rPr>
        <w:sectPr w:rsidR="008E31A3" w:rsidRPr="00105E6B" w:rsidSect="00CD24CD">
          <w:headerReference w:type="even" r:id="rId9"/>
          <w:endnotePr>
            <w:numFmt w:val="decimal"/>
          </w:endnotePr>
          <w:pgSz w:w="11906" w:h="16838"/>
          <w:pgMar w:top="1276" w:right="1417" w:bottom="1276" w:left="1417" w:header="708" w:footer="708" w:gutter="0"/>
          <w:cols w:space="708"/>
          <w:titlePg/>
          <w:docGrid w:linePitch="360"/>
        </w:sectPr>
      </w:pPr>
      <w:r>
        <w:rPr>
          <w:rFonts w:cs="Times New Roman"/>
          <w:szCs w:val="24"/>
        </w:rPr>
        <w:t xml:space="preserve">Dem BMBF (Bundesministerium für Bildung und Forschung) danke ich für die finanzielle Unterstützung dieser Arbeit im Zuge des PeTrA Projektes (Förderkennzeichen: </w:t>
      </w:r>
      <w:r w:rsidRPr="008957AD">
        <w:rPr>
          <w:rFonts w:cs="Times New Roman"/>
          <w:szCs w:val="24"/>
        </w:rPr>
        <w:t>13N11454</w:t>
      </w:r>
      <w:r>
        <w:rPr>
          <w:rFonts w:cs="Times New Roman"/>
          <w:szCs w:val="24"/>
        </w:rPr>
        <w:t>).</w:t>
      </w:r>
    </w:p>
    <w:p w14:paraId="1D173226" w14:textId="77777777" w:rsidR="00D96E56" w:rsidRDefault="00D16240">
      <w:pPr>
        <w:pStyle w:val="Verzeichnis1"/>
        <w:tabs>
          <w:tab w:val="left" w:pos="422"/>
        </w:tabs>
        <w:rPr>
          <w:rFonts w:asciiTheme="minorHAnsi" w:eastAsiaTheme="minorEastAsia" w:hAnsiTheme="minorHAnsi"/>
          <w:b w:val="0"/>
          <w:noProof/>
          <w:sz w:val="24"/>
          <w:szCs w:val="24"/>
          <w:lang w:eastAsia="ja-JP"/>
        </w:rPr>
      </w:pPr>
      <w:r>
        <w:rPr>
          <w:bCs/>
          <w:caps/>
        </w:rPr>
        <w:lastRenderedPageBreak/>
        <w:fldChar w:fldCharType="begin"/>
      </w:r>
      <w:r w:rsidR="006E25BD">
        <w:rPr>
          <w:bCs/>
          <w:caps/>
        </w:rPr>
        <w:instrText xml:space="preserve"> TOC \o "1-5" </w:instrText>
      </w:r>
      <w:r>
        <w:rPr>
          <w:bCs/>
          <w:caps/>
        </w:rPr>
        <w:fldChar w:fldCharType="separate"/>
      </w:r>
      <w:r w:rsidR="00D96E56">
        <w:rPr>
          <w:noProof/>
        </w:rPr>
        <w:t>1</w:t>
      </w:r>
      <w:r w:rsidR="00D96E56">
        <w:rPr>
          <w:rFonts w:asciiTheme="minorHAnsi" w:eastAsiaTheme="minorEastAsia" w:hAnsiTheme="minorHAnsi"/>
          <w:b w:val="0"/>
          <w:noProof/>
          <w:sz w:val="24"/>
          <w:szCs w:val="24"/>
          <w:lang w:eastAsia="ja-JP"/>
        </w:rPr>
        <w:tab/>
      </w:r>
      <w:r w:rsidR="00D96E56">
        <w:rPr>
          <w:noProof/>
        </w:rPr>
        <w:t>Allgemeiner Teil und Stand der Technik</w:t>
      </w:r>
      <w:r w:rsidR="00D96E56">
        <w:rPr>
          <w:noProof/>
        </w:rPr>
        <w:tab/>
      </w:r>
      <w:r>
        <w:rPr>
          <w:noProof/>
        </w:rPr>
        <w:fldChar w:fldCharType="begin"/>
      </w:r>
      <w:r w:rsidR="00D96E56">
        <w:rPr>
          <w:noProof/>
        </w:rPr>
        <w:instrText xml:space="preserve"> PAGEREF _Toc294380146 \h </w:instrText>
      </w:r>
      <w:r>
        <w:rPr>
          <w:noProof/>
        </w:rPr>
      </w:r>
      <w:r>
        <w:rPr>
          <w:noProof/>
        </w:rPr>
        <w:fldChar w:fldCharType="separate"/>
      </w:r>
      <w:r w:rsidR="00711AB8">
        <w:rPr>
          <w:noProof/>
        </w:rPr>
        <w:t>1</w:t>
      </w:r>
      <w:r>
        <w:rPr>
          <w:noProof/>
        </w:rPr>
        <w:fldChar w:fldCharType="end"/>
      </w:r>
    </w:p>
    <w:p w14:paraId="1DEBA862"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1.1</w:t>
      </w:r>
      <w:r>
        <w:rPr>
          <w:rFonts w:eastAsiaTheme="minorEastAsia"/>
          <w:b w:val="0"/>
          <w:bCs w:val="0"/>
          <w:noProof/>
          <w:sz w:val="24"/>
          <w:szCs w:val="24"/>
          <w:lang w:eastAsia="ja-JP"/>
        </w:rPr>
        <w:tab/>
      </w:r>
      <w:r>
        <w:rPr>
          <w:noProof/>
        </w:rPr>
        <w:t>Einleitung</w:t>
      </w:r>
      <w:r>
        <w:rPr>
          <w:noProof/>
        </w:rPr>
        <w:tab/>
      </w:r>
      <w:r w:rsidR="00D16240">
        <w:rPr>
          <w:noProof/>
        </w:rPr>
        <w:fldChar w:fldCharType="begin"/>
      </w:r>
      <w:r>
        <w:rPr>
          <w:noProof/>
        </w:rPr>
        <w:instrText xml:space="preserve"> PAGEREF _Toc294380147 \h </w:instrText>
      </w:r>
      <w:r w:rsidR="00D16240">
        <w:rPr>
          <w:noProof/>
        </w:rPr>
      </w:r>
      <w:r w:rsidR="00D16240">
        <w:rPr>
          <w:noProof/>
        </w:rPr>
        <w:fldChar w:fldCharType="separate"/>
      </w:r>
      <w:r w:rsidR="00711AB8">
        <w:rPr>
          <w:noProof/>
        </w:rPr>
        <w:t>1</w:t>
      </w:r>
      <w:r w:rsidR="00D16240">
        <w:rPr>
          <w:noProof/>
        </w:rPr>
        <w:fldChar w:fldCharType="end"/>
      </w:r>
    </w:p>
    <w:p w14:paraId="74A78380"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1.2</w:t>
      </w:r>
      <w:r>
        <w:rPr>
          <w:rFonts w:eastAsiaTheme="minorEastAsia"/>
          <w:b w:val="0"/>
          <w:bCs w:val="0"/>
          <w:noProof/>
          <w:sz w:val="24"/>
          <w:szCs w:val="24"/>
          <w:lang w:eastAsia="ja-JP"/>
        </w:rPr>
        <w:tab/>
      </w:r>
      <w:r>
        <w:rPr>
          <w:noProof/>
        </w:rPr>
        <w:t>Peptidarzneistoffe</w:t>
      </w:r>
      <w:r>
        <w:rPr>
          <w:noProof/>
        </w:rPr>
        <w:tab/>
      </w:r>
      <w:r w:rsidR="00D16240">
        <w:rPr>
          <w:noProof/>
        </w:rPr>
        <w:fldChar w:fldCharType="begin"/>
      </w:r>
      <w:r>
        <w:rPr>
          <w:noProof/>
        </w:rPr>
        <w:instrText xml:space="preserve"> PAGEREF _Toc294380148 \h </w:instrText>
      </w:r>
      <w:r w:rsidR="00D16240">
        <w:rPr>
          <w:noProof/>
        </w:rPr>
      </w:r>
      <w:r w:rsidR="00D16240">
        <w:rPr>
          <w:noProof/>
        </w:rPr>
        <w:fldChar w:fldCharType="separate"/>
      </w:r>
      <w:r w:rsidR="00711AB8">
        <w:rPr>
          <w:noProof/>
        </w:rPr>
        <w:t>2</w:t>
      </w:r>
      <w:r w:rsidR="00D16240">
        <w:rPr>
          <w:noProof/>
        </w:rPr>
        <w:fldChar w:fldCharType="end"/>
      </w:r>
    </w:p>
    <w:p w14:paraId="596CC5C7"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1.3</w:t>
      </w:r>
      <w:r>
        <w:rPr>
          <w:rFonts w:eastAsiaTheme="minorEastAsia"/>
          <w:b w:val="0"/>
          <w:bCs w:val="0"/>
          <w:noProof/>
          <w:sz w:val="24"/>
          <w:szCs w:val="24"/>
          <w:lang w:eastAsia="ja-JP"/>
        </w:rPr>
        <w:tab/>
      </w:r>
      <w:r>
        <w:rPr>
          <w:noProof/>
        </w:rPr>
        <w:t>Der Verdauungstrakt – Anatomie und Physiologie</w:t>
      </w:r>
      <w:r>
        <w:rPr>
          <w:noProof/>
        </w:rPr>
        <w:tab/>
      </w:r>
      <w:r w:rsidR="00D16240">
        <w:rPr>
          <w:noProof/>
        </w:rPr>
        <w:fldChar w:fldCharType="begin"/>
      </w:r>
      <w:r>
        <w:rPr>
          <w:noProof/>
        </w:rPr>
        <w:instrText xml:space="preserve"> PAGEREF _Toc294380149 \h </w:instrText>
      </w:r>
      <w:r w:rsidR="00D16240">
        <w:rPr>
          <w:noProof/>
        </w:rPr>
      </w:r>
      <w:r w:rsidR="00D16240">
        <w:rPr>
          <w:noProof/>
        </w:rPr>
        <w:fldChar w:fldCharType="separate"/>
      </w:r>
      <w:r w:rsidR="00711AB8">
        <w:rPr>
          <w:noProof/>
        </w:rPr>
        <w:t>5</w:t>
      </w:r>
      <w:r w:rsidR="00D16240">
        <w:rPr>
          <w:noProof/>
        </w:rPr>
        <w:fldChar w:fldCharType="end"/>
      </w:r>
    </w:p>
    <w:p w14:paraId="3CEC3BEF"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1.3.1</w:t>
      </w:r>
      <w:r>
        <w:rPr>
          <w:rFonts w:eastAsiaTheme="minorEastAsia"/>
          <w:noProof/>
          <w:sz w:val="24"/>
          <w:szCs w:val="24"/>
          <w:lang w:eastAsia="ja-JP"/>
        </w:rPr>
        <w:tab/>
      </w:r>
      <w:r>
        <w:rPr>
          <w:noProof/>
        </w:rPr>
        <w:t>Anatomie des Verdauungstraktes</w:t>
      </w:r>
      <w:r>
        <w:rPr>
          <w:noProof/>
        </w:rPr>
        <w:tab/>
      </w:r>
      <w:r w:rsidR="00D16240">
        <w:rPr>
          <w:noProof/>
        </w:rPr>
        <w:fldChar w:fldCharType="begin"/>
      </w:r>
      <w:r>
        <w:rPr>
          <w:noProof/>
        </w:rPr>
        <w:instrText xml:space="preserve"> PAGEREF _Toc294380150 \h </w:instrText>
      </w:r>
      <w:r w:rsidR="00D16240">
        <w:rPr>
          <w:noProof/>
        </w:rPr>
      </w:r>
      <w:r w:rsidR="00D16240">
        <w:rPr>
          <w:noProof/>
        </w:rPr>
        <w:fldChar w:fldCharType="separate"/>
      </w:r>
      <w:r w:rsidR="00711AB8">
        <w:rPr>
          <w:noProof/>
        </w:rPr>
        <w:t>5</w:t>
      </w:r>
      <w:r w:rsidR="00D16240">
        <w:rPr>
          <w:noProof/>
        </w:rPr>
        <w:fldChar w:fldCharType="end"/>
      </w:r>
    </w:p>
    <w:p w14:paraId="4DC41518"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1.3.2</w:t>
      </w:r>
      <w:r>
        <w:rPr>
          <w:rFonts w:eastAsiaTheme="minorEastAsia"/>
          <w:noProof/>
          <w:sz w:val="24"/>
          <w:szCs w:val="24"/>
          <w:lang w:eastAsia="ja-JP"/>
        </w:rPr>
        <w:tab/>
      </w:r>
      <w:r>
        <w:rPr>
          <w:noProof/>
        </w:rPr>
        <w:t>Barrieren der intestinalen Stoffaufnahme</w:t>
      </w:r>
      <w:r>
        <w:rPr>
          <w:noProof/>
        </w:rPr>
        <w:tab/>
      </w:r>
      <w:r w:rsidR="00D16240">
        <w:rPr>
          <w:noProof/>
        </w:rPr>
        <w:fldChar w:fldCharType="begin"/>
      </w:r>
      <w:r>
        <w:rPr>
          <w:noProof/>
        </w:rPr>
        <w:instrText xml:space="preserve"> PAGEREF _Toc294380151 \h </w:instrText>
      </w:r>
      <w:r w:rsidR="00D16240">
        <w:rPr>
          <w:noProof/>
        </w:rPr>
      </w:r>
      <w:r w:rsidR="00D16240">
        <w:rPr>
          <w:noProof/>
        </w:rPr>
        <w:fldChar w:fldCharType="separate"/>
      </w:r>
      <w:r w:rsidR="00711AB8">
        <w:rPr>
          <w:noProof/>
        </w:rPr>
        <w:t>8</w:t>
      </w:r>
      <w:r w:rsidR="00D16240">
        <w:rPr>
          <w:noProof/>
        </w:rPr>
        <w:fldChar w:fldCharType="end"/>
      </w:r>
    </w:p>
    <w:p w14:paraId="766A0851"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1.3.2.1</w:t>
      </w:r>
      <w:r>
        <w:rPr>
          <w:rFonts w:eastAsiaTheme="minorEastAsia"/>
          <w:noProof/>
          <w:sz w:val="24"/>
          <w:szCs w:val="24"/>
          <w:lang w:eastAsia="ja-JP"/>
        </w:rPr>
        <w:tab/>
      </w:r>
      <w:r>
        <w:rPr>
          <w:noProof/>
        </w:rPr>
        <w:t>Magen</w:t>
      </w:r>
      <w:r>
        <w:rPr>
          <w:noProof/>
        </w:rPr>
        <w:tab/>
      </w:r>
      <w:r w:rsidR="00D16240">
        <w:rPr>
          <w:noProof/>
        </w:rPr>
        <w:fldChar w:fldCharType="begin"/>
      </w:r>
      <w:r>
        <w:rPr>
          <w:noProof/>
        </w:rPr>
        <w:instrText xml:space="preserve"> PAGEREF _Toc294380152 \h </w:instrText>
      </w:r>
      <w:r w:rsidR="00D16240">
        <w:rPr>
          <w:noProof/>
        </w:rPr>
      </w:r>
      <w:r w:rsidR="00D16240">
        <w:rPr>
          <w:noProof/>
        </w:rPr>
        <w:fldChar w:fldCharType="separate"/>
      </w:r>
      <w:r w:rsidR="00711AB8">
        <w:rPr>
          <w:noProof/>
        </w:rPr>
        <w:t>10</w:t>
      </w:r>
      <w:r w:rsidR="00D16240">
        <w:rPr>
          <w:noProof/>
        </w:rPr>
        <w:fldChar w:fldCharType="end"/>
      </w:r>
    </w:p>
    <w:p w14:paraId="5CCDFA05"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1.3.2.2</w:t>
      </w:r>
      <w:r>
        <w:rPr>
          <w:rFonts w:eastAsiaTheme="minorEastAsia"/>
          <w:noProof/>
          <w:sz w:val="24"/>
          <w:szCs w:val="24"/>
          <w:lang w:eastAsia="ja-JP"/>
        </w:rPr>
        <w:tab/>
      </w:r>
      <w:r>
        <w:rPr>
          <w:noProof/>
        </w:rPr>
        <w:t>Verdauungsenzyme</w:t>
      </w:r>
      <w:r>
        <w:rPr>
          <w:noProof/>
        </w:rPr>
        <w:tab/>
      </w:r>
      <w:r w:rsidR="00D16240">
        <w:rPr>
          <w:noProof/>
        </w:rPr>
        <w:fldChar w:fldCharType="begin"/>
      </w:r>
      <w:r>
        <w:rPr>
          <w:noProof/>
        </w:rPr>
        <w:instrText xml:space="preserve"> PAGEREF _Toc294380153 \h </w:instrText>
      </w:r>
      <w:r w:rsidR="00D16240">
        <w:rPr>
          <w:noProof/>
        </w:rPr>
      </w:r>
      <w:r w:rsidR="00D16240">
        <w:rPr>
          <w:noProof/>
        </w:rPr>
        <w:fldChar w:fldCharType="separate"/>
      </w:r>
      <w:r w:rsidR="00711AB8">
        <w:rPr>
          <w:noProof/>
        </w:rPr>
        <w:t>10</w:t>
      </w:r>
      <w:r w:rsidR="00D16240">
        <w:rPr>
          <w:noProof/>
        </w:rPr>
        <w:fldChar w:fldCharType="end"/>
      </w:r>
    </w:p>
    <w:p w14:paraId="64FD6F8D"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1.3.2.3</w:t>
      </w:r>
      <w:r>
        <w:rPr>
          <w:rFonts w:eastAsiaTheme="minorEastAsia"/>
          <w:noProof/>
          <w:sz w:val="24"/>
          <w:szCs w:val="24"/>
          <w:lang w:eastAsia="ja-JP"/>
        </w:rPr>
        <w:tab/>
      </w:r>
      <w:r>
        <w:rPr>
          <w:noProof/>
        </w:rPr>
        <w:t>Membranassoziierte Bürstensaumenzyme</w:t>
      </w:r>
      <w:r>
        <w:rPr>
          <w:noProof/>
        </w:rPr>
        <w:tab/>
      </w:r>
      <w:r w:rsidR="00D16240">
        <w:rPr>
          <w:noProof/>
        </w:rPr>
        <w:fldChar w:fldCharType="begin"/>
      </w:r>
      <w:r>
        <w:rPr>
          <w:noProof/>
        </w:rPr>
        <w:instrText xml:space="preserve"> PAGEREF _Toc294380154 \h </w:instrText>
      </w:r>
      <w:r w:rsidR="00D16240">
        <w:rPr>
          <w:noProof/>
        </w:rPr>
      </w:r>
      <w:r w:rsidR="00D16240">
        <w:rPr>
          <w:noProof/>
        </w:rPr>
        <w:fldChar w:fldCharType="separate"/>
      </w:r>
      <w:r w:rsidR="00711AB8">
        <w:rPr>
          <w:noProof/>
        </w:rPr>
        <w:t>11</w:t>
      </w:r>
      <w:r w:rsidR="00D16240">
        <w:rPr>
          <w:noProof/>
        </w:rPr>
        <w:fldChar w:fldCharType="end"/>
      </w:r>
    </w:p>
    <w:p w14:paraId="69AD56FA"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1.3.2.4</w:t>
      </w:r>
      <w:r>
        <w:rPr>
          <w:rFonts w:eastAsiaTheme="minorEastAsia"/>
          <w:noProof/>
          <w:sz w:val="24"/>
          <w:szCs w:val="24"/>
          <w:lang w:eastAsia="ja-JP"/>
        </w:rPr>
        <w:tab/>
      </w:r>
      <w:r>
        <w:rPr>
          <w:noProof/>
        </w:rPr>
        <w:t>Intestinaler Mukus</w:t>
      </w:r>
      <w:r>
        <w:rPr>
          <w:noProof/>
        </w:rPr>
        <w:tab/>
      </w:r>
      <w:r w:rsidR="00D16240">
        <w:rPr>
          <w:noProof/>
        </w:rPr>
        <w:fldChar w:fldCharType="begin"/>
      </w:r>
      <w:r>
        <w:rPr>
          <w:noProof/>
        </w:rPr>
        <w:instrText xml:space="preserve"> PAGEREF _Toc294380155 \h </w:instrText>
      </w:r>
      <w:r w:rsidR="00D16240">
        <w:rPr>
          <w:noProof/>
        </w:rPr>
      </w:r>
      <w:r w:rsidR="00D16240">
        <w:rPr>
          <w:noProof/>
        </w:rPr>
        <w:fldChar w:fldCharType="separate"/>
      </w:r>
      <w:r w:rsidR="00711AB8">
        <w:rPr>
          <w:noProof/>
        </w:rPr>
        <w:t>11</w:t>
      </w:r>
      <w:r w:rsidR="00D16240">
        <w:rPr>
          <w:noProof/>
        </w:rPr>
        <w:fldChar w:fldCharType="end"/>
      </w:r>
    </w:p>
    <w:p w14:paraId="39EE9E18"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1.3.2.5</w:t>
      </w:r>
      <w:r>
        <w:rPr>
          <w:rFonts w:eastAsiaTheme="minorEastAsia"/>
          <w:noProof/>
          <w:sz w:val="24"/>
          <w:szCs w:val="24"/>
          <w:lang w:eastAsia="ja-JP"/>
        </w:rPr>
        <w:tab/>
      </w:r>
      <w:r>
        <w:rPr>
          <w:noProof/>
        </w:rPr>
        <w:t>Enterozytenmembran</w:t>
      </w:r>
      <w:r>
        <w:rPr>
          <w:noProof/>
        </w:rPr>
        <w:tab/>
      </w:r>
      <w:r w:rsidR="00D16240">
        <w:rPr>
          <w:noProof/>
        </w:rPr>
        <w:fldChar w:fldCharType="begin"/>
      </w:r>
      <w:r>
        <w:rPr>
          <w:noProof/>
        </w:rPr>
        <w:instrText xml:space="preserve"> PAGEREF _Toc294380156 \h </w:instrText>
      </w:r>
      <w:r w:rsidR="00D16240">
        <w:rPr>
          <w:noProof/>
        </w:rPr>
      </w:r>
      <w:r w:rsidR="00D16240">
        <w:rPr>
          <w:noProof/>
        </w:rPr>
        <w:fldChar w:fldCharType="separate"/>
      </w:r>
      <w:r w:rsidR="00711AB8">
        <w:rPr>
          <w:noProof/>
        </w:rPr>
        <w:t>12</w:t>
      </w:r>
      <w:r w:rsidR="00D16240">
        <w:rPr>
          <w:noProof/>
        </w:rPr>
        <w:fldChar w:fldCharType="end"/>
      </w:r>
    </w:p>
    <w:p w14:paraId="1233E06E"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1.3.2.6</w:t>
      </w:r>
      <w:r>
        <w:rPr>
          <w:rFonts w:eastAsiaTheme="minorEastAsia"/>
          <w:noProof/>
          <w:sz w:val="24"/>
          <w:szCs w:val="24"/>
          <w:lang w:eastAsia="ja-JP"/>
        </w:rPr>
        <w:tab/>
      </w:r>
      <w:r>
        <w:rPr>
          <w:noProof/>
        </w:rPr>
        <w:t>Zytosolische Enzyme</w:t>
      </w:r>
      <w:r>
        <w:rPr>
          <w:noProof/>
        </w:rPr>
        <w:tab/>
      </w:r>
      <w:r w:rsidR="00D16240">
        <w:rPr>
          <w:noProof/>
        </w:rPr>
        <w:fldChar w:fldCharType="begin"/>
      </w:r>
      <w:r>
        <w:rPr>
          <w:noProof/>
        </w:rPr>
        <w:instrText xml:space="preserve"> PAGEREF _Toc294380157 \h </w:instrText>
      </w:r>
      <w:r w:rsidR="00D16240">
        <w:rPr>
          <w:noProof/>
        </w:rPr>
      </w:r>
      <w:r w:rsidR="00D16240">
        <w:rPr>
          <w:noProof/>
        </w:rPr>
        <w:fldChar w:fldCharType="separate"/>
      </w:r>
      <w:r w:rsidR="00711AB8">
        <w:rPr>
          <w:noProof/>
        </w:rPr>
        <w:t>13</w:t>
      </w:r>
      <w:r w:rsidR="00D16240">
        <w:rPr>
          <w:noProof/>
        </w:rPr>
        <w:fldChar w:fldCharType="end"/>
      </w:r>
    </w:p>
    <w:p w14:paraId="6B358A0A"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1.3.2.7</w:t>
      </w:r>
      <w:r>
        <w:rPr>
          <w:rFonts w:eastAsiaTheme="minorEastAsia"/>
          <w:noProof/>
          <w:sz w:val="24"/>
          <w:szCs w:val="24"/>
          <w:lang w:eastAsia="ja-JP"/>
        </w:rPr>
        <w:tab/>
      </w:r>
      <w:r>
        <w:rPr>
          <w:noProof/>
        </w:rPr>
        <w:t>First-Pass-Metabolismus</w:t>
      </w:r>
      <w:r>
        <w:rPr>
          <w:noProof/>
        </w:rPr>
        <w:tab/>
      </w:r>
      <w:r w:rsidR="00D16240">
        <w:rPr>
          <w:noProof/>
        </w:rPr>
        <w:fldChar w:fldCharType="begin"/>
      </w:r>
      <w:r>
        <w:rPr>
          <w:noProof/>
        </w:rPr>
        <w:instrText xml:space="preserve"> PAGEREF _Toc294380158 \h </w:instrText>
      </w:r>
      <w:r w:rsidR="00D16240">
        <w:rPr>
          <w:noProof/>
        </w:rPr>
      </w:r>
      <w:r w:rsidR="00D16240">
        <w:rPr>
          <w:noProof/>
        </w:rPr>
        <w:fldChar w:fldCharType="separate"/>
      </w:r>
      <w:r w:rsidR="00711AB8">
        <w:rPr>
          <w:noProof/>
        </w:rPr>
        <w:t>14</w:t>
      </w:r>
      <w:r w:rsidR="00D16240">
        <w:rPr>
          <w:noProof/>
        </w:rPr>
        <w:fldChar w:fldCharType="end"/>
      </w:r>
    </w:p>
    <w:p w14:paraId="7FFD96AB"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1.3.3</w:t>
      </w:r>
      <w:r>
        <w:rPr>
          <w:rFonts w:eastAsiaTheme="minorEastAsia"/>
          <w:noProof/>
          <w:sz w:val="24"/>
          <w:szCs w:val="24"/>
          <w:lang w:eastAsia="ja-JP"/>
        </w:rPr>
        <w:tab/>
      </w:r>
      <w:r>
        <w:rPr>
          <w:noProof/>
        </w:rPr>
        <w:t>Absorptions- und Transportmechanismen im Darm</w:t>
      </w:r>
      <w:r>
        <w:rPr>
          <w:noProof/>
        </w:rPr>
        <w:tab/>
      </w:r>
      <w:r w:rsidR="00D16240">
        <w:rPr>
          <w:noProof/>
        </w:rPr>
        <w:fldChar w:fldCharType="begin"/>
      </w:r>
      <w:r>
        <w:rPr>
          <w:noProof/>
        </w:rPr>
        <w:instrText xml:space="preserve"> PAGEREF _Toc294380159 \h </w:instrText>
      </w:r>
      <w:r w:rsidR="00D16240">
        <w:rPr>
          <w:noProof/>
        </w:rPr>
      </w:r>
      <w:r w:rsidR="00D16240">
        <w:rPr>
          <w:noProof/>
        </w:rPr>
        <w:fldChar w:fldCharType="separate"/>
      </w:r>
      <w:r w:rsidR="00711AB8">
        <w:rPr>
          <w:noProof/>
        </w:rPr>
        <w:t>14</w:t>
      </w:r>
      <w:r w:rsidR="00D16240">
        <w:rPr>
          <w:noProof/>
        </w:rPr>
        <w:fldChar w:fldCharType="end"/>
      </w:r>
    </w:p>
    <w:p w14:paraId="3E8A13D5"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1.3.3.1</w:t>
      </w:r>
      <w:r>
        <w:rPr>
          <w:rFonts w:eastAsiaTheme="minorEastAsia"/>
          <w:noProof/>
          <w:sz w:val="24"/>
          <w:szCs w:val="24"/>
          <w:lang w:eastAsia="ja-JP"/>
        </w:rPr>
        <w:tab/>
      </w:r>
      <w:r>
        <w:rPr>
          <w:noProof/>
        </w:rPr>
        <w:t>Transzelluläre Route – Transmembran-Transport</w:t>
      </w:r>
      <w:r>
        <w:rPr>
          <w:noProof/>
        </w:rPr>
        <w:tab/>
      </w:r>
      <w:r w:rsidR="00D16240">
        <w:rPr>
          <w:noProof/>
        </w:rPr>
        <w:fldChar w:fldCharType="begin"/>
      </w:r>
      <w:r>
        <w:rPr>
          <w:noProof/>
        </w:rPr>
        <w:instrText xml:space="preserve"> PAGEREF _Toc294380160 \h </w:instrText>
      </w:r>
      <w:r w:rsidR="00D16240">
        <w:rPr>
          <w:noProof/>
        </w:rPr>
      </w:r>
      <w:r w:rsidR="00D16240">
        <w:rPr>
          <w:noProof/>
        </w:rPr>
        <w:fldChar w:fldCharType="separate"/>
      </w:r>
      <w:r w:rsidR="00711AB8">
        <w:rPr>
          <w:noProof/>
        </w:rPr>
        <w:t>14</w:t>
      </w:r>
      <w:r w:rsidR="00D16240">
        <w:rPr>
          <w:noProof/>
        </w:rPr>
        <w:fldChar w:fldCharType="end"/>
      </w:r>
    </w:p>
    <w:p w14:paraId="5227BA01" w14:textId="77777777" w:rsidR="00D96E56" w:rsidRDefault="00D96E56">
      <w:pPr>
        <w:pStyle w:val="Verzeichnis5"/>
        <w:tabs>
          <w:tab w:val="right" w:leader="dot" w:pos="9062"/>
        </w:tabs>
        <w:rPr>
          <w:rFonts w:eastAsiaTheme="minorEastAsia"/>
          <w:noProof/>
          <w:sz w:val="24"/>
          <w:szCs w:val="24"/>
          <w:lang w:eastAsia="ja-JP"/>
        </w:rPr>
      </w:pPr>
      <w:r w:rsidRPr="00B07EC2">
        <w:rPr>
          <w:noProof/>
        </w:rPr>
        <w:t>Passiver Transport</w:t>
      </w:r>
      <w:r>
        <w:rPr>
          <w:noProof/>
        </w:rPr>
        <w:tab/>
      </w:r>
      <w:r w:rsidR="00D16240">
        <w:rPr>
          <w:noProof/>
        </w:rPr>
        <w:fldChar w:fldCharType="begin"/>
      </w:r>
      <w:r>
        <w:rPr>
          <w:noProof/>
        </w:rPr>
        <w:instrText xml:space="preserve"> PAGEREF _Toc294380161 \h </w:instrText>
      </w:r>
      <w:r w:rsidR="00D16240">
        <w:rPr>
          <w:noProof/>
        </w:rPr>
      </w:r>
      <w:r w:rsidR="00D16240">
        <w:rPr>
          <w:noProof/>
        </w:rPr>
        <w:fldChar w:fldCharType="separate"/>
      </w:r>
      <w:r w:rsidR="00711AB8">
        <w:rPr>
          <w:noProof/>
        </w:rPr>
        <w:t>14</w:t>
      </w:r>
      <w:r w:rsidR="00D16240">
        <w:rPr>
          <w:noProof/>
        </w:rPr>
        <w:fldChar w:fldCharType="end"/>
      </w:r>
    </w:p>
    <w:p w14:paraId="59179A38" w14:textId="77777777" w:rsidR="00D96E56" w:rsidRDefault="00D96E56">
      <w:pPr>
        <w:pStyle w:val="Verzeichnis5"/>
        <w:tabs>
          <w:tab w:val="right" w:leader="dot" w:pos="9062"/>
        </w:tabs>
        <w:rPr>
          <w:rFonts w:eastAsiaTheme="minorEastAsia"/>
          <w:noProof/>
          <w:sz w:val="24"/>
          <w:szCs w:val="24"/>
          <w:lang w:eastAsia="ja-JP"/>
        </w:rPr>
      </w:pPr>
      <w:r w:rsidRPr="00B07EC2">
        <w:rPr>
          <w:noProof/>
        </w:rPr>
        <w:t>Aktiver Transport</w:t>
      </w:r>
      <w:r>
        <w:rPr>
          <w:noProof/>
        </w:rPr>
        <w:tab/>
      </w:r>
      <w:r w:rsidR="00D16240">
        <w:rPr>
          <w:noProof/>
        </w:rPr>
        <w:fldChar w:fldCharType="begin"/>
      </w:r>
      <w:r>
        <w:rPr>
          <w:noProof/>
        </w:rPr>
        <w:instrText xml:space="preserve"> PAGEREF _Toc294380162 \h </w:instrText>
      </w:r>
      <w:r w:rsidR="00D16240">
        <w:rPr>
          <w:noProof/>
        </w:rPr>
      </w:r>
      <w:r w:rsidR="00D16240">
        <w:rPr>
          <w:noProof/>
        </w:rPr>
        <w:fldChar w:fldCharType="separate"/>
      </w:r>
      <w:r w:rsidR="00711AB8">
        <w:rPr>
          <w:noProof/>
        </w:rPr>
        <w:t>15</w:t>
      </w:r>
      <w:r w:rsidR="00D16240">
        <w:rPr>
          <w:noProof/>
        </w:rPr>
        <w:fldChar w:fldCharType="end"/>
      </w:r>
    </w:p>
    <w:p w14:paraId="798438B9"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1.3.3.2</w:t>
      </w:r>
      <w:r>
        <w:rPr>
          <w:rFonts w:eastAsiaTheme="minorEastAsia"/>
          <w:noProof/>
          <w:sz w:val="24"/>
          <w:szCs w:val="24"/>
          <w:lang w:eastAsia="ja-JP"/>
        </w:rPr>
        <w:tab/>
      </w:r>
      <w:r>
        <w:rPr>
          <w:noProof/>
        </w:rPr>
        <w:t>Parazelluläre Route</w:t>
      </w:r>
      <w:r>
        <w:rPr>
          <w:noProof/>
        </w:rPr>
        <w:tab/>
      </w:r>
      <w:r w:rsidR="00D16240">
        <w:rPr>
          <w:noProof/>
        </w:rPr>
        <w:fldChar w:fldCharType="begin"/>
      </w:r>
      <w:r>
        <w:rPr>
          <w:noProof/>
        </w:rPr>
        <w:instrText xml:space="preserve"> PAGEREF _Toc294380163 \h </w:instrText>
      </w:r>
      <w:r w:rsidR="00D16240">
        <w:rPr>
          <w:noProof/>
        </w:rPr>
      </w:r>
      <w:r w:rsidR="00D16240">
        <w:rPr>
          <w:noProof/>
        </w:rPr>
        <w:fldChar w:fldCharType="separate"/>
      </w:r>
      <w:r w:rsidR="00711AB8">
        <w:rPr>
          <w:noProof/>
        </w:rPr>
        <w:t>16</w:t>
      </w:r>
      <w:r w:rsidR="00D16240">
        <w:rPr>
          <w:noProof/>
        </w:rPr>
        <w:fldChar w:fldCharType="end"/>
      </w:r>
    </w:p>
    <w:p w14:paraId="6080FE00"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1.3.3.3</w:t>
      </w:r>
      <w:r>
        <w:rPr>
          <w:rFonts w:eastAsiaTheme="minorEastAsia"/>
          <w:noProof/>
          <w:sz w:val="24"/>
          <w:szCs w:val="24"/>
          <w:lang w:eastAsia="ja-JP"/>
        </w:rPr>
        <w:tab/>
      </w:r>
      <w:r>
        <w:rPr>
          <w:noProof/>
        </w:rPr>
        <w:t>Endozytose und Exozytose – Membranverlagernder Transport</w:t>
      </w:r>
      <w:r>
        <w:rPr>
          <w:noProof/>
        </w:rPr>
        <w:tab/>
      </w:r>
      <w:r w:rsidR="00D16240">
        <w:rPr>
          <w:noProof/>
        </w:rPr>
        <w:fldChar w:fldCharType="begin"/>
      </w:r>
      <w:r>
        <w:rPr>
          <w:noProof/>
        </w:rPr>
        <w:instrText xml:space="preserve"> PAGEREF _Toc294380164 \h </w:instrText>
      </w:r>
      <w:r w:rsidR="00D16240">
        <w:rPr>
          <w:noProof/>
        </w:rPr>
      </w:r>
      <w:r w:rsidR="00D16240">
        <w:rPr>
          <w:noProof/>
        </w:rPr>
        <w:fldChar w:fldCharType="separate"/>
      </w:r>
      <w:r w:rsidR="00711AB8">
        <w:rPr>
          <w:noProof/>
        </w:rPr>
        <w:t>17</w:t>
      </w:r>
      <w:r w:rsidR="00D16240">
        <w:rPr>
          <w:noProof/>
        </w:rPr>
        <w:fldChar w:fldCharType="end"/>
      </w:r>
    </w:p>
    <w:p w14:paraId="4F9D3C50"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1.4</w:t>
      </w:r>
      <w:r>
        <w:rPr>
          <w:rFonts w:eastAsiaTheme="minorEastAsia"/>
          <w:b w:val="0"/>
          <w:bCs w:val="0"/>
          <w:noProof/>
          <w:sz w:val="24"/>
          <w:szCs w:val="24"/>
          <w:lang w:eastAsia="ja-JP"/>
        </w:rPr>
        <w:tab/>
      </w:r>
      <w:r>
        <w:rPr>
          <w:noProof/>
        </w:rPr>
        <w:t>Perorale Verabreichung von therapeutischen Peptiden und Proteinen</w:t>
      </w:r>
      <w:r>
        <w:rPr>
          <w:noProof/>
        </w:rPr>
        <w:tab/>
      </w:r>
      <w:r w:rsidR="00D16240">
        <w:rPr>
          <w:noProof/>
        </w:rPr>
        <w:fldChar w:fldCharType="begin"/>
      </w:r>
      <w:r>
        <w:rPr>
          <w:noProof/>
        </w:rPr>
        <w:instrText xml:space="preserve"> PAGEREF _Toc294380165 \h </w:instrText>
      </w:r>
      <w:r w:rsidR="00D16240">
        <w:rPr>
          <w:noProof/>
        </w:rPr>
      </w:r>
      <w:r w:rsidR="00D16240">
        <w:rPr>
          <w:noProof/>
        </w:rPr>
        <w:fldChar w:fldCharType="separate"/>
      </w:r>
      <w:r w:rsidR="00711AB8">
        <w:rPr>
          <w:noProof/>
        </w:rPr>
        <w:t>18</w:t>
      </w:r>
      <w:r w:rsidR="00D16240">
        <w:rPr>
          <w:noProof/>
        </w:rPr>
        <w:fldChar w:fldCharType="end"/>
      </w:r>
    </w:p>
    <w:p w14:paraId="5E1F9BA2"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1.4.1</w:t>
      </w:r>
      <w:r>
        <w:rPr>
          <w:rFonts w:eastAsiaTheme="minorEastAsia"/>
          <w:noProof/>
          <w:sz w:val="24"/>
          <w:szCs w:val="24"/>
          <w:lang w:eastAsia="ja-JP"/>
        </w:rPr>
        <w:tab/>
      </w:r>
      <w:r>
        <w:rPr>
          <w:noProof/>
        </w:rPr>
        <w:t>Bioverfügbarkeit</w:t>
      </w:r>
      <w:r>
        <w:rPr>
          <w:noProof/>
        </w:rPr>
        <w:tab/>
      </w:r>
      <w:r w:rsidR="00D16240">
        <w:rPr>
          <w:noProof/>
        </w:rPr>
        <w:fldChar w:fldCharType="begin"/>
      </w:r>
      <w:r>
        <w:rPr>
          <w:noProof/>
        </w:rPr>
        <w:instrText xml:space="preserve"> PAGEREF _Toc294380166 \h </w:instrText>
      </w:r>
      <w:r w:rsidR="00D16240">
        <w:rPr>
          <w:noProof/>
        </w:rPr>
      </w:r>
      <w:r w:rsidR="00D16240">
        <w:rPr>
          <w:noProof/>
        </w:rPr>
        <w:fldChar w:fldCharType="separate"/>
      </w:r>
      <w:r w:rsidR="00711AB8">
        <w:rPr>
          <w:noProof/>
        </w:rPr>
        <w:t>19</w:t>
      </w:r>
      <w:r w:rsidR="00D16240">
        <w:rPr>
          <w:noProof/>
        </w:rPr>
        <w:fldChar w:fldCharType="end"/>
      </w:r>
    </w:p>
    <w:p w14:paraId="7DA27622"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1.4.2</w:t>
      </w:r>
      <w:r>
        <w:rPr>
          <w:rFonts w:eastAsiaTheme="minorEastAsia"/>
          <w:noProof/>
          <w:sz w:val="24"/>
          <w:szCs w:val="24"/>
          <w:lang w:eastAsia="ja-JP"/>
        </w:rPr>
        <w:tab/>
      </w:r>
      <w:r>
        <w:rPr>
          <w:noProof/>
        </w:rPr>
        <w:t>Stabilität von Peptiden und Proteinen</w:t>
      </w:r>
      <w:r>
        <w:rPr>
          <w:noProof/>
        </w:rPr>
        <w:tab/>
      </w:r>
      <w:r w:rsidR="00D16240">
        <w:rPr>
          <w:noProof/>
        </w:rPr>
        <w:fldChar w:fldCharType="begin"/>
      </w:r>
      <w:r>
        <w:rPr>
          <w:noProof/>
        </w:rPr>
        <w:instrText xml:space="preserve"> PAGEREF _Toc294380167 \h </w:instrText>
      </w:r>
      <w:r w:rsidR="00D16240">
        <w:rPr>
          <w:noProof/>
        </w:rPr>
      </w:r>
      <w:r w:rsidR="00D16240">
        <w:rPr>
          <w:noProof/>
        </w:rPr>
        <w:fldChar w:fldCharType="separate"/>
      </w:r>
      <w:r w:rsidR="00711AB8">
        <w:rPr>
          <w:noProof/>
        </w:rPr>
        <w:t>20</w:t>
      </w:r>
      <w:r w:rsidR="00D16240">
        <w:rPr>
          <w:noProof/>
        </w:rPr>
        <w:fldChar w:fldCharType="end"/>
      </w:r>
    </w:p>
    <w:p w14:paraId="5C9ADFD9"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1.4.2.1</w:t>
      </w:r>
      <w:r>
        <w:rPr>
          <w:rFonts w:eastAsiaTheme="minorEastAsia"/>
          <w:noProof/>
          <w:sz w:val="24"/>
          <w:szCs w:val="24"/>
          <w:lang w:eastAsia="ja-JP"/>
        </w:rPr>
        <w:tab/>
      </w:r>
      <w:r>
        <w:rPr>
          <w:noProof/>
        </w:rPr>
        <w:t>Stabilität im Herstellungsprozess</w:t>
      </w:r>
      <w:r>
        <w:rPr>
          <w:noProof/>
        </w:rPr>
        <w:tab/>
      </w:r>
      <w:r w:rsidR="00D16240">
        <w:rPr>
          <w:noProof/>
        </w:rPr>
        <w:fldChar w:fldCharType="begin"/>
      </w:r>
      <w:r>
        <w:rPr>
          <w:noProof/>
        </w:rPr>
        <w:instrText xml:space="preserve"> PAGEREF _Toc294380168 \h </w:instrText>
      </w:r>
      <w:r w:rsidR="00D16240">
        <w:rPr>
          <w:noProof/>
        </w:rPr>
      </w:r>
      <w:r w:rsidR="00D16240">
        <w:rPr>
          <w:noProof/>
        </w:rPr>
        <w:fldChar w:fldCharType="separate"/>
      </w:r>
      <w:r w:rsidR="00711AB8">
        <w:rPr>
          <w:noProof/>
        </w:rPr>
        <w:t>21</w:t>
      </w:r>
      <w:r w:rsidR="00D16240">
        <w:rPr>
          <w:noProof/>
        </w:rPr>
        <w:fldChar w:fldCharType="end"/>
      </w:r>
    </w:p>
    <w:p w14:paraId="3C8A7E72"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1.4.2.2</w:t>
      </w:r>
      <w:r>
        <w:rPr>
          <w:rFonts w:eastAsiaTheme="minorEastAsia"/>
          <w:noProof/>
          <w:sz w:val="24"/>
          <w:szCs w:val="24"/>
          <w:lang w:eastAsia="ja-JP"/>
        </w:rPr>
        <w:tab/>
      </w:r>
      <w:r>
        <w:rPr>
          <w:noProof/>
        </w:rPr>
        <w:t>Stabilität im Gastrointestinaltrakt</w:t>
      </w:r>
      <w:r>
        <w:rPr>
          <w:noProof/>
        </w:rPr>
        <w:tab/>
      </w:r>
      <w:r w:rsidR="00D16240">
        <w:rPr>
          <w:noProof/>
        </w:rPr>
        <w:fldChar w:fldCharType="begin"/>
      </w:r>
      <w:r>
        <w:rPr>
          <w:noProof/>
        </w:rPr>
        <w:instrText xml:space="preserve"> PAGEREF _Toc294380169 \h </w:instrText>
      </w:r>
      <w:r w:rsidR="00D16240">
        <w:rPr>
          <w:noProof/>
        </w:rPr>
      </w:r>
      <w:r w:rsidR="00D16240">
        <w:rPr>
          <w:noProof/>
        </w:rPr>
        <w:fldChar w:fldCharType="separate"/>
      </w:r>
      <w:r w:rsidR="00711AB8">
        <w:rPr>
          <w:noProof/>
        </w:rPr>
        <w:t>22</w:t>
      </w:r>
      <w:r w:rsidR="00D16240">
        <w:rPr>
          <w:noProof/>
        </w:rPr>
        <w:fldChar w:fldCharType="end"/>
      </w:r>
    </w:p>
    <w:p w14:paraId="2821A37F"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1.5</w:t>
      </w:r>
      <w:r>
        <w:rPr>
          <w:rFonts w:eastAsiaTheme="minorEastAsia"/>
          <w:b w:val="0"/>
          <w:bCs w:val="0"/>
          <w:noProof/>
          <w:sz w:val="24"/>
          <w:szCs w:val="24"/>
          <w:lang w:eastAsia="ja-JP"/>
        </w:rPr>
        <w:tab/>
      </w:r>
      <w:r>
        <w:rPr>
          <w:noProof/>
        </w:rPr>
        <w:t>Polymere zur peroralen Verabreichung</w:t>
      </w:r>
      <w:r>
        <w:rPr>
          <w:noProof/>
        </w:rPr>
        <w:tab/>
      </w:r>
      <w:r w:rsidR="00D16240">
        <w:rPr>
          <w:noProof/>
        </w:rPr>
        <w:fldChar w:fldCharType="begin"/>
      </w:r>
      <w:r>
        <w:rPr>
          <w:noProof/>
        </w:rPr>
        <w:instrText xml:space="preserve"> PAGEREF _Toc294380170 \h </w:instrText>
      </w:r>
      <w:r w:rsidR="00D16240">
        <w:rPr>
          <w:noProof/>
        </w:rPr>
      </w:r>
      <w:r w:rsidR="00D16240">
        <w:rPr>
          <w:noProof/>
        </w:rPr>
        <w:fldChar w:fldCharType="separate"/>
      </w:r>
      <w:r w:rsidR="00711AB8">
        <w:rPr>
          <w:noProof/>
        </w:rPr>
        <w:t>23</w:t>
      </w:r>
      <w:r w:rsidR="00D16240">
        <w:rPr>
          <w:noProof/>
        </w:rPr>
        <w:fldChar w:fldCharType="end"/>
      </w:r>
    </w:p>
    <w:p w14:paraId="2D8A0EF0"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1.5.1</w:t>
      </w:r>
      <w:r>
        <w:rPr>
          <w:rFonts w:eastAsiaTheme="minorEastAsia"/>
          <w:noProof/>
          <w:sz w:val="24"/>
          <w:szCs w:val="24"/>
          <w:lang w:eastAsia="ja-JP"/>
        </w:rPr>
        <w:tab/>
      </w:r>
      <w:r>
        <w:rPr>
          <w:noProof/>
        </w:rPr>
        <w:t>Natürliche Polymere</w:t>
      </w:r>
      <w:r>
        <w:rPr>
          <w:noProof/>
        </w:rPr>
        <w:tab/>
      </w:r>
      <w:r w:rsidR="00D16240">
        <w:rPr>
          <w:noProof/>
        </w:rPr>
        <w:fldChar w:fldCharType="begin"/>
      </w:r>
      <w:r>
        <w:rPr>
          <w:noProof/>
        </w:rPr>
        <w:instrText xml:space="preserve"> PAGEREF _Toc294380171 \h </w:instrText>
      </w:r>
      <w:r w:rsidR="00D16240">
        <w:rPr>
          <w:noProof/>
        </w:rPr>
      </w:r>
      <w:r w:rsidR="00D16240">
        <w:rPr>
          <w:noProof/>
        </w:rPr>
        <w:fldChar w:fldCharType="separate"/>
      </w:r>
      <w:r w:rsidR="00711AB8">
        <w:rPr>
          <w:noProof/>
        </w:rPr>
        <w:t>23</w:t>
      </w:r>
      <w:r w:rsidR="00D16240">
        <w:rPr>
          <w:noProof/>
        </w:rPr>
        <w:fldChar w:fldCharType="end"/>
      </w:r>
    </w:p>
    <w:p w14:paraId="246BD1D3"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1.5.2</w:t>
      </w:r>
      <w:r>
        <w:rPr>
          <w:rFonts w:eastAsiaTheme="minorEastAsia"/>
          <w:noProof/>
          <w:sz w:val="24"/>
          <w:szCs w:val="24"/>
          <w:lang w:eastAsia="ja-JP"/>
        </w:rPr>
        <w:tab/>
      </w:r>
      <w:r>
        <w:rPr>
          <w:noProof/>
        </w:rPr>
        <w:t>Semi-synthetische Polymere</w:t>
      </w:r>
      <w:r>
        <w:rPr>
          <w:noProof/>
        </w:rPr>
        <w:tab/>
      </w:r>
      <w:r w:rsidR="00D16240">
        <w:rPr>
          <w:noProof/>
        </w:rPr>
        <w:fldChar w:fldCharType="begin"/>
      </w:r>
      <w:r>
        <w:rPr>
          <w:noProof/>
        </w:rPr>
        <w:instrText xml:space="preserve"> PAGEREF _Toc294380172 \h </w:instrText>
      </w:r>
      <w:r w:rsidR="00D16240">
        <w:rPr>
          <w:noProof/>
        </w:rPr>
      </w:r>
      <w:r w:rsidR="00D16240">
        <w:rPr>
          <w:noProof/>
        </w:rPr>
        <w:fldChar w:fldCharType="separate"/>
      </w:r>
      <w:r w:rsidR="00711AB8">
        <w:rPr>
          <w:noProof/>
        </w:rPr>
        <w:t>25</w:t>
      </w:r>
      <w:r w:rsidR="00D16240">
        <w:rPr>
          <w:noProof/>
        </w:rPr>
        <w:fldChar w:fldCharType="end"/>
      </w:r>
    </w:p>
    <w:p w14:paraId="575D4DD0"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1.5.3</w:t>
      </w:r>
      <w:r>
        <w:rPr>
          <w:rFonts w:eastAsiaTheme="minorEastAsia"/>
          <w:noProof/>
          <w:sz w:val="24"/>
          <w:szCs w:val="24"/>
          <w:lang w:eastAsia="ja-JP"/>
        </w:rPr>
        <w:tab/>
      </w:r>
      <w:r>
        <w:rPr>
          <w:noProof/>
        </w:rPr>
        <w:t>Synthetische Polymere</w:t>
      </w:r>
      <w:r>
        <w:rPr>
          <w:noProof/>
        </w:rPr>
        <w:tab/>
      </w:r>
      <w:r w:rsidR="00D16240">
        <w:rPr>
          <w:noProof/>
        </w:rPr>
        <w:fldChar w:fldCharType="begin"/>
      </w:r>
      <w:r>
        <w:rPr>
          <w:noProof/>
        </w:rPr>
        <w:instrText xml:space="preserve"> PAGEREF _Toc294380173 \h </w:instrText>
      </w:r>
      <w:r w:rsidR="00D16240">
        <w:rPr>
          <w:noProof/>
        </w:rPr>
      </w:r>
      <w:r w:rsidR="00D16240">
        <w:rPr>
          <w:noProof/>
        </w:rPr>
        <w:fldChar w:fldCharType="separate"/>
      </w:r>
      <w:r w:rsidR="00711AB8">
        <w:rPr>
          <w:noProof/>
        </w:rPr>
        <w:t>26</w:t>
      </w:r>
      <w:r w:rsidR="00D16240">
        <w:rPr>
          <w:noProof/>
        </w:rPr>
        <w:fldChar w:fldCharType="end"/>
      </w:r>
    </w:p>
    <w:p w14:paraId="317F0D50"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1.6</w:t>
      </w:r>
      <w:r>
        <w:rPr>
          <w:rFonts w:eastAsiaTheme="minorEastAsia"/>
          <w:b w:val="0"/>
          <w:bCs w:val="0"/>
          <w:noProof/>
          <w:sz w:val="24"/>
          <w:szCs w:val="24"/>
          <w:lang w:eastAsia="ja-JP"/>
        </w:rPr>
        <w:tab/>
      </w:r>
      <w:r>
        <w:rPr>
          <w:noProof/>
        </w:rPr>
        <w:t>Strategien zur Bioverfügbarkeitsverbesserung von Peptiden und Proteinen</w:t>
      </w:r>
      <w:r>
        <w:rPr>
          <w:noProof/>
        </w:rPr>
        <w:tab/>
      </w:r>
      <w:r w:rsidR="00D16240">
        <w:rPr>
          <w:noProof/>
        </w:rPr>
        <w:fldChar w:fldCharType="begin"/>
      </w:r>
      <w:r>
        <w:rPr>
          <w:noProof/>
        </w:rPr>
        <w:instrText xml:space="preserve"> PAGEREF _Toc294380174 \h </w:instrText>
      </w:r>
      <w:r w:rsidR="00D16240">
        <w:rPr>
          <w:noProof/>
        </w:rPr>
      </w:r>
      <w:r w:rsidR="00D16240">
        <w:rPr>
          <w:noProof/>
        </w:rPr>
        <w:fldChar w:fldCharType="separate"/>
      </w:r>
      <w:r w:rsidR="00711AB8">
        <w:rPr>
          <w:noProof/>
        </w:rPr>
        <w:t>30</w:t>
      </w:r>
      <w:r w:rsidR="00D16240">
        <w:rPr>
          <w:noProof/>
        </w:rPr>
        <w:fldChar w:fldCharType="end"/>
      </w:r>
    </w:p>
    <w:p w14:paraId="722E8D5A"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1.6.1</w:t>
      </w:r>
      <w:r>
        <w:rPr>
          <w:rFonts w:eastAsiaTheme="minorEastAsia"/>
          <w:noProof/>
          <w:sz w:val="24"/>
          <w:szCs w:val="24"/>
          <w:lang w:eastAsia="ja-JP"/>
        </w:rPr>
        <w:tab/>
      </w:r>
      <w:r>
        <w:rPr>
          <w:noProof/>
        </w:rPr>
        <w:t>Chemische Modifikationen von Peptid- und Proteinarzneistoffen</w:t>
      </w:r>
      <w:r>
        <w:rPr>
          <w:noProof/>
        </w:rPr>
        <w:tab/>
      </w:r>
      <w:r w:rsidR="00D16240">
        <w:rPr>
          <w:noProof/>
        </w:rPr>
        <w:fldChar w:fldCharType="begin"/>
      </w:r>
      <w:r>
        <w:rPr>
          <w:noProof/>
        </w:rPr>
        <w:instrText xml:space="preserve"> PAGEREF _Toc294380175 \h </w:instrText>
      </w:r>
      <w:r w:rsidR="00D16240">
        <w:rPr>
          <w:noProof/>
        </w:rPr>
      </w:r>
      <w:r w:rsidR="00D16240">
        <w:rPr>
          <w:noProof/>
        </w:rPr>
        <w:fldChar w:fldCharType="separate"/>
      </w:r>
      <w:r w:rsidR="00711AB8">
        <w:rPr>
          <w:noProof/>
        </w:rPr>
        <w:t>30</w:t>
      </w:r>
      <w:r w:rsidR="00D16240">
        <w:rPr>
          <w:noProof/>
        </w:rPr>
        <w:fldChar w:fldCharType="end"/>
      </w:r>
    </w:p>
    <w:p w14:paraId="7EF1A6FC"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1.6.2</w:t>
      </w:r>
      <w:r>
        <w:rPr>
          <w:rFonts w:eastAsiaTheme="minorEastAsia"/>
          <w:noProof/>
          <w:sz w:val="24"/>
          <w:szCs w:val="24"/>
          <w:lang w:eastAsia="ja-JP"/>
        </w:rPr>
        <w:tab/>
      </w:r>
      <w:r>
        <w:rPr>
          <w:noProof/>
        </w:rPr>
        <w:t>Zellpenetrierende Peptide</w:t>
      </w:r>
      <w:r>
        <w:rPr>
          <w:noProof/>
        </w:rPr>
        <w:tab/>
      </w:r>
      <w:r w:rsidR="00D16240">
        <w:rPr>
          <w:noProof/>
        </w:rPr>
        <w:fldChar w:fldCharType="begin"/>
      </w:r>
      <w:r>
        <w:rPr>
          <w:noProof/>
        </w:rPr>
        <w:instrText xml:space="preserve"> PAGEREF _Toc294380176 \h </w:instrText>
      </w:r>
      <w:r w:rsidR="00D16240">
        <w:rPr>
          <w:noProof/>
        </w:rPr>
      </w:r>
      <w:r w:rsidR="00D16240">
        <w:rPr>
          <w:noProof/>
        </w:rPr>
        <w:fldChar w:fldCharType="separate"/>
      </w:r>
      <w:r w:rsidR="00711AB8">
        <w:rPr>
          <w:noProof/>
        </w:rPr>
        <w:t>32</w:t>
      </w:r>
      <w:r w:rsidR="00D16240">
        <w:rPr>
          <w:noProof/>
        </w:rPr>
        <w:fldChar w:fldCharType="end"/>
      </w:r>
    </w:p>
    <w:p w14:paraId="17A003F7"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1.6.3</w:t>
      </w:r>
      <w:r>
        <w:rPr>
          <w:rFonts w:eastAsiaTheme="minorEastAsia"/>
          <w:noProof/>
          <w:sz w:val="24"/>
          <w:szCs w:val="24"/>
          <w:lang w:eastAsia="ja-JP"/>
        </w:rPr>
        <w:tab/>
      </w:r>
      <w:r>
        <w:rPr>
          <w:noProof/>
        </w:rPr>
        <w:t>Mukoadhäsion und Mukuspenetration</w:t>
      </w:r>
      <w:r>
        <w:rPr>
          <w:noProof/>
        </w:rPr>
        <w:tab/>
      </w:r>
      <w:r w:rsidR="00D16240">
        <w:rPr>
          <w:noProof/>
        </w:rPr>
        <w:fldChar w:fldCharType="begin"/>
      </w:r>
      <w:r>
        <w:rPr>
          <w:noProof/>
        </w:rPr>
        <w:instrText xml:space="preserve"> PAGEREF _Toc294380177 \h </w:instrText>
      </w:r>
      <w:r w:rsidR="00D16240">
        <w:rPr>
          <w:noProof/>
        </w:rPr>
      </w:r>
      <w:r w:rsidR="00D16240">
        <w:rPr>
          <w:noProof/>
        </w:rPr>
        <w:fldChar w:fldCharType="separate"/>
      </w:r>
      <w:r w:rsidR="00711AB8">
        <w:rPr>
          <w:noProof/>
        </w:rPr>
        <w:t>33</w:t>
      </w:r>
      <w:r w:rsidR="00D16240">
        <w:rPr>
          <w:noProof/>
        </w:rPr>
        <w:fldChar w:fldCharType="end"/>
      </w:r>
    </w:p>
    <w:p w14:paraId="70C4DC4A"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1.6.3.1</w:t>
      </w:r>
      <w:r>
        <w:rPr>
          <w:rFonts w:eastAsiaTheme="minorEastAsia"/>
          <w:noProof/>
          <w:sz w:val="24"/>
          <w:szCs w:val="24"/>
          <w:lang w:eastAsia="ja-JP"/>
        </w:rPr>
        <w:tab/>
      </w:r>
      <w:r>
        <w:rPr>
          <w:noProof/>
        </w:rPr>
        <w:t>Mechanismen der Mukoadhäsion</w:t>
      </w:r>
      <w:r>
        <w:rPr>
          <w:noProof/>
        </w:rPr>
        <w:tab/>
      </w:r>
      <w:r w:rsidR="00D16240">
        <w:rPr>
          <w:noProof/>
        </w:rPr>
        <w:fldChar w:fldCharType="begin"/>
      </w:r>
      <w:r>
        <w:rPr>
          <w:noProof/>
        </w:rPr>
        <w:instrText xml:space="preserve"> PAGEREF _Toc294380178 \h </w:instrText>
      </w:r>
      <w:r w:rsidR="00D16240">
        <w:rPr>
          <w:noProof/>
        </w:rPr>
      </w:r>
      <w:r w:rsidR="00D16240">
        <w:rPr>
          <w:noProof/>
        </w:rPr>
        <w:fldChar w:fldCharType="separate"/>
      </w:r>
      <w:r w:rsidR="00711AB8">
        <w:rPr>
          <w:noProof/>
        </w:rPr>
        <w:t>34</w:t>
      </w:r>
      <w:r w:rsidR="00D16240">
        <w:rPr>
          <w:noProof/>
        </w:rPr>
        <w:fldChar w:fldCharType="end"/>
      </w:r>
    </w:p>
    <w:p w14:paraId="4B44009D"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1.6.3.2</w:t>
      </w:r>
      <w:r>
        <w:rPr>
          <w:rFonts w:eastAsiaTheme="minorEastAsia"/>
          <w:noProof/>
          <w:sz w:val="24"/>
          <w:szCs w:val="24"/>
          <w:lang w:eastAsia="ja-JP"/>
        </w:rPr>
        <w:tab/>
      </w:r>
      <w:r>
        <w:rPr>
          <w:noProof/>
        </w:rPr>
        <w:t>Mukoadhäsive Polymere</w:t>
      </w:r>
      <w:r>
        <w:rPr>
          <w:noProof/>
        </w:rPr>
        <w:tab/>
      </w:r>
      <w:r w:rsidR="00D16240">
        <w:rPr>
          <w:noProof/>
        </w:rPr>
        <w:fldChar w:fldCharType="begin"/>
      </w:r>
      <w:r>
        <w:rPr>
          <w:noProof/>
        </w:rPr>
        <w:instrText xml:space="preserve"> PAGEREF _Toc294380179 \h </w:instrText>
      </w:r>
      <w:r w:rsidR="00D16240">
        <w:rPr>
          <w:noProof/>
        </w:rPr>
      </w:r>
      <w:r w:rsidR="00D16240">
        <w:rPr>
          <w:noProof/>
        </w:rPr>
        <w:fldChar w:fldCharType="separate"/>
      </w:r>
      <w:r w:rsidR="00711AB8">
        <w:rPr>
          <w:noProof/>
        </w:rPr>
        <w:t>35</w:t>
      </w:r>
      <w:r w:rsidR="00D16240">
        <w:rPr>
          <w:noProof/>
        </w:rPr>
        <w:fldChar w:fldCharType="end"/>
      </w:r>
    </w:p>
    <w:p w14:paraId="0AD85916"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1.6.3.3</w:t>
      </w:r>
      <w:r>
        <w:rPr>
          <w:rFonts w:eastAsiaTheme="minorEastAsia"/>
          <w:noProof/>
          <w:sz w:val="24"/>
          <w:szCs w:val="24"/>
          <w:lang w:eastAsia="ja-JP"/>
        </w:rPr>
        <w:tab/>
      </w:r>
      <w:r>
        <w:rPr>
          <w:noProof/>
        </w:rPr>
        <w:t>Mukoadhäsive partikuläre Trägersysteme</w:t>
      </w:r>
      <w:r>
        <w:rPr>
          <w:noProof/>
        </w:rPr>
        <w:tab/>
      </w:r>
      <w:r w:rsidR="00D16240">
        <w:rPr>
          <w:noProof/>
        </w:rPr>
        <w:fldChar w:fldCharType="begin"/>
      </w:r>
      <w:r>
        <w:rPr>
          <w:noProof/>
        </w:rPr>
        <w:instrText xml:space="preserve"> PAGEREF _Toc294380180 \h </w:instrText>
      </w:r>
      <w:r w:rsidR="00D16240">
        <w:rPr>
          <w:noProof/>
        </w:rPr>
      </w:r>
      <w:r w:rsidR="00D16240">
        <w:rPr>
          <w:noProof/>
        </w:rPr>
        <w:fldChar w:fldCharType="separate"/>
      </w:r>
      <w:r w:rsidR="00711AB8">
        <w:rPr>
          <w:noProof/>
        </w:rPr>
        <w:t>35</w:t>
      </w:r>
      <w:r w:rsidR="00D16240">
        <w:rPr>
          <w:noProof/>
        </w:rPr>
        <w:fldChar w:fldCharType="end"/>
      </w:r>
    </w:p>
    <w:p w14:paraId="28DE5080"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1.6.4</w:t>
      </w:r>
      <w:r>
        <w:rPr>
          <w:rFonts w:eastAsiaTheme="minorEastAsia"/>
          <w:noProof/>
          <w:sz w:val="24"/>
          <w:szCs w:val="24"/>
          <w:lang w:eastAsia="ja-JP"/>
        </w:rPr>
        <w:tab/>
      </w:r>
      <w:r>
        <w:rPr>
          <w:noProof/>
        </w:rPr>
        <w:t>Schutz des Wirkstoffes vor Abbau durch Verdauungssäfte</w:t>
      </w:r>
      <w:r>
        <w:rPr>
          <w:noProof/>
        </w:rPr>
        <w:tab/>
      </w:r>
      <w:r w:rsidR="00D16240">
        <w:rPr>
          <w:noProof/>
        </w:rPr>
        <w:fldChar w:fldCharType="begin"/>
      </w:r>
      <w:r>
        <w:rPr>
          <w:noProof/>
        </w:rPr>
        <w:instrText xml:space="preserve"> PAGEREF _Toc294380181 \h </w:instrText>
      </w:r>
      <w:r w:rsidR="00D16240">
        <w:rPr>
          <w:noProof/>
        </w:rPr>
      </w:r>
      <w:r w:rsidR="00D16240">
        <w:rPr>
          <w:noProof/>
        </w:rPr>
        <w:fldChar w:fldCharType="separate"/>
      </w:r>
      <w:r w:rsidR="00711AB8">
        <w:rPr>
          <w:noProof/>
        </w:rPr>
        <w:t>36</w:t>
      </w:r>
      <w:r w:rsidR="00D16240">
        <w:rPr>
          <w:noProof/>
        </w:rPr>
        <w:fldChar w:fldCharType="end"/>
      </w:r>
    </w:p>
    <w:p w14:paraId="73C2F81E"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1.6.5</w:t>
      </w:r>
      <w:r>
        <w:rPr>
          <w:rFonts w:eastAsiaTheme="minorEastAsia"/>
          <w:noProof/>
          <w:sz w:val="24"/>
          <w:szCs w:val="24"/>
          <w:lang w:eastAsia="ja-JP"/>
        </w:rPr>
        <w:tab/>
      </w:r>
      <w:r>
        <w:rPr>
          <w:noProof/>
        </w:rPr>
        <w:t>Penetrationsförderer</w:t>
      </w:r>
      <w:r>
        <w:rPr>
          <w:noProof/>
        </w:rPr>
        <w:tab/>
      </w:r>
      <w:r w:rsidR="00D16240">
        <w:rPr>
          <w:noProof/>
        </w:rPr>
        <w:fldChar w:fldCharType="begin"/>
      </w:r>
      <w:r>
        <w:rPr>
          <w:noProof/>
        </w:rPr>
        <w:instrText xml:space="preserve"> PAGEREF _Toc294380182 \h </w:instrText>
      </w:r>
      <w:r w:rsidR="00D16240">
        <w:rPr>
          <w:noProof/>
        </w:rPr>
      </w:r>
      <w:r w:rsidR="00D16240">
        <w:rPr>
          <w:noProof/>
        </w:rPr>
        <w:fldChar w:fldCharType="separate"/>
      </w:r>
      <w:r w:rsidR="00711AB8">
        <w:rPr>
          <w:noProof/>
        </w:rPr>
        <w:t>37</w:t>
      </w:r>
      <w:r w:rsidR="00D16240">
        <w:rPr>
          <w:noProof/>
        </w:rPr>
        <w:fldChar w:fldCharType="end"/>
      </w:r>
    </w:p>
    <w:p w14:paraId="19B58AE4"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1.6.6</w:t>
      </w:r>
      <w:r>
        <w:rPr>
          <w:rFonts w:eastAsiaTheme="minorEastAsia"/>
          <w:noProof/>
          <w:sz w:val="24"/>
          <w:szCs w:val="24"/>
          <w:lang w:eastAsia="ja-JP"/>
        </w:rPr>
        <w:tab/>
      </w:r>
      <w:r>
        <w:rPr>
          <w:noProof/>
        </w:rPr>
        <w:t>Nanoskalige Wirkstoffträger</w:t>
      </w:r>
      <w:r>
        <w:rPr>
          <w:noProof/>
        </w:rPr>
        <w:tab/>
      </w:r>
      <w:r w:rsidR="00D16240">
        <w:rPr>
          <w:noProof/>
        </w:rPr>
        <w:fldChar w:fldCharType="begin"/>
      </w:r>
      <w:r>
        <w:rPr>
          <w:noProof/>
        </w:rPr>
        <w:instrText xml:space="preserve"> PAGEREF _Toc294380183 \h </w:instrText>
      </w:r>
      <w:r w:rsidR="00D16240">
        <w:rPr>
          <w:noProof/>
        </w:rPr>
      </w:r>
      <w:r w:rsidR="00D16240">
        <w:rPr>
          <w:noProof/>
        </w:rPr>
        <w:fldChar w:fldCharType="separate"/>
      </w:r>
      <w:r w:rsidR="00711AB8">
        <w:rPr>
          <w:noProof/>
        </w:rPr>
        <w:t>38</w:t>
      </w:r>
      <w:r w:rsidR="00D16240">
        <w:rPr>
          <w:noProof/>
        </w:rPr>
        <w:fldChar w:fldCharType="end"/>
      </w:r>
    </w:p>
    <w:p w14:paraId="649E0732"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lastRenderedPageBreak/>
        <w:t>1.6.7</w:t>
      </w:r>
      <w:r>
        <w:rPr>
          <w:rFonts w:eastAsiaTheme="minorEastAsia"/>
          <w:noProof/>
          <w:sz w:val="24"/>
          <w:szCs w:val="24"/>
          <w:lang w:eastAsia="ja-JP"/>
        </w:rPr>
        <w:tab/>
      </w:r>
      <w:r>
        <w:rPr>
          <w:noProof/>
        </w:rPr>
        <w:t>Diskussion – Strategien zur Bioverfügbarkeitsverbesserung</w:t>
      </w:r>
      <w:r>
        <w:rPr>
          <w:noProof/>
        </w:rPr>
        <w:tab/>
      </w:r>
      <w:r w:rsidR="00D16240">
        <w:rPr>
          <w:noProof/>
        </w:rPr>
        <w:fldChar w:fldCharType="begin"/>
      </w:r>
      <w:r>
        <w:rPr>
          <w:noProof/>
        </w:rPr>
        <w:instrText xml:space="preserve"> PAGEREF _Toc294380184 \h </w:instrText>
      </w:r>
      <w:r w:rsidR="00D16240">
        <w:rPr>
          <w:noProof/>
        </w:rPr>
      </w:r>
      <w:r w:rsidR="00D16240">
        <w:rPr>
          <w:noProof/>
        </w:rPr>
        <w:fldChar w:fldCharType="separate"/>
      </w:r>
      <w:r w:rsidR="00711AB8">
        <w:rPr>
          <w:noProof/>
        </w:rPr>
        <w:t>39</w:t>
      </w:r>
      <w:r w:rsidR="00D16240">
        <w:rPr>
          <w:noProof/>
        </w:rPr>
        <w:fldChar w:fldCharType="end"/>
      </w:r>
    </w:p>
    <w:p w14:paraId="1D86F61D" w14:textId="77777777" w:rsidR="00D96E56" w:rsidRDefault="00D96E56">
      <w:pPr>
        <w:pStyle w:val="Verzeichnis1"/>
        <w:tabs>
          <w:tab w:val="left" w:pos="422"/>
        </w:tabs>
        <w:rPr>
          <w:rFonts w:asciiTheme="minorHAnsi" w:eastAsiaTheme="minorEastAsia" w:hAnsiTheme="minorHAnsi"/>
          <w:b w:val="0"/>
          <w:noProof/>
          <w:sz w:val="24"/>
          <w:szCs w:val="24"/>
          <w:lang w:eastAsia="ja-JP"/>
        </w:rPr>
      </w:pPr>
      <w:r>
        <w:rPr>
          <w:noProof/>
        </w:rPr>
        <w:t>2</w:t>
      </w:r>
      <w:r>
        <w:rPr>
          <w:rFonts w:asciiTheme="minorHAnsi" w:eastAsiaTheme="minorEastAsia" w:hAnsiTheme="minorHAnsi"/>
          <w:b w:val="0"/>
          <w:noProof/>
          <w:sz w:val="24"/>
          <w:szCs w:val="24"/>
          <w:lang w:eastAsia="ja-JP"/>
        </w:rPr>
        <w:tab/>
      </w:r>
      <w:r>
        <w:rPr>
          <w:noProof/>
        </w:rPr>
        <w:t>Zielsetzung der Dissertation</w:t>
      </w:r>
      <w:r>
        <w:rPr>
          <w:noProof/>
        </w:rPr>
        <w:tab/>
      </w:r>
      <w:r w:rsidR="00D16240">
        <w:rPr>
          <w:noProof/>
        </w:rPr>
        <w:fldChar w:fldCharType="begin"/>
      </w:r>
      <w:r>
        <w:rPr>
          <w:noProof/>
        </w:rPr>
        <w:instrText xml:space="preserve"> PAGEREF _Toc294380185 \h </w:instrText>
      </w:r>
      <w:r w:rsidR="00D16240">
        <w:rPr>
          <w:noProof/>
        </w:rPr>
      </w:r>
      <w:r w:rsidR="00D16240">
        <w:rPr>
          <w:noProof/>
        </w:rPr>
        <w:fldChar w:fldCharType="separate"/>
      </w:r>
      <w:r w:rsidR="00711AB8">
        <w:rPr>
          <w:noProof/>
        </w:rPr>
        <w:t>40</w:t>
      </w:r>
      <w:r w:rsidR="00D16240">
        <w:rPr>
          <w:noProof/>
        </w:rPr>
        <w:fldChar w:fldCharType="end"/>
      </w:r>
    </w:p>
    <w:p w14:paraId="5D9C6E0E" w14:textId="77777777" w:rsidR="00D96E56" w:rsidRDefault="00D96E56">
      <w:pPr>
        <w:pStyle w:val="Verzeichnis1"/>
        <w:tabs>
          <w:tab w:val="left" w:pos="422"/>
        </w:tabs>
        <w:rPr>
          <w:rFonts w:asciiTheme="minorHAnsi" w:eastAsiaTheme="minorEastAsia" w:hAnsiTheme="minorHAnsi"/>
          <w:b w:val="0"/>
          <w:noProof/>
          <w:sz w:val="24"/>
          <w:szCs w:val="24"/>
          <w:lang w:eastAsia="ja-JP"/>
        </w:rPr>
      </w:pPr>
      <w:r>
        <w:rPr>
          <w:noProof/>
        </w:rPr>
        <w:t>3</w:t>
      </w:r>
      <w:r>
        <w:rPr>
          <w:rFonts w:asciiTheme="minorHAnsi" w:eastAsiaTheme="minorEastAsia" w:hAnsiTheme="minorHAnsi"/>
          <w:b w:val="0"/>
          <w:noProof/>
          <w:sz w:val="24"/>
          <w:szCs w:val="24"/>
          <w:lang w:eastAsia="ja-JP"/>
        </w:rPr>
        <w:tab/>
      </w:r>
      <w:r>
        <w:rPr>
          <w:noProof/>
        </w:rPr>
        <w:t>Materialien</w:t>
      </w:r>
      <w:r>
        <w:rPr>
          <w:noProof/>
        </w:rPr>
        <w:tab/>
      </w:r>
      <w:r w:rsidR="00D16240">
        <w:rPr>
          <w:noProof/>
        </w:rPr>
        <w:fldChar w:fldCharType="begin"/>
      </w:r>
      <w:r>
        <w:rPr>
          <w:noProof/>
        </w:rPr>
        <w:instrText xml:space="preserve"> PAGEREF _Toc294380186 \h </w:instrText>
      </w:r>
      <w:r w:rsidR="00D16240">
        <w:rPr>
          <w:noProof/>
        </w:rPr>
      </w:r>
      <w:r w:rsidR="00D16240">
        <w:rPr>
          <w:noProof/>
        </w:rPr>
        <w:fldChar w:fldCharType="separate"/>
      </w:r>
      <w:r w:rsidR="00711AB8">
        <w:rPr>
          <w:noProof/>
        </w:rPr>
        <w:t>42</w:t>
      </w:r>
      <w:r w:rsidR="00D16240">
        <w:rPr>
          <w:noProof/>
        </w:rPr>
        <w:fldChar w:fldCharType="end"/>
      </w:r>
    </w:p>
    <w:p w14:paraId="5536FFC7"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3.1</w:t>
      </w:r>
      <w:r>
        <w:rPr>
          <w:rFonts w:eastAsiaTheme="minorEastAsia"/>
          <w:b w:val="0"/>
          <w:bCs w:val="0"/>
          <w:noProof/>
          <w:sz w:val="24"/>
          <w:szCs w:val="24"/>
          <w:lang w:eastAsia="ja-JP"/>
        </w:rPr>
        <w:tab/>
      </w:r>
      <w:r>
        <w:rPr>
          <w:noProof/>
        </w:rPr>
        <w:t>Bioabbaubare Polyester als Arzneistoffträger</w:t>
      </w:r>
      <w:r>
        <w:rPr>
          <w:noProof/>
        </w:rPr>
        <w:tab/>
      </w:r>
      <w:r w:rsidR="00D16240">
        <w:rPr>
          <w:noProof/>
        </w:rPr>
        <w:fldChar w:fldCharType="begin"/>
      </w:r>
      <w:r>
        <w:rPr>
          <w:noProof/>
        </w:rPr>
        <w:instrText xml:space="preserve"> PAGEREF _Toc294380187 \h </w:instrText>
      </w:r>
      <w:r w:rsidR="00D16240">
        <w:rPr>
          <w:noProof/>
        </w:rPr>
      </w:r>
      <w:r w:rsidR="00D16240">
        <w:rPr>
          <w:noProof/>
        </w:rPr>
        <w:fldChar w:fldCharType="separate"/>
      </w:r>
      <w:r w:rsidR="00711AB8">
        <w:rPr>
          <w:noProof/>
        </w:rPr>
        <w:t>42</w:t>
      </w:r>
      <w:r w:rsidR="00D16240">
        <w:rPr>
          <w:noProof/>
        </w:rPr>
        <w:fldChar w:fldCharType="end"/>
      </w:r>
    </w:p>
    <w:p w14:paraId="39FF5653"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3.2</w:t>
      </w:r>
      <w:r>
        <w:rPr>
          <w:rFonts w:eastAsiaTheme="minorEastAsia"/>
          <w:b w:val="0"/>
          <w:bCs w:val="0"/>
          <w:noProof/>
          <w:sz w:val="24"/>
          <w:szCs w:val="24"/>
          <w:lang w:eastAsia="ja-JP"/>
        </w:rPr>
        <w:tab/>
      </w:r>
      <w:r>
        <w:rPr>
          <w:noProof/>
        </w:rPr>
        <w:t>Neue Polyesteramid Polymere zur Bioverfügbarkeitserhöhung</w:t>
      </w:r>
      <w:r>
        <w:rPr>
          <w:noProof/>
        </w:rPr>
        <w:tab/>
      </w:r>
      <w:r w:rsidR="00D16240">
        <w:rPr>
          <w:noProof/>
        </w:rPr>
        <w:fldChar w:fldCharType="begin"/>
      </w:r>
      <w:r>
        <w:rPr>
          <w:noProof/>
        </w:rPr>
        <w:instrText xml:space="preserve"> PAGEREF _Toc294380188 \h </w:instrText>
      </w:r>
      <w:r w:rsidR="00D16240">
        <w:rPr>
          <w:noProof/>
        </w:rPr>
      </w:r>
      <w:r w:rsidR="00D16240">
        <w:rPr>
          <w:noProof/>
        </w:rPr>
        <w:fldChar w:fldCharType="separate"/>
      </w:r>
      <w:r w:rsidR="00711AB8">
        <w:rPr>
          <w:noProof/>
        </w:rPr>
        <w:t>43</w:t>
      </w:r>
      <w:r w:rsidR="00D16240">
        <w:rPr>
          <w:noProof/>
        </w:rPr>
        <w:fldChar w:fldCharType="end"/>
      </w:r>
    </w:p>
    <w:p w14:paraId="139F909C"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3.2.1</w:t>
      </w:r>
      <w:r>
        <w:rPr>
          <w:rFonts w:eastAsiaTheme="minorEastAsia"/>
          <w:noProof/>
          <w:sz w:val="24"/>
          <w:szCs w:val="24"/>
          <w:lang w:eastAsia="ja-JP"/>
        </w:rPr>
        <w:tab/>
      </w:r>
      <w:r>
        <w:rPr>
          <w:noProof/>
        </w:rPr>
        <w:t>Konzeption der neuen Trägermaterialien</w:t>
      </w:r>
      <w:r>
        <w:rPr>
          <w:noProof/>
        </w:rPr>
        <w:tab/>
      </w:r>
      <w:r w:rsidR="00D16240">
        <w:rPr>
          <w:noProof/>
        </w:rPr>
        <w:fldChar w:fldCharType="begin"/>
      </w:r>
      <w:r>
        <w:rPr>
          <w:noProof/>
        </w:rPr>
        <w:instrText xml:space="preserve"> PAGEREF _Toc294380189 \h </w:instrText>
      </w:r>
      <w:r w:rsidR="00D16240">
        <w:rPr>
          <w:noProof/>
        </w:rPr>
      </w:r>
      <w:r w:rsidR="00D16240">
        <w:rPr>
          <w:noProof/>
        </w:rPr>
        <w:fldChar w:fldCharType="separate"/>
      </w:r>
      <w:r w:rsidR="00711AB8">
        <w:rPr>
          <w:noProof/>
        </w:rPr>
        <w:t>43</w:t>
      </w:r>
      <w:r w:rsidR="00D16240">
        <w:rPr>
          <w:noProof/>
        </w:rPr>
        <w:fldChar w:fldCharType="end"/>
      </w:r>
    </w:p>
    <w:p w14:paraId="6B7B7E12"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3.2.2</w:t>
      </w:r>
      <w:r>
        <w:rPr>
          <w:rFonts w:eastAsiaTheme="minorEastAsia"/>
          <w:noProof/>
          <w:sz w:val="24"/>
          <w:szCs w:val="24"/>
          <w:lang w:eastAsia="ja-JP"/>
        </w:rPr>
        <w:tab/>
      </w:r>
      <w:r>
        <w:rPr>
          <w:noProof/>
        </w:rPr>
        <w:t>Herstellung der Polyesteramide</w:t>
      </w:r>
      <w:r>
        <w:rPr>
          <w:noProof/>
        </w:rPr>
        <w:tab/>
      </w:r>
      <w:r w:rsidR="00D16240">
        <w:rPr>
          <w:noProof/>
        </w:rPr>
        <w:fldChar w:fldCharType="begin"/>
      </w:r>
      <w:r>
        <w:rPr>
          <w:noProof/>
        </w:rPr>
        <w:instrText xml:space="preserve"> PAGEREF _Toc294380190 \h </w:instrText>
      </w:r>
      <w:r w:rsidR="00D16240">
        <w:rPr>
          <w:noProof/>
        </w:rPr>
      </w:r>
      <w:r w:rsidR="00D16240">
        <w:rPr>
          <w:noProof/>
        </w:rPr>
        <w:fldChar w:fldCharType="separate"/>
      </w:r>
      <w:r w:rsidR="00711AB8">
        <w:rPr>
          <w:noProof/>
        </w:rPr>
        <w:t>44</w:t>
      </w:r>
      <w:r w:rsidR="00D16240">
        <w:rPr>
          <w:noProof/>
        </w:rPr>
        <w:fldChar w:fldCharType="end"/>
      </w:r>
    </w:p>
    <w:p w14:paraId="7BA06ABA"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3.2.3</w:t>
      </w:r>
      <w:r>
        <w:rPr>
          <w:rFonts w:eastAsiaTheme="minorEastAsia"/>
          <w:noProof/>
          <w:sz w:val="24"/>
          <w:szCs w:val="24"/>
          <w:lang w:eastAsia="ja-JP"/>
        </w:rPr>
        <w:tab/>
      </w:r>
      <w:r>
        <w:rPr>
          <w:noProof/>
        </w:rPr>
        <w:t>Vorteile der Polyesteramide gegenüber herkömmlichen Trägermaterialien</w:t>
      </w:r>
      <w:r>
        <w:rPr>
          <w:noProof/>
        </w:rPr>
        <w:tab/>
      </w:r>
      <w:r w:rsidR="00D16240">
        <w:rPr>
          <w:noProof/>
        </w:rPr>
        <w:fldChar w:fldCharType="begin"/>
      </w:r>
      <w:r>
        <w:rPr>
          <w:noProof/>
        </w:rPr>
        <w:instrText xml:space="preserve"> PAGEREF _Toc294380191 \h </w:instrText>
      </w:r>
      <w:r w:rsidR="00D16240">
        <w:rPr>
          <w:noProof/>
        </w:rPr>
      </w:r>
      <w:r w:rsidR="00D16240">
        <w:rPr>
          <w:noProof/>
        </w:rPr>
        <w:fldChar w:fldCharType="separate"/>
      </w:r>
      <w:r w:rsidR="00711AB8">
        <w:rPr>
          <w:noProof/>
        </w:rPr>
        <w:t>47</w:t>
      </w:r>
      <w:r w:rsidR="00D16240">
        <w:rPr>
          <w:noProof/>
        </w:rPr>
        <w:fldChar w:fldCharType="end"/>
      </w:r>
    </w:p>
    <w:p w14:paraId="542B5AE1"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3.3</w:t>
      </w:r>
      <w:r>
        <w:rPr>
          <w:rFonts w:eastAsiaTheme="minorEastAsia"/>
          <w:b w:val="0"/>
          <w:bCs w:val="0"/>
          <w:noProof/>
          <w:sz w:val="24"/>
          <w:szCs w:val="24"/>
          <w:lang w:eastAsia="ja-JP"/>
        </w:rPr>
        <w:tab/>
      </w:r>
      <w:r>
        <w:rPr>
          <w:noProof/>
        </w:rPr>
        <w:t>Modellwirkstoff Desmopressin</w:t>
      </w:r>
      <w:r>
        <w:rPr>
          <w:noProof/>
        </w:rPr>
        <w:tab/>
      </w:r>
      <w:r w:rsidR="00D16240">
        <w:rPr>
          <w:noProof/>
        </w:rPr>
        <w:fldChar w:fldCharType="begin"/>
      </w:r>
      <w:r>
        <w:rPr>
          <w:noProof/>
        </w:rPr>
        <w:instrText xml:space="preserve"> PAGEREF _Toc294380192 \h </w:instrText>
      </w:r>
      <w:r w:rsidR="00D16240">
        <w:rPr>
          <w:noProof/>
        </w:rPr>
      </w:r>
      <w:r w:rsidR="00D16240">
        <w:rPr>
          <w:noProof/>
        </w:rPr>
        <w:fldChar w:fldCharType="separate"/>
      </w:r>
      <w:r w:rsidR="00711AB8">
        <w:rPr>
          <w:noProof/>
        </w:rPr>
        <w:t>48</w:t>
      </w:r>
      <w:r w:rsidR="00D16240">
        <w:rPr>
          <w:noProof/>
        </w:rPr>
        <w:fldChar w:fldCharType="end"/>
      </w:r>
    </w:p>
    <w:p w14:paraId="1E4A4694"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3.4</w:t>
      </w:r>
      <w:r>
        <w:rPr>
          <w:rFonts w:eastAsiaTheme="minorEastAsia"/>
          <w:b w:val="0"/>
          <w:bCs w:val="0"/>
          <w:noProof/>
          <w:sz w:val="24"/>
          <w:szCs w:val="24"/>
          <w:lang w:eastAsia="ja-JP"/>
        </w:rPr>
        <w:tab/>
      </w:r>
      <w:r>
        <w:rPr>
          <w:noProof/>
        </w:rPr>
        <w:t>Sonstige Hilfsstoffe</w:t>
      </w:r>
      <w:r>
        <w:rPr>
          <w:noProof/>
        </w:rPr>
        <w:tab/>
      </w:r>
      <w:r w:rsidR="00D16240">
        <w:rPr>
          <w:noProof/>
        </w:rPr>
        <w:fldChar w:fldCharType="begin"/>
      </w:r>
      <w:r>
        <w:rPr>
          <w:noProof/>
        </w:rPr>
        <w:instrText xml:space="preserve"> PAGEREF _Toc294380193 \h </w:instrText>
      </w:r>
      <w:r w:rsidR="00D16240">
        <w:rPr>
          <w:noProof/>
        </w:rPr>
      </w:r>
      <w:r w:rsidR="00D16240">
        <w:rPr>
          <w:noProof/>
        </w:rPr>
        <w:fldChar w:fldCharType="separate"/>
      </w:r>
      <w:r w:rsidR="00711AB8">
        <w:rPr>
          <w:noProof/>
        </w:rPr>
        <w:t>50</w:t>
      </w:r>
      <w:r w:rsidR="00D16240">
        <w:rPr>
          <w:noProof/>
        </w:rPr>
        <w:fldChar w:fldCharType="end"/>
      </w:r>
    </w:p>
    <w:p w14:paraId="22825144" w14:textId="77777777" w:rsidR="00D96E56" w:rsidRDefault="00D96E56">
      <w:pPr>
        <w:pStyle w:val="Verzeichnis1"/>
        <w:tabs>
          <w:tab w:val="left" w:pos="422"/>
        </w:tabs>
        <w:rPr>
          <w:rFonts w:asciiTheme="minorHAnsi" w:eastAsiaTheme="minorEastAsia" w:hAnsiTheme="minorHAnsi"/>
          <w:b w:val="0"/>
          <w:noProof/>
          <w:sz w:val="24"/>
          <w:szCs w:val="24"/>
          <w:lang w:eastAsia="ja-JP"/>
        </w:rPr>
      </w:pPr>
      <w:r>
        <w:rPr>
          <w:noProof/>
        </w:rPr>
        <w:t>4</w:t>
      </w:r>
      <w:r>
        <w:rPr>
          <w:rFonts w:asciiTheme="minorHAnsi" w:eastAsiaTheme="minorEastAsia" w:hAnsiTheme="minorHAnsi"/>
          <w:b w:val="0"/>
          <w:noProof/>
          <w:sz w:val="24"/>
          <w:szCs w:val="24"/>
          <w:lang w:eastAsia="ja-JP"/>
        </w:rPr>
        <w:tab/>
      </w:r>
      <w:r>
        <w:rPr>
          <w:noProof/>
        </w:rPr>
        <w:t>Formulierung und Charakterisierung nanopartikulärer Trägersysteme</w:t>
      </w:r>
      <w:r>
        <w:rPr>
          <w:noProof/>
        </w:rPr>
        <w:tab/>
      </w:r>
      <w:r w:rsidR="00D16240">
        <w:rPr>
          <w:noProof/>
        </w:rPr>
        <w:fldChar w:fldCharType="begin"/>
      </w:r>
      <w:r>
        <w:rPr>
          <w:noProof/>
        </w:rPr>
        <w:instrText xml:space="preserve"> PAGEREF _Toc294380194 \h </w:instrText>
      </w:r>
      <w:r w:rsidR="00D16240">
        <w:rPr>
          <w:noProof/>
        </w:rPr>
      </w:r>
      <w:r w:rsidR="00D16240">
        <w:rPr>
          <w:noProof/>
        </w:rPr>
        <w:fldChar w:fldCharType="separate"/>
      </w:r>
      <w:r w:rsidR="00711AB8">
        <w:rPr>
          <w:noProof/>
        </w:rPr>
        <w:t>51</w:t>
      </w:r>
      <w:r w:rsidR="00D16240">
        <w:rPr>
          <w:noProof/>
        </w:rPr>
        <w:fldChar w:fldCharType="end"/>
      </w:r>
    </w:p>
    <w:p w14:paraId="7C746BB3"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4.1</w:t>
      </w:r>
      <w:r>
        <w:rPr>
          <w:rFonts w:eastAsiaTheme="minorEastAsia"/>
          <w:b w:val="0"/>
          <w:bCs w:val="0"/>
          <w:noProof/>
          <w:sz w:val="24"/>
          <w:szCs w:val="24"/>
          <w:lang w:eastAsia="ja-JP"/>
        </w:rPr>
        <w:tab/>
      </w:r>
      <w:r>
        <w:rPr>
          <w:noProof/>
        </w:rPr>
        <w:t>Methoden</w:t>
      </w:r>
      <w:r>
        <w:rPr>
          <w:noProof/>
        </w:rPr>
        <w:tab/>
      </w:r>
      <w:r w:rsidR="00D16240">
        <w:rPr>
          <w:noProof/>
        </w:rPr>
        <w:fldChar w:fldCharType="begin"/>
      </w:r>
      <w:r>
        <w:rPr>
          <w:noProof/>
        </w:rPr>
        <w:instrText xml:space="preserve"> PAGEREF _Toc294380195 \h </w:instrText>
      </w:r>
      <w:r w:rsidR="00D16240">
        <w:rPr>
          <w:noProof/>
        </w:rPr>
      </w:r>
      <w:r w:rsidR="00D16240">
        <w:rPr>
          <w:noProof/>
        </w:rPr>
        <w:fldChar w:fldCharType="separate"/>
      </w:r>
      <w:r w:rsidR="00711AB8">
        <w:rPr>
          <w:noProof/>
        </w:rPr>
        <w:t>52</w:t>
      </w:r>
      <w:r w:rsidR="00D16240">
        <w:rPr>
          <w:noProof/>
        </w:rPr>
        <w:fldChar w:fldCharType="end"/>
      </w:r>
    </w:p>
    <w:p w14:paraId="1954B59B"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4.1.1</w:t>
      </w:r>
      <w:r>
        <w:rPr>
          <w:rFonts w:eastAsiaTheme="minorEastAsia"/>
          <w:noProof/>
          <w:sz w:val="24"/>
          <w:szCs w:val="24"/>
          <w:lang w:eastAsia="ja-JP"/>
        </w:rPr>
        <w:tab/>
      </w:r>
      <w:r>
        <w:rPr>
          <w:noProof/>
        </w:rPr>
        <w:t>Herstellung von Polymernanopartikeln</w:t>
      </w:r>
      <w:r>
        <w:rPr>
          <w:noProof/>
        </w:rPr>
        <w:tab/>
      </w:r>
      <w:r w:rsidR="00D16240">
        <w:rPr>
          <w:noProof/>
        </w:rPr>
        <w:fldChar w:fldCharType="begin"/>
      </w:r>
      <w:r>
        <w:rPr>
          <w:noProof/>
        </w:rPr>
        <w:instrText xml:space="preserve"> PAGEREF _Toc294380196 \h </w:instrText>
      </w:r>
      <w:r w:rsidR="00D16240">
        <w:rPr>
          <w:noProof/>
        </w:rPr>
      </w:r>
      <w:r w:rsidR="00D16240">
        <w:rPr>
          <w:noProof/>
        </w:rPr>
        <w:fldChar w:fldCharType="separate"/>
      </w:r>
      <w:r w:rsidR="00711AB8">
        <w:rPr>
          <w:noProof/>
        </w:rPr>
        <w:t>53</w:t>
      </w:r>
      <w:r w:rsidR="00D16240">
        <w:rPr>
          <w:noProof/>
        </w:rPr>
        <w:fldChar w:fldCharType="end"/>
      </w:r>
    </w:p>
    <w:p w14:paraId="61C7AD49"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4.1.1.1</w:t>
      </w:r>
      <w:r>
        <w:rPr>
          <w:rFonts w:eastAsiaTheme="minorEastAsia"/>
          <w:noProof/>
          <w:sz w:val="24"/>
          <w:szCs w:val="24"/>
          <w:lang w:eastAsia="ja-JP"/>
        </w:rPr>
        <w:tab/>
      </w:r>
      <w:r>
        <w:rPr>
          <w:noProof/>
        </w:rPr>
        <w:t>Doppelemulsionsmethode</w:t>
      </w:r>
      <w:r>
        <w:rPr>
          <w:noProof/>
        </w:rPr>
        <w:tab/>
      </w:r>
      <w:r w:rsidR="00D16240">
        <w:rPr>
          <w:noProof/>
        </w:rPr>
        <w:fldChar w:fldCharType="begin"/>
      </w:r>
      <w:r>
        <w:rPr>
          <w:noProof/>
        </w:rPr>
        <w:instrText xml:space="preserve"> PAGEREF _Toc294380197 \h </w:instrText>
      </w:r>
      <w:r w:rsidR="00D16240">
        <w:rPr>
          <w:noProof/>
        </w:rPr>
      </w:r>
      <w:r w:rsidR="00D16240">
        <w:rPr>
          <w:noProof/>
        </w:rPr>
        <w:fldChar w:fldCharType="separate"/>
      </w:r>
      <w:r w:rsidR="00711AB8">
        <w:rPr>
          <w:noProof/>
        </w:rPr>
        <w:t>54</w:t>
      </w:r>
      <w:r w:rsidR="00D16240">
        <w:rPr>
          <w:noProof/>
        </w:rPr>
        <w:fldChar w:fldCharType="end"/>
      </w:r>
    </w:p>
    <w:p w14:paraId="444FA947" w14:textId="77777777" w:rsidR="00D96E56" w:rsidRDefault="00D96E56">
      <w:pPr>
        <w:pStyle w:val="Verzeichnis5"/>
        <w:tabs>
          <w:tab w:val="right" w:leader="dot" w:pos="9062"/>
        </w:tabs>
        <w:rPr>
          <w:rFonts w:eastAsiaTheme="minorEastAsia"/>
          <w:noProof/>
          <w:sz w:val="24"/>
          <w:szCs w:val="24"/>
          <w:lang w:eastAsia="ja-JP"/>
        </w:rPr>
      </w:pPr>
      <w:r w:rsidRPr="00B07EC2">
        <w:rPr>
          <w:noProof/>
          <w:color w:val="000000" w:themeColor="text1"/>
        </w:rPr>
        <w:t>Aufreinigung der Partikelsuspensionen</w:t>
      </w:r>
      <w:r>
        <w:rPr>
          <w:noProof/>
        </w:rPr>
        <w:tab/>
      </w:r>
      <w:r w:rsidR="00D16240">
        <w:rPr>
          <w:noProof/>
        </w:rPr>
        <w:fldChar w:fldCharType="begin"/>
      </w:r>
      <w:r>
        <w:rPr>
          <w:noProof/>
        </w:rPr>
        <w:instrText xml:space="preserve"> PAGEREF _Toc294380198 \h </w:instrText>
      </w:r>
      <w:r w:rsidR="00D16240">
        <w:rPr>
          <w:noProof/>
        </w:rPr>
      </w:r>
      <w:r w:rsidR="00D16240">
        <w:rPr>
          <w:noProof/>
        </w:rPr>
        <w:fldChar w:fldCharType="separate"/>
      </w:r>
      <w:r w:rsidR="00711AB8">
        <w:rPr>
          <w:noProof/>
        </w:rPr>
        <w:t>55</w:t>
      </w:r>
      <w:r w:rsidR="00D16240">
        <w:rPr>
          <w:noProof/>
        </w:rPr>
        <w:fldChar w:fldCharType="end"/>
      </w:r>
    </w:p>
    <w:p w14:paraId="3F1DE7E1"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4.1.1.2</w:t>
      </w:r>
      <w:r>
        <w:rPr>
          <w:rFonts w:eastAsiaTheme="minorEastAsia"/>
          <w:noProof/>
          <w:sz w:val="24"/>
          <w:szCs w:val="24"/>
          <w:lang w:eastAsia="ja-JP"/>
        </w:rPr>
        <w:tab/>
      </w:r>
      <w:r>
        <w:rPr>
          <w:noProof/>
        </w:rPr>
        <w:t>Herstellung von Nanopartikeln aus überkritischen Lösungen</w:t>
      </w:r>
      <w:r>
        <w:rPr>
          <w:noProof/>
        </w:rPr>
        <w:tab/>
      </w:r>
      <w:r w:rsidR="00D16240">
        <w:rPr>
          <w:noProof/>
        </w:rPr>
        <w:fldChar w:fldCharType="begin"/>
      </w:r>
      <w:r>
        <w:rPr>
          <w:noProof/>
        </w:rPr>
        <w:instrText xml:space="preserve"> PAGEREF _Toc294380199 \h </w:instrText>
      </w:r>
      <w:r w:rsidR="00D16240">
        <w:rPr>
          <w:noProof/>
        </w:rPr>
      </w:r>
      <w:r w:rsidR="00D16240">
        <w:rPr>
          <w:noProof/>
        </w:rPr>
        <w:fldChar w:fldCharType="separate"/>
      </w:r>
      <w:r w:rsidR="00711AB8">
        <w:rPr>
          <w:noProof/>
        </w:rPr>
        <w:t>56</w:t>
      </w:r>
      <w:r w:rsidR="00D16240">
        <w:rPr>
          <w:noProof/>
        </w:rPr>
        <w:fldChar w:fldCharType="end"/>
      </w:r>
    </w:p>
    <w:p w14:paraId="79556978"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4.1.2</w:t>
      </w:r>
      <w:r>
        <w:rPr>
          <w:rFonts w:eastAsiaTheme="minorEastAsia"/>
          <w:noProof/>
          <w:sz w:val="24"/>
          <w:szCs w:val="24"/>
          <w:lang w:eastAsia="ja-JP"/>
        </w:rPr>
        <w:tab/>
      </w:r>
      <w:r>
        <w:rPr>
          <w:noProof/>
        </w:rPr>
        <w:t>Funktionalisierung der Partikeloberfläche mit Peptidmolekülen</w:t>
      </w:r>
      <w:r>
        <w:rPr>
          <w:noProof/>
        </w:rPr>
        <w:tab/>
      </w:r>
      <w:r w:rsidR="00D16240">
        <w:rPr>
          <w:noProof/>
        </w:rPr>
        <w:fldChar w:fldCharType="begin"/>
      </w:r>
      <w:r>
        <w:rPr>
          <w:noProof/>
        </w:rPr>
        <w:instrText xml:space="preserve"> PAGEREF _Toc294380200 \h </w:instrText>
      </w:r>
      <w:r w:rsidR="00D16240">
        <w:rPr>
          <w:noProof/>
        </w:rPr>
      </w:r>
      <w:r w:rsidR="00D16240">
        <w:rPr>
          <w:noProof/>
        </w:rPr>
        <w:fldChar w:fldCharType="separate"/>
      </w:r>
      <w:r w:rsidR="00711AB8">
        <w:rPr>
          <w:noProof/>
        </w:rPr>
        <w:t>56</w:t>
      </w:r>
      <w:r w:rsidR="00D16240">
        <w:rPr>
          <w:noProof/>
        </w:rPr>
        <w:fldChar w:fldCharType="end"/>
      </w:r>
    </w:p>
    <w:p w14:paraId="5CBC0C6A"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4.1.3</w:t>
      </w:r>
      <w:r>
        <w:rPr>
          <w:rFonts w:eastAsiaTheme="minorEastAsia"/>
          <w:noProof/>
          <w:sz w:val="24"/>
          <w:szCs w:val="24"/>
          <w:lang w:eastAsia="ja-JP"/>
        </w:rPr>
        <w:tab/>
      </w:r>
      <w:r>
        <w:rPr>
          <w:noProof/>
        </w:rPr>
        <w:t>Gefriertrocknung von Nanosuspensionen</w:t>
      </w:r>
      <w:r>
        <w:rPr>
          <w:noProof/>
        </w:rPr>
        <w:tab/>
      </w:r>
      <w:r w:rsidR="00D16240">
        <w:rPr>
          <w:noProof/>
        </w:rPr>
        <w:fldChar w:fldCharType="begin"/>
      </w:r>
      <w:r>
        <w:rPr>
          <w:noProof/>
        </w:rPr>
        <w:instrText xml:space="preserve"> PAGEREF _Toc294380201 \h </w:instrText>
      </w:r>
      <w:r w:rsidR="00D16240">
        <w:rPr>
          <w:noProof/>
        </w:rPr>
      </w:r>
      <w:r w:rsidR="00D16240">
        <w:rPr>
          <w:noProof/>
        </w:rPr>
        <w:fldChar w:fldCharType="separate"/>
      </w:r>
      <w:r w:rsidR="00711AB8">
        <w:rPr>
          <w:noProof/>
        </w:rPr>
        <w:t>57</w:t>
      </w:r>
      <w:r w:rsidR="00D16240">
        <w:rPr>
          <w:noProof/>
        </w:rPr>
        <w:fldChar w:fldCharType="end"/>
      </w:r>
    </w:p>
    <w:p w14:paraId="35352709"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4.1.4</w:t>
      </w:r>
      <w:r>
        <w:rPr>
          <w:rFonts w:eastAsiaTheme="minorEastAsia"/>
          <w:noProof/>
          <w:sz w:val="24"/>
          <w:szCs w:val="24"/>
          <w:lang w:eastAsia="ja-JP"/>
        </w:rPr>
        <w:tab/>
      </w:r>
      <w:r>
        <w:rPr>
          <w:noProof/>
        </w:rPr>
        <w:t>Sprühtrocknung von Nanosuspensionen</w:t>
      </w:r>
      <w:r>
        <w:rPr>
          <w:noProof/>
        </w:rPr>
        <w:tab/>
      </w:r>
      <w:r w:rsidR="00D16240">
        <w:rPr>
          <w:noProof/>
        </w:rPr>
        <w:fldChar w:fldCharType="begin"/>
      </w:r>
      <w:r>
        <w:rPr>
          <w:noProof/>
        </w:rPr>
        <w:instrText xml:space="preserve"> PAGEREF _Toc294380202 \h </w:instrText>
      </w:r>
      <w:r w:rsidR="00D16240">
        <w:rPr>
          <w:noProof/>
        </w:rPr>
      </w:r>
      <w:r w:rsidR="00D16240">
        <w:rPr>
          <w:noProof/>
        </w:rPr>
        <w:fldChar w:fldCharType="separate"/>
      </w:r>
      <w:r w:rsidR="00711AB8">
        <w:rPr>
          <w:noProof/>
        </w:rPr>
        <w:t>58</w:t>
      </w:r>
      <w:r w:rsidR="00D16240">
        <w:rPr>
          <w:noProof/>
        </w:rPr>
        <w:fldChar w:fldCharType="end"/>
      </w:r>
    </w:p>
    <w:p w14:paraId="532746A8"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4.1.5</w:t>
      </w:r>
      <w:r>
        <w:rPr>
          <w:rFonts w:eastAsiaTheme="minorEastAsia"/>
          <w:noProof/>
          <w:sz w:val="24"/>
          <w:szCs w:val="24"/>
          <w:lang w:eastAsia="ja-JP"/>
        </w:rPr>
        <w:tab/>
      </w:r>
      <w:r>
        <w:rPr>
          <w:noProof/>
        </w:rPr>
        <w:t>Charakterisierung der Nanopartikel</w:t>
      </w:r>
      <w:r>
        <w:rPr>
          <w:noProof/>
        </w:rPr>
        <w:tab/>
      </w:r>
      <w:r w:rsidR="00D16240">
        <w:rPr>
          <w:noProof/>
        </w:rPr>
        <w:fldChar w:fldCharType="begin"/>
      </w:r>
      <w:r>
        <w:rPr>
          <w:noProof/>
        </w:rPr>
        <w:instrText xml:space="preserve"> PAGEREF _Toc294380203 \h </w:instrText>
      </w:r>
      <w:r w:rsidR="00D16240">
        <w:rPr>
          <w:noProof/>
        </w:rPr>
      </w:r>
      <w:r w:rsidR="00D16240">
        <w:rPr>
          <w:noProof/>
        </w:rPr>
        <w:fldChar w:fldCharType="separate"/>
      </w:r>
      <w:r w:rsidR="00711AB8">
        <w:rPr>
          <w:noProof/>
        </w:rPr>
        <w:t>58</w:t>
      </w:r>
      <w:r w:rsidR="00D16240">
        <w:rPr>
          <w:noProof/>
        </w:rPr>
        <w:fldChar w:fldCharType="end"/>
      </w:r>
    </w:p>
    <w:p w14:paraId="24CE7253"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4.1.5.1</w:t>
      </w:r>
      <w:r>
        <w:rPr>
          <w:rFonts w:eastAsiaTheme="minorEastAsia"/>
          <w:noProof/>
          <w:sz w:val="24"/>
          <w:szCs w:val="24"/>
          <w:lang w:eastAsia="ja-JP"/>
        </w:rPr>
        <w:tab/>
      </w:r>
      <w:r>
        <w:rPr>
          <w:noProof/>
        </w:rPr>
        <w:t>DLS Partikelgrößenmessung und ELS Zetapotentialmessung</w:t>
      </w:r>
      <w:r>
        <w:rPr>
          <w:noProof/>
        </w:rPr>
        <w:tab/>
      </w:r>
      <w:r w:rsidR="00D16240">
        <w:rPr>
          <w:noProof/>
        </w:rPr>
        <w:fldChar w:fldCharType="begin"/>
      </w:r>
      <w:r>
        <w:rPr>
          <w:noProof/>
        </w:rPr>
        <w:instrText xml:space="preserve"> PAGEREF _Toc294380204 \h </w:instrText>
      </w:r>
      <w:r w:rsidR="00D16240">
        <w:rPr>
          <w:noProof/>
        </w:rPr>
      </w:r>
      <w:r w:rsidR="00D16240">
        <w:rPr>
          <w:noProof/>
        </w:rPr>
        <w:fldChar w:fldCharType="separate"/>
      </w:r>
      <w:r w:rsidR="00711AB8">
        <w:rPr>
          <w:noProof/>
        </w:rPr>
        <w:t>59</w:t>
      </w:r>
      <w:r w:rsidR="00D16240">
        <w:rPr>
          <w:noProof/>
        </w:rPr>
        <w:fldChar w:fldCharType="end"/>
      </w:r>
    </w:p>
    <w:p w14:paraId="1F04A515"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4.1.5.2</w:t>
      </w:r>
      <w:r>
        <w:rPr>
          <w:rFonts w:eastAsiaTheme="minorEastAsia"/>
          <w:noProof/>
          <w:sz w:val="24"/>
          <w:szCs w:val="24"/>
          <w:lang w:eastAsia="ja-JP"/>
        </w:rPr>
        <w:tab/>
      </w:r>
      <w:r>
        <w:rPr>
          <w:noProof/>
        </w:rPr>
        <w:t>Desmopressin Gehaltsbestimmung mittels HPLC</w:t>
      </w:r>
      <w:r>
        <w:rPr>
          <w:noProof/>
        </w:rPr>
        <w:tab/>
      </w:r>
      <w:r w:rsidR="00D16240">
        <w:rPr>
          <w:noProof/>
        </w:rPr>
        <w:fldChar w:fldCharType="begin"/>
      </w:r>
      <w:r>
        <w:rPr>
          <w:noProof/>
        </w:rPr>
        <w:instrText xml:space="preserve"> PAGEREF _Toc294380205 \h </w:instrText>
      </w:r>
      <w:r w:rsidR="00D16240">
        <w:rPr>
          <w:noProof/>
        </w:rPr>
      </w:r>
      <w:r w:rsidR="00D16240">
        <w:rPr>
          <w:noProof/>
        </w:rPr>
        <w:fldChar w:fldCharType="separate"/>
      </w:r>
      <w:r w:rsidR="00711AB8">
        <w:rPr>
          <w:noProof/>
        </w:rPr>
        <w:t>60</w:t>
      </w:r>
      <w:r w:rsidR="00D16240">
        <w:rPr>
          <w:noProof/>
        </w:rPr>
        <w:fldChar w:fldCharType="end"/>
      </w:r>
    </w:p>
    <w:p w14:paraId="103DE2AF"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4.1.5.3</w:t>
      </w:r>
      <w:r>
        <w:rPr>
          <w:rFonts w:eastAsiaTheme="minorEastAsia"/>
          <w:noProof/>
          <w:sz w:val="24"/>
          <w:szCs w:val="24"/>
          <w:lang w:eastAsia="ja-JP"/>
        </w:rPr>
        <w:tab/>
      </w:r>
      <w:r>
        <w:rPr>
          <w:noProof/>
        </w:rPr>
        <w:t>Rasterelektronenmikroskopie</w:t>
      </w:r>
      <w:r>
        <w:rPr>
          <w:noProof/>
        </w:rPr>
        <w:tab/>
      </w:r>
      <w:r w:rsidR="00D16240">
        <w:rPr>
          <w:noProof/>
        </w:rPr>
        <w:fldChar w:fldCharType="begin"/>
      </w:r>
      <w:r>
        <w:rPr>
          <w:noProof/>
        </w:rPr>
        <w:instrText xml:space="preserve"> PAGEREF _Toc294380206 \h </w:instrText>
      </w:r>
      <w:r w:rsidR="00D16240">
        <w:rPr>
          <w:noProof/>
        </w:rPr>
      </w:r>
      <w:r w:rsidR="00D16240">
        <w:rPr>
          <w:noProof/>
        </w:rPr>
        <w:fldChar w:fldCharType="separate"/>
      </w:r>
      <w:r w:rsidR="00711AB8">
        <w:rPr>
          <w:noProof/>
        </w:rPr>
        <w:t>61</w:t>
      </w:r>
      <w:r w:rsidR="00D16240">
        <w:rPr>
          <w:noProof/>
        </w:rPr>
        <w:fldChar w:fldCharType="end"/>
      </w:r>
    </w:p>
    <w:p w14:paraId="312E1510"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4.1.5.4</w:t>
      </w:r>
      <w:r>
        <w:rPr>
          <w:rFonts w:eastAsiaTheme="minorEastAsia"/>
          <w:noProof/>
          <w:sz w:val="24"/>
          <w:szCs w:val="24"/>
          <w:lang w:eastAsia="ja-JP"/>
        </w:rPr>
        <w:tab/>
      </w:r>
      <w:r>
        <w:rPr>
          <w:noProof/>
        </w:rPr>
        <w:t>Redispergierbarkeit</w:t>
      </w:r>
      <w:r>
        <w:rPr>
          <w:noProof/>
        </w:rPr>
        <w:tab/>
      </w:r>
      <w:r w:rsidR="00D16240">
        <w:rPr>
          <w:noProof/>
        </w:rPr>
        <w:fldChar w:fldCharType="begin"/>
      </w:r>
      <w:r>
        <w:rPr>
          <w:noProof/>
        </w:rPr>
        <w:instrText xml:space="preserve"> PAGEREF _Toc294380207 \h </w:instrText>
      </w:r>
      <w:r w:rsidR="00D16240">
        <w:rPr>
          <w:noProof/>
        </w:rPr>
      </w:r>
      <w:r w:rsidR="00D16240">
        <w:rPr>
          <w:noProof/>
        </w:rPr>
        <w:fldChar w:fldCharType="separate"/>
      </w:r>
      <w:r w:rsidR="00711AB8">
        <w:rPr>
          <w:noProof/>
        </w:rPr>
        <w:t>61</w:t>
      </w:r>
      <w:r w:rsidR="00D16240">
        <w:rPr>
          <w:noProof/>
        </w:rPr>
        <w:fldChar w:fldCharType="end"/>
      </w:r>
    </w:p>
    <w:p w14:paraId="4FEAD736"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4.1.5.5</w:t>
      </w:r>
      <w:r>
        <w:rPr>
          <w:rFonts w:eastAsiaTheme="minorEastAsia"/>
          <w:noProof/>
          <w:sz w:val="24"/>
          <w:szCs w:val="24"/>
          <w:lang w:eastAsia="ja-JP"/>
        </w:rPr>
        <w:tab/>
      </w:r>
      <w:r>
        <w:rPr>
          <w:noProof/>
        </w:rPr>
        <w:t>Qualitativer Nachweis von Thiolgruppen mit Ellmanns Reagenz</w:t>
      </w:r>
      <w:r>
        <w:rPr>
          <w:noProof/>
        </w:rPr>
        <w:tab/>
      </w:r>
      <w:r w:rsidR="00D16240">
        <w:rPr>
          <w:noProof/>
        </w:rPr>
        <w:fldChar w:fldCharType="begin"/>
      </w:r>
      <w:r>
        <w:rPr>
          <w:noProof/>
        </w:rPr>
        <w:instrText xml:space="preserve"> PAGEREF _Toc294380208 \h </w:instrText>
      </w:r>
      <w:r w:rsidR="00D16240">
        <w:rPr>
          <w:noProof/>
        </w:rPr>
      </w:r>
      <w:r w:rsidR="00D16240">
        <w:rPr>
          <w:noProof/>
        </w:rPr>
        <w:fldChar w:fldCharType="separate"/>
      </w:r>
      <w:r w:rsidR="00711AB8">
        <w:rPr>
          <w:noProof/>
        </w:rPr>
        <w:t>62</w:t>
      </w:r>
      <w:r w:rsidR="00D16240">
        <w:rPr>
          <w:noProof/>
        </w:rPr>
        <w:fldChar w:fldCharType="end"/>
      </w:r>
    </w:p>
    <w:p w14:paraId="7F4F08A2"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4.1.6</w:t>
      </w:r>
      <w:r>
        <w:rPr>
          <w:rFonts w:eastAsiaTheme="minorEastAsia"/>
          <w:noProof/>
          <w:sz w:val="24"/>
          <w:szCs w:val="24"/>
          <w:lang w:eastAsia="ja-JP"/>
        </w:rPr>
        <w:tab/>
      </w:r>
      <w:r w:rsidRPr="00B07EC2">
        <w:rPr>
          <w:i/>
          <w:noProof/>
        </w:rPr>
        <w:t>In vitro</w:t>
      </w:r>
      <w:r>
        <w:rPr>
          <w:noProof/>
        </w:rPr>
        <w:t>-Charakterisierung der Formulierungen</w:t>
      </w:r>
      <w:r>
        <w:rPr>
          <w:noProof/>
        </w:rPr>
        <w:tab/>
      </w:r>
      <w:r w:rsidR="00D16240">
        <w:rPr>
          <w:noProof/>
        </w:rPr>
        <w:fldChar w:fldCharType="begin"/>
      </w:r>
      <w:r>
        <w:rPr>
          <w:noProof/>
        </w:rPr>
        <w:instrText xml:space="preserve"> PAGEREF _Toc294380209 \h </w:instrText>
      </w:r>
      <w:r w:rsidR="00D16240">
        <w:rPr>
          <w:noProof/>
        </w:rPr>
      </w:r>
      <w:r w:rsidR="00D16240">
        <w:rPr>
          <w:noProof/>
        </w:rPr>
        <w:fldChar w:fldCharType="separate"/>
      </w:r>
      <w:r w:rsidR="00711AB8">
        <w:rPr>
          <w:noProof/>
        </w:rPr>
        <w:t>62</w:t>
      </w:r>
      <w:r w:rsidR="00D16240">
        <w:rPr>
          <w:noProof/>
        </w:rPr>
        <w:fldChar w:fldCharType="end"/>
      </w:r>
    </w:p>
    <w:p w14:paraId="160B1CC6"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4.1.6.1</w:t>
      </w:r>
      <w:r>
        <w:rPr>
          <w:rFonts w:eastAsiaTheme="minorEastAsia"/>
          <w:noProof/>
          <w:sz w:val="24"/>
          <w:szCs w:val="24"/>
          <w:lang w:eastAsia="ja-JP"/>
        </w:rPr>
        <w:tab/>
      </w:r>
      <w:r>
        <w:rPr>
          <w:noProof/>
        </w:rPr>
        <w:t>Untersuchung der Wirkstofffreisetzung</w:t>
      </w:r>
      <w:r>
        <w:rPr>
          <w:noProof/>
        </w:rPr>
        <w:tab/>
      </w:r>
      <w:r w:rsidR="00D16240">
        <w:rPr>
          <w:noProof/>
        </w:rPr>
        <w:fldChar w:fldCharType="begin"/>
      </w:r>
      <w:r>
        <w:rPr>
          <w:noProof/>
        </w:rPr>
        <w:instrText xml:space="preserve"> PAGEREF _Toc294380210 \h </w:instrText>
      </w:r>
      <w:r w:rsidR="00D16240">
        <w:rPr>
          <w:noProof/>
        </w:rPr>
      </w:r>
      <w:r w:rsidR="00D16240">
        <w:rPr>
          <w:noProof/>
        </w:rPr>
        <w:fldChar w:fldCharType="separate"/>
      </w:r>
      <w:r w:rsidR="00711AB8">
        <w:rPr>
          <w:noProof/>
        </w:rPr>
        <w:t>63</w:t>
      </w:r>
      <w:r w:rsidR="00D16240">
        <w:rPr>
          <w:noProof/>
        </w:rPr>
        <w:fldChar w:fldCharType="end"/>
      </w:r>
    </w:p>
    <w:p w14:paraId="435B9D63"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4.1.6.2</w:t>
      </w:r>
      <w:r>
        <w:rPr>
          <w:rFonts w:eastAsiaTheme="minorEastAsia"/>
          <w:noProof/>
          <w:sz w:val="24"/>
          <w:szCs w:val="24"/>
          <w:lang w:eastAsia="ja-JP"/>
        </w:rPr>
        <w:tab/>
      </w:r>
      <w:r>
        <w:rPr>
          <w:noProof/>
        </w:rPr>
        <w:t>Toxikologische Untersuchungen – Viabilität von Caco-2 Zellen</w:t>
      </w:r>
      <w:r>
        <w:rPr>
          <w:noProof/>
        </w:rPr>
        <w:tab/>
      </w:r>
      <w:r w:rsidR="00D16240">
        <w:rPr>
          <w:noProof/>
        </w:rPr>
        <w:fldChar w:fldCharType="begin"/>
      </w:r>
      <w:r>
        <w:rPr>
          <w:noProof/>
        </w:rPr>
        <w:instrText xml:space="preserve"> PAGEREF _Toc294380211 \h </w:instrText>
      </w:r>
      <w:r w:rsidR="00D16240">
        <w:rPr>
          <w:noProof/>
        </w:rPr>
      </w:r>
      <w:r w:rsidR="00D16240">
        <w:rPr>
          <w:noProof/>
        </w:rPr>
        <w:fldChar w:fldCharType="separate"/>
      </w:r>
      <w:r w:rsidR="00711AB8">
        <w:rPr>
          <w:noProof/>
        </w:rPr>
        <w:t>63</w:t>
      </w:r>
      <w:r w:rsidR="00D16240">
        <w:rPr>
          <w:noProof/>
        </w:rPr>
        <w:fldChar w:fldCharType="end"/>
      </w:r>
    </w:p>
    <w:p w14:paraId="2CB1C76B" w14:textId="77777777" w:rsidR="00D96E56" w:rsidRPr="00711AB8" w:rsidRDefault="00D96E56">
      <w:pPr>
        <w:pStyle w:val="Verzeichnis5"/>
        <w:tabs>
          <w:tab w:val="right" w:leader="dot" w:pos="9062"/>
        </w:tabs>
        <w:rPr>
          <w:rFonts w:eastAsiaTheme="minorEastAsia"/>
          <w:noProof/>
          <w:sz w:val="24"/>
          <w:szCs w:val="24"/>
          <w:lang w:val="en-US" w:eastAsia="ja-JP"/>
        </w:rPr>
      </w:pPr>
      <w:r w:rsidRPr="00711AB8">
        <w:rPr>
          <w:noProof/>
          <w:color w:val="000000" w:themeColor="text1"/>
          <w:lang w:val="en-US"/>
        </w:rPr>
        <w:t>MTT-Assay</w:t>
      </w:r>
      <w:r w:rsidRPr="00711AB8">
        <w:rPr>
          <w:noProof/>
          <w:lang w:val="en-US"/>
        </w:rPr>
        <w:tab/>
      </w:r>
      <w:r w:rsidR="00D16240">
        <w:rPr>
          <w:noProof/>
        </w:rPr>
        <w:fldChar w:fldCharType="begin"/>
      </w:r>
      <w:r w:rsidRPr="00711AB8">
        <w:rPr>
          <w:noProof/>
          <w:lang w:val="en-US"/>
        </w:rPr>
        <w:instrText xml:space="preserve"> PAGEREF _Toc294380212 \h </w:instrText>
      </w:r>
      <w:r w:rsidR="00D16240">
        <w:rPr>
          <w:noProof/>
        </w:rPr>
      </w:r>
      <w:r w:rsidR="00D16240">
        <w:rPr>
          <w:noProof/>
        </w:rPr>
        <w:fldChar w:fldCharType="separate"/>
      </w:r>
      <w:r w:rsidR="00711AB8">
        <w:rPr>
          <w:noProof/>
          <w:lang w:val="en-US"/>
        </w:rPr>
        <w:t>64</w:t>
      </w:r>
      <w:r w:rsidR="00D16240">
        <w:rPr>
          <w:noProof/>
        </w:rPr>
        <w:fldChar w:fldCharType="end"/>
      </w:r>
    </w:p>
    <w:p w14:paraId="3B3C0F4A" w14:textId="77777777" w:rsidR="00D96E56" w:rsidRPr="00711AB8" w:rsidRDefault="00D96E56">
      <w:pPr>
        <w:pStyle w:val="Verzeichnis5"/>
        <w:tabs>
          <w:tab w:val="right" w:leader="dot" w:pos="9062"/>
        </w:tabs>
        <w:rPr>
          <w:rFonts w:eastAsiaTheme="minorEastAsia"/>
          <w:noProof/>
          <w:sz w:val="24"/>
          <w:szCs w:val="24"/>
          <w:lang w:val="en-US" w:eastAsia="ja-JP"/>
        </w:rPr>
      </w:pPr>
      <w:r w:rsidRPr="00711AB8">
        <w:rPr>
          <w:noProof/>
          <w:color w:val="000000" w:themeColor="text1"/>
          <w:lang w:val="en-US"/>
        </w:rPr>
        <w:t>CellTiter-Glo-Assay</w:t>
      </w:r>
      <w:r w:rsidRPr="00711AB8">
        <w:rPr>
          <w:noProof/>
          <w:lang w:val="en-US"/>
        </w:rPr>
        <w:tab/>
      </w:r>
      <w:r w:rsidR="00D16240">
        <w:rPr>
          <w:noProof/>
        </w:rPr>
        <w:fldChar w:fldCharType="begin"/>
      </w:r>
      <w:r w:rsidRPr="00711AB8">
        <w:rPr>
          <w:noProof/>
          <w:lang w:val="en-US"/>
        </w:rPr>
        <w:instrText xml:space="preserve"> PAGEREF _Toc294380213 \h </w:instrText>
      </w:r>
      <w:r w:rsidR="00D16240">
        <w:rPr>
          <w:noProof/>
        </w:rPr>
      </w:r>
      <w:r w:rsidR="00D16240">
        <w:rPr>
          <w:noProof/>
        </w:rPr>
        <w:fldChar w:fldCharType="separate"/>
      </w:r>
      <w:r w:rsidR="00711AB8">
        <w:rPr>
          <w:noProof/>
          <w:lang w:val="en-US"/>
        </w:rPr>
        <w:t>65</w:t>
      </w:r>
      <w:r w:rsidR="00D16240">
        <w:rPr>
          <w:noProof/>
        </w:rPr>
        <w:fldChar w:fldCharType="end"/>
      </w:r>
    </w:p>
    <w:p w14:paraId="0A23654D"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4.1.6.3</w:t>
      </w:r>
      <w:r>
        <w:rPr>
          <w:rFonts w:eastAsiaTheme="minorEastAsia"/>
          <w:noProof/>
          <w:sz w:val="24"/>
          <w:szCs w:val="24"/>
          <w:lang w:eastAsia="ja-JP"/>
        </w:rPr>
        <w:tab/>
      </w:r>
      <w:r>
        <w:rPr>
          <w:noProof/>
        </w:rPr>
        <w:t>Partikelaufnahme in HeLa und Caco-2 Zellen</w:t>
      </w:r>
      <w:r>
        <w:rPr>
          <w:noProof/>
        </w:rPr>
        <w:tab/>
      </w:r>
      <w:r w:rsidR="00D16240">
        <w:rPr>
          <w:noProof/>
        </w:rPr>
        <w:fldChar w:fldCharType="begin"/>
      </w:r>
      <w:r>
        <w:rPr>
          <w:noProof/>
        </w:rPr>
        <w:instrText xml:space="preserve"> PAGEREF _Toc294380214 \h </w:instrText>
      </w:r>
      <w:r w:rsidR="00D16240">
        <w:rPr>
          <w:noProof/>
        </w:rPr>
      </w:r>
      <w:r w:rsidR="00D16240">
        <w:rPr>
          <w:noProof/>
        </w:rPr>
        <w:fldChar w:fldCharType="separate"/>
      </w:r>
      <w:r w:rsidR="00711AB8">
        <w:rPr>
          <w:noProof/>
        </w:rPr>
        <w:t>65</w:t>
      </w:r>
      <w:r w:rsidR="00D16240">
        <w:rPr>
          <w:noProof/>
        </w:rPr>
        <w:fldChar w:fldCharType="end"/>
      </w:r>
    </w:p>
    <w:p w14:paraId="0AF1DF2B"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4.1.6.4</w:t>
      </w:r>
      <w:r>
        <w:rPr>
          <w:rFonts w:eastAsiaTheme="minorEastAsia"/>
          <w:noProof/>
          <w:sz w:val="24"/>
          <w:szCs w:val="24"/>
          <w:lang w:eastAsia="ja-JP"/>
        </w:rPr>
        <w:tab/>
      </w:r>
      <w:r>
        <w:rPr>
          <w:noProof/>
        </w:rPr>
        <w:t>Resorptionsstudien an Caco-2-Zellmodellen</w:t>
      </w:r>
      <w:r>
        <w:rPr>
          <w:noProof/>
        </w:rPr>
        <w:tab/>
      </w:r>
      <w:r w:rsidR="00D16240">
        <w:rPr>
          <w:noProof/>
        </w:rPr>
        <w:fldChar w:fldCharType="begin"/>
      </w:r>
      <w:r>
        <w:rPr>
          <w:noProof/>
        </w:rPr>
        <w:instrText xml:space="preserve"> PAGEREF _Toc294380215 \h </w:instrText>
      </w:r>
      <w:r w:rsidR="00D16240">
        <w:rPr>
          <w:noProof/>
        </w:rPr>
      </w:r>
      <w:r w:rsidR="00D16240">
        <w:rPr>
          <w:noProof/>
        </w:rPr>
        <w:fldChar w:fldCharType="separate"/>
      </w:r>
      <w:r w:rsidR="00711AB8">
        <w:rPr>
          <w:noProof/>
        </w:rPr>
        <w:t>65</w:t>
      </w:r>
      <w:r w:rsidR="00D16240">
        <w:rPr>
          <w:noProof/>
        </w:rPr>
        <w:fldChar w:fldCharType="end"/>
      </w:r>
    </w:p>
    <w:p w14:paraId="7C0B1DD4"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lastRenderedPageBreak/>
        <w:t>4.1.7</w:t>
      </w:r>
      <w:r>
        <w:rPr>
          <w:rFonts w:eastAsiaTheme="minorEastAsia"/>
          <w:noProof/>
          <w:sz w:val="24"/>
          <w:szCs w:val="24"/>
          <w:lang w:eastAsia="ja-JP"/>
        </w:rPr>
        <w:tab/>
      </w:r>
      <w:r w:rsidRPr="00B07EC2">
        <w:rPr>
          <w:i/>
          <w:noProof/>
        </w:rPr>
        <w:t>In vivo</w:t>
      </w:r>
      <w:r>
        <w:rPr>
          <w:noProof/>
        </w:rPr>
        <w:t>-Charakterisierung der Formulierungen</w:t>
      </w:r>
      <w:r>
        <w:rPr>
          <w:noProof/>
        </w:rPr>
        <w:tab/>
      </w:r>
      <w:r w:rsidR="00D16240">
        <w:rPr>
          <w:noProof/>
        </w:rPr>
        <w:fldChar w:fldCharType="begin"/>
      </w:r>
      <w:r>
        <w:rPr>
          <w:noProof/>
        </w:rPr>
        <w:instrText xml:space="preserve"> PAGEREF _Toc294380216 \h </w:instrText>
      </w:r>
      <w:r w:rsidR="00D16240">
        <w:rPr>
          <w:noProof/>
        </w:rPr>
      </w:r>
      <w:r w:rsidR="00D16240">
        <w:rPr>
          <w:noProof/>
        </w:rPr>
        <w:fldChar w:fldCharType="separate"/>
      </w:r>
      <w:r w:rsidR="00711AB8">
        <w:rPr>
          <w:noProof/>
        </w:rPr>
        <w:t>65</w:t>
      </w:r>
      <w:r w:rsidR="00D16240">
        <w:rPr>
          <w:noProof/>
        </w:rPr>
        <w:fldChar w:fldCharType="end"/>
      </w:r>
    </w:p>
    <w:p w14:paraId="51844A79"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4.1.7.1</w:t>
      </w:r>
      <w:r>
        <w:rPr>
          <w:rFonts w:eastAsiaTheme="minorEastAsia"/>
          <w:noProof/>
          <w:sz w:val="24"/>
          <w:szCs w:val="24"/>
          <w:lang w:eastAsia="ja-JP"/>
        </w:rPr>
        <w:tab/>
      </w:r>
      <w:r>
        <w:rPr>
          <w:noProof/>
        </w:rPr>
        <w:t>In vivo-Untersuchung der Bioverfügbarkeit</w:t>
      </w:r>
      <w:r>
        <w:rPr>
          <w:noProof/>
        </w:rPr>
        <w:tab/>
      </w:r>
      <w:r w:rsidR="00D16240">
        <w:rPr>
          <w:noProof/>
        </w:rPr>
        <w:fldChar w:fldCharType="begin"/>
      </w:r>
      <w:r>
        <w:rPr>
          <w:noProof/>
        </w:rPr>
        <w:instrText xml:space="preserve"> PAGEREF _Toc294380217 \h </w:instrText>
      </w:r>
      <w:r w:rsidR="00D16240">
        <w:rPr>
          <w:noProof/>
        </w:rPr>
      </w:r>
      <w:r w:rsidR="00D16240">
        <w:rPr>
          <w:noProof/>
        </w:rPr>
        <w:fldChar w:fldCharType="separate"/>
      </w:r>
      <w:r w:rsidR="00711AB8">
        <w:rPr>
          <w:noProof/>
        </w:rPr>
        <w:t>65</w:t>
      </w:r>
      <w:r w:rsidR="00D16240">
        <w:rPr>
          <w:noProof/>
        </w:rPr>
        <w:fldChar w:fldCharType="end"/>
      </w:r>
    </w:p>
    <w:p w14:paraId="5B29D28E"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4.2</w:t>
      </w:r>
      <w:r>
        <w:rPr>
          <w:rFonts w:eastAsiaTheme="minorEastAsia"/>
          <w:b w:val="0"/>
          <w:bCs w:val="0"/>
          <w:noProof/>
          <w:sz w:val="24"/>
          <w:szCs w:val="24"/>
          <w:lang w:eastAsia="ja-JP"/>
        </w:rPr>
        <w:tab/>
      </w:r>
      <w:r>
        <w:rPr>
          <w:noProof/>
        </w:rPr>
        <w:t>Evaluation der Doppelemulsionsmethode</w:t>
      </w:r>
      <w:r>
        <w:rPr>
          <w:noProof/>
        </w:rPr>
        <w:tab/>
      </w:r>
      <w:r w:rsidR="00D16240">
        <w:rPr>
          <w:noProof/>
        </w:rPr>
        <w:fldChar w:fldCharType="begin"/>
      </w:r>
      <w:r>
        <w:rPr>
          <w:noProof/>
        </w:rPr>
        <w:instrText xml:space="preserve"> PAGEREF _Toc294380218 \h </w:instrText>
      </w:r>
      <w:r w:rsidR="00D16240">
        <w:rPr>
          <w:noProof/>
        </w:rPr>
      </w:r>
      <w:r w:rsidR="00D16240">
        <w:rPr>
          <w:noProof/>
        </w:rPr>
        <w:fldChar w:fldCharType="separate"/>
      </w:r>
      <w:r w:rsidR="00711AB8">
        <w:rPr>
          <w:noProof/>
        </w:rPr>
        <w:t>66</w:t>
      </w:r>
      <w:r w:rsidR="00D16240">
        <w:rPr>
          <w:noProof/>
        </w:rPr>
        <w:fldChar w:fldCharType="end"/>
      </w:r>
    </w:p>
    <w:p w14:paraId="6E7F802D"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4.2.1</w:t>
      </w:r>
      <w:r>
        <w:rPr>
          <w:rFonts w:eastAsiaTheme="minorEastAsia"/>
          <w:noProof/>
          <w:sz w:val="24"/>
          <w:szCs w:val="24"/>
          <w:lang w:eastAsia="ja-JP"/>
        </w:rPr>
        <w:tab/>
      </w:r>
      <w:r>
        <w:rPr>
          <w:noProof/>
        </w:rPr>
        <w:t>Theorie und Grundlagen der Hochdruckhomogenisation</w:t>
      </w:r>
      <w:r>
        <w:rPr>
          <w:noProof/>
        </w:rPr>
        <w:tab/>
      </w:r>
      <w:r w:rsidR="00D16240">
        <w:rPr>
          <w:noProof/>
        </w:rPr>
        <w:fldChar w:fldCharType="begin"/>
      </w:r>
      <w:r>
        <w:rPr>
          <w:noProof/>
        </w:rPr>
        <w:instrText xml:space="preserve"> PAGEREF _Toc294380219 \h </w:instrText>
      </w:r>
      <w:r w:rsidR="00D16240">
        <w:rPr>
          <w:noProof/>
        </w:rPr>
      </w:r>
      <w:r w:rsidR="00D16240">
        <w:rPr>
          <w:noProof/>
        </w:rPr>
        <w:fldChar w:fldCharType="separate"/>
      </w:r>
      <w:r w:rsidR="00711AB8">
        <w:rPr>
          <w:noProof/>
        </w:rPr>
        <w:t>67</w:t>
      </w:r>
      <w:r w:rsidR="00D16240">
        <w:rPr>
          <w:noProof/>
        </w:rPr>
        <w:fldChar w:fldCharType="end"/>
      </w:r>
    </w:p>
    <w:p w14:paraId="2C654273"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4.2.2</w:t>
      </w:r>
      <w:r>
        <w:rPr>
          <w:rFonts w:eastAsiaTheme="minorEastAsia"/>
          <w:noProof/>
          <w:sz w:val="24"/>
          <w:szCs w:val="24"/>
          <w:lang w:eastAsia="ja-JP"/>
        </w:rPr>
        <w:tab/>
      </w:r>
      <w:r>
        <w:rPr>
          <w:noProof/>
        </w:rPr>
        <w:t>Steuerung der Partikelgröße bei der Doppelemulsionsmethode</w:t>
      </w:r>
      <w:r>
        <w:rPr>
          <w:noProof/>
        </w:rPr>
        <w:tab/>
      </w:r>
      <w:r w:rsidR="00D16240">
        <w:rPr>
          <w:noProof/>
        </w:rPr>
        <w:fldChar w:fldCharType="begin"/>
      </w:r>
      <w:r>
        <w:rPr>
          <w:noProof/>
        </w:rPr>
        <w:instrText xml:space="preserve"> PAGEREF _Toc294380220 \h </w:instrText>
      </w:r>
      <w:r w:rsidR="00D16240">
        <w:rPr>
          <w:noProof/>
        </w:rPr>
      </w:r>
      <w:r w:rsidR="00D16240">
        <w:rPr>
          <w:noProof/>
        </w:rPr>
        <w:fldChar w:fldCharType="separate"/>
      </w:r>
      <w:r w:rsidR="00711AB8">
        <w:rPr>
          <w:noProof/>
        </w:rPr>
        <w:t>69</w:t>
      </w:r>
      <w:r w:rsidR="00D16240">
        <w:rPr>
          <w:noProof/>
        </w:rPr>
        <w:fldChar w:fldCharType="end"/>
      </w:r>
    </w:p>
    <w:p w14:paraId="43B2F23F"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4.2.2.1</w:t>
      </w:r>
      <w:r>
        <w:rPr>
          <w:rFonts w:eastAsiaTheme="minorEastAsia"/>
          <w:noProof/>
          <w:sz w:val="24"/>
          <w:szCs w:val="24"/>
          <w:lang w:eastAsia="ja-JP"/>
        </w:rPr>
        <w:tab/>
      </w:r>
      <w:r>
        <w:rPr>
          <w:noProof/>
        </w:rPr>
        <w:t>Homogenisation</w:t>
      </w:r>
      <w:r>
        <w:rPr>
          <w:noProof/>
        </w:rPr>
        <w:tab/>
      </w:r>
      <w:r w:rsidR="00D16240">
        <w:rPr>
          <w:noProof/>
        </w:rPr>
        <w:fldChar w:fldCharType="begin"/>
      </w:r>
      <w:r>
        <w:rPr>
          <w:noProof/>
        </w:rPr>
        <w:instrText xml:space="preserve"> PAGEREF _Toc294380221 \h </w:instrText>
      </w:r>
      <w:r w:rsidR="00D16240">
        <w:rPr>
          <w:noProof/>
        </w:rPr>
      </w:r>
      <w:r w:rsidR="00D16240">
        <w:rPr>
          <w:noProof/>
        </w:rPr>
        <w:fldChar w:fldCharType="separate"/>
      </w:r>
      <w:r w:rsidR="00711AB8">
        <w:rPr>
          <w:noProof/>
        </w:rPr>
        <w:t>70</w:t>
      </w:r>
      <w:r w:rsidR="00D16240">
        <w:rPr>
          <w:noProof/>
        </w:rPr>
        <w:fldChar w:fldCharType="end"/>
      </w:r>
    </w:p>
    <w:p w14:paraId="430424C4" w14:textId="77777777" w:rsidR="00D96E56" w:rsidRDefault="00D96E56">
      <w:pPr>
        <w:pStyle w:val="Verzeichnis5"/>
        <w:tabs>
          <w:tab w:val="right" w:leader="dot" w:pos="9062"/>
        </w:tabs>
        <w:rPr>
          <w:rFonts w:eastAsiaTheme="minorEastAsia"/>
          <w:noProof/>
          <w:sz w:val="24"/>
          <w:szCs w:val="24"/>
          <w:lang w:eastAsia="ja-JP"/>
        </w:rPr>
      </w:pPr>
      <w:r w:rsidRPr="00B07EC2">
        <w:rPr>
          <w:rFonts w:ascii="Times New Roman" w:hAnsi="Times New Roman" w:cs="Times New Roman"/>
          <w:noProof/>
        </w:rPr>
        <w:t>Hochdruckhomogenisation mit Microfluidizer</w:t>
      </w:r>
      <w:r>
        <w:rPr>
          <w:noProof/>
        </w:rPr>
        <w:tab/>
      </w:r>
      <w:r w:rsidR="00D16240">
        <w:rPr>
          <w:noProof/>
        </w:rPr>
        <w:fldChar w:fldCharType="begin"/>
      </w:r>
      <w:r>
        <w:rPr>
          <w:noProof/>
        </w:rPr>
        <w:instrText xml:space="preserve"> PAGEREF _Toc294380222 \h </w:instrText>
      </w:r>
      <w:r w:rsidR="00D16240">
        <w:rPr>
          <w:noProof/>
        </w:rPr>
      </w:r>
      <w:r w:rsidR="00D16240">
        <w:rPr>
          <w:noProof/>
        </w:rPr>
        <w:fldChar w:fldCharType="separate"/>
      </w:r>
      <w:r w:rsidR="00711AB8">
        <w:rPr>
          <w:noProof/>
        </w:rPr>
        <w:t>70</w:t>
      </w:r>
      <w:r w:rsidR="00D16240">
        <w:rPr>
          <w:noProof/>
        </w:rPr>
        <w:fldChar w:fldCharType="end"/>
      </w:r>
    </w:p>
    <w:p w14:paraId="110350CB" w14:textId="77777777" w:rsidR="00D96E56" w:rsidRDefault="00D96E56">
      <w:pPr>
        <w:pStyle w:val="Verzeichnis5"/>
        <w:tabs>
          <w:tab w:val="right" w:leader="dot" w:pos="9062"/>
        </w:tabs>
        <w:rPr>
          <w:rFonts w:eastAsiaTheme="minorEastAsia"/>
          <w:noProof/>
          <w:sz w:val="24"/>
          <w:szCs w:val="24"/>
          <w:lang w:eastAsia="ja-JP"/>
        </w:rPr>
      </w:pPr>
      <w:r w:rsidRPr="00B07EC2">
        <w:rPr>
          <w:rFonts w:ascii="Times New Roman" w:hAnsi="Times New Roman" w:cs="Times New Roman"/>
          <w:noProof/>
        </w:rPr>
        <w:t>Rotor-Stator Homogenisierung mit Ultra-Turrax</w:t>
      </w:r>
      <w:r>
        <w:rPr>
          <w:noProof/>
        </w:rPr>
        <w:tab/>
      </w:r>
      <w:r w:rsidR="00D16240">
        <w:rPr>
          <w:noProof/>
        </w:rPr>
        <w:fldChar w:fldCharType="begin"/>
      </w:r>
      <w:r>
        <w:rPr>
          <w:noProof/>
        </w:rPr>
        <w:instrText xml:space="preserve"> PAGEREF _Toc294380223 \h </w:instrText>
      </w:r>
      <w:r w:rsidR="00D16240">
        <w:rPr>
          <w:noProof/>
        </w:rPr>
      </w:r>
      <w:r w:rsidR="00D16240">
        <w:rPr>
          <w:noProof/>
        </w:rPr>
        <w:fldChar w:fldCharType="separate"/>
      </w:r>
      <w:r w:rsidR="00711AB8">
        <w:rPr>
          <w:noProof/>
        </w:rPr>
        <w:t>73</w:t>
      </w:r>
      <w:r w:rsidR="00D16240">
        <w:rPr>
          <w:noProof/>
        </w:rPr>
        <w:fldChar w:fldCharType="end"/>
      </w:r>
    </w:p>
    <w:p w14:paraId="473F2A34" w14:textId="77777777" w:rsidR="00D96E56" w:rsidRDefault="00D96E56">
      <w:pPr>
        <w:pStyle w:val="Verzeichnis5"/>
        <w:tabs>
          <w:tab w:val="right" w:leader="dot" w:pos="9062"/>
        </w:tabs>
        <w:rPr>
          <w:rFonts w:eastAsiaTheme="minorEastAsia"/>
          <w:noProof/>
          <w:sz w:val="24"/>
          <w:szCs w:val="24"/>
          <w:lang w:eastAsia="ja-JP"/>
        </w:rPr>
      </w:pPr>
      <w:r w:rsidRPr="00B07EC2">
        <w:rPr>
          <w:noProof/>
        </w:rPr>
        <w:t>Vergleich zwischen Microfluidizer und Ultra-Turrax</w:t>
      </w:r>
      <w:r>
        <w:rPr>
          <w:noProof/>
        </w:rPr>
        <w:tab/>
      </w:r>
      <w:r w:rsidR="00D16240">
        <w:rPr>
          <w:noProof/>
        </w:rPr>
        <w:fldChar w:fldCharType="begin"/>
      </w:r>
      <w:r>
        <w:rPr>
          <w:noProof/>
        </w:rPr>
        <w:instrText xml:space="preserve"> PAGEREF _Toc294380224 \h </w:instrText>
      </w:r>
      <w:r w:rsidR="00D16240">
        <w:rPr>
          <w:noProof/>
        </w:rPr>
      </w:r>
      <w:r w:rsidR="00D16240">
        <w:rPr>
          <w:noProof/>
        </w:rPr>
        <w:fldChar w:fldCharType="separate"/>
      </w:r>
      <w:r w:rsidR="00711AB8">
        <w:rPr>
          <w:noProof/>
        </w:rPr>
        <w:t>75</w:t>
      </w:r>
      <w:r w:rsidR="00D16240">
        <w:rPr>
          <w:noProof/>
        </w:rPr>
        <w:fldChar w:fldCharType="end"/>
      </w:r>
    </w:p>
    <w:p w14:paraId="5D42D80B"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4.2.2.2</w:t>
      </w:r>
      <w:r>
        <w:rPr>
          <w:rFonts w:eastAsiaTheme="minorEastAsia"/>
          <w:noProof/>
          <w:sz w:val="24"/>
          <w:szCs w:val="24"/>
          <w:lang w:eastAsia="ja-JP"/>
        </w:rPr>
        <w:tab/>
      </w:r>
      <w:r>
        <w:rPr>
          <w:noProof/>
        </w:rPr>
        <w:t>Aufreinigung</w:t>
      </w:r>
      <w:r>
        <w:rPr>
          <w:noProof/>
        </w:rPr>
        <w:tab/>
      </w:r>
      <w:r w:rsidR="00D16240">
        <w:rPr>
          <w:noProof/>
        </w:rPr>
        <w:fldChar w:fldCharType="begin"/>
      </w:r>
      <w:r>
        <w:rPr>
          <w:noProof/>
        </w:rPr>
        <w:instrText xml:space="preserve"> PAGEREF _Toc294380225 \h </w:instrText>
      </w:r>
      <w:r w:rsidR="00D16240">
        <w:rPr>
          <w:noProof/>
        </w:rPr>
      </w:r>
      <w:r w:rsidR="00D16240">
        <w:rPr>
          <w:noProof/>
        </w:rPr>
        <w:fldChar w:fldCharType="separate"/>
      </w:r>
      <w:r w:rsidR="00711AB8">
        <w:rPr>
          <w:noProof/>
        </w:rPr>
        <w:t>76</w:t>
      </w:r>
      <w:r w:rsidR="00D16240">
        <w:rPr>
          <w:noProof/>
        </w:rPr>
        <w:fldChar w:fldCharType="end"/>
      </w:r>
    </w:p>
    <w:p w14:paraId="6866FEF3"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4.2.3</w:t>
      </w:r>
      <w:r>
        <w:rPr>
          <w:rFonts w:eastAsiaTheme="minorEastAsia"/>
          <w:noProof/>
          <w:sz w:val="24"/>
          <w:szCs w:val="24"/>
          <w:lang w:eastAsia="ja-JP"/>
        </w:rPr>
        <w:tab/>
      </w:r>
      <w:r>
        <w:rPr>
          <w:noProof/>
        </w:rPr>
        <w:t>Trocknung</w:t>
      </w:r>
      <w:r>
        <w:rPr>
          <w:noProof/>
        </w:rPr>
        <w:tab/>
      </w:r>
      <w:r w:rsidR="00D16240">
        <w:rPr>
          <w:noProof/>
        </w:rPr>
        <w:fldChar w:fldCharType="begin"/>
      </w:r>
      <w:r>
        <w:rPr>
          <w:noProof/>
        </w:rPr>
        <w:instrText xml:space="preserve"> PAGEREF _Toc294380226 \h </w:instrText>
      </w:r>
      <w:r w:rsidR="00D16240">
        <w:rPr>
          <w:noProof/>
        </w:rPr>
      </w:r>
      <w:r w:rsidR="00D16240">
        <w:rPr>
          <w:noProof/>
        </w:rPr>
        <w:fldChar w:fldCharType="separate"/>
      </w:r>
      <w:r w:rsidR="00711AB8">
        <w:rPr>
          <w:noProof/>
        </w:rPr>
        <w:t>79</w:t>
      </w:r>
      <w:r w:rsidR="00D16240">
        <w:rPr>
          <w:noProof/>
        </w:rPr>
        <w:fldChar w:fldCharType="end"/>
      </w:r>
    </w:p>
    <w:p w14:paraId="524FB221"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4.2.3.1</w:t>
      </w:r>
      <w:r>
        <w:rPr>
          <w:rFonts w:eastAsiaTheme="minorEastAsia"/>
          <w:noProof/>
          <w:sz w:val="24"/>
          <w:szCs w:val="24"/>
          <w:lang w:eastAsia="ja-JP"/>
        </w:rPr>
        <w:tab/>
      </w:r>
      <w:r>
        <w:rPr>
          <w:noProof/>
        </w:rPr>
        <w:t>Gefriertrocknung</w:t>
      </w:r>
      <w:r>
        <w:rPr>
          <w:noProof/>
        </w:rPr>
        <w:tab/>
      </w:r>
      <w:r w:rsidR="00D16240">
        <w:rPr>
          <w:noProof/>
        </w:rPr>
        <w:fldChar w:fldCharType="begin"/>
      </w:r>
      <w:r>
        <w:rPr>
          <w:noProof/>
        </w:rPr>
        <w:instrText xml:space="preserve"> PAGEREF _Toc294380227 \h </w:instrText>
      </w:r>
      <w:r w:rsidR="00D16240">
        <w:rPr>
          <w:noProof/>
        </w:rPr>
      </w:r>
      <w:r w:rsidR="00D16240">
        <w:rPr>
          <w:noProof/>
        </w:rPr>
        <w:fldChar w:fldCharType="separate"/>
      </w:r>
      <w:r w:rsidR="00711AB8">
        <w:rPr>
          <w:noProof/>
        </w:rPr>
        <w:t>79</w:t>
      </w:r>
      <w:r w:rsidR="00D16240">
        <w:rPr>
          <w:noProof/>
        </w:rPr>
        <w:fldChar w:fldCharType="end"/>
      </w:r>
    </w:p>
    <w:p w14:paraId="56716D82"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4.2.3.2</w:t>
      </w:r>
      <w:r>
        <w:rPr>
          <w:rFonts w:eastAsiaTheme="minorEastAsia"/>
          <w:noProof/>
          <w:sz w:val="24"/>
          <w:szCs w:val="24"/>
          <w:lang w:eastAsia="ja-JP"/>
        </w:rPr>
        <w:tab/>
      </w:r>
      <w:r>
        <w:rPr>
          <w:noProof/>
        </w:rPr>
        <w:t>Sprühtrocknung</w:t>
      </w:r>
      <w:r>
        <w:rPr>
          <w:noProof/>
        </w:rPr>
        <w:tab/>
      </w:r>
      <w:r w:rsidR="00D16240">
        <w:rPr>
          <w:noProof/>
        </w:rPr>
        <w:fldChar w:fldCharType="begin"/>
      </w:r>
      <w:r>
        <w:rPr>
          <w:noProof/>
        </w:rPr>
        <w:instrText xml:space="preserve"> PAGEREF _Toc294380228 \h </w:instrText>
      </w:r>
      <w:r w:rsidR="00D16240">
        <w:rPr>
          <w:noProof/>
        </w:rPr>
      </w:r>
      <w:r w:rsidR="00D16240">
        <w:rPr>
          <w:noProof/>
        </w:rPr>
        <w:fldChar w:fldCharType="separate"/>
      </w:r>
      <w:r w:rsidR="00711AB8">
        <w:rPr>
          <w:noProof/>
        </w:rPr>
        <w:t>82</w:t>
      </w:r>
      <w:r w:rsidR="00D16240">
        <w:rPr>
          <w:noProof/>
        </w:rPr>
        <w:fldChar w:fldCharType="end"/>
      </w:r>
    </w:p>
    <w:p w14:paraId="5883060B"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4.2.4</w:t>
      </w:r>
      <w:r>
        <w:rPr>
          <w:rFonts w:eastAsiaTheme="minorEastAsia"/>
          <w:noProof/>
          <w:sz w:val="24"/>
          <w:szCs w:val="24"/>
          <w:lang w:eastAsia="ja-JP"/>
        </w:rPr>
        <w:tab/>
      </w:r>
      <w:r>
        <w:rPr>
          <w:noProof/>
        </w:rPr>
        <w:t>Verkapselung von Desmopressin in PLGA</w:t>
      </w:r>
      <w:r>
        <w:rPr>
          <w:noProof/>
        </w:rPr>
        <w:tab/>
      </w:r>
      <w:r w:rsidR="00D16240">
        <w:rPr>
          <w:noProof/>
        </w:rPr>
        <w:fldChar w:fldCharType="begin"/>
      </w:r>
      <w:r>
        <w:rPr>
          <w:noProof/>
        </w:rPr>
        <w:instrText xml:space="preserve"> PAGEREF _Toc294380229 \h </w:instrText>
      </w:r>
      <w:r w:rsidR="00D16240">
        <w:rPr>
          <w:noProof/>
        </w:rPr>
      </w:r>
      <w:r w:rsidR="00D16240">
        <w:rPr>
          <w:noProof/>
        </w:rPr>
        <w:fldChar w:fldCharType="separate"/>
      </w:r>
      <w:r w:rsidR="00711AB8">
        <w:rPr>
          <w:noProof/>
        </w:rPr>
        <w:t>84</w:t>
      </w:r>
      <w:r w:rsidR="00D16240">
        <w:rPr>
          <w:noProof/>
        </w:rPr>
        <w:fldChar w:fldCharType="end"/>
      </w:r>
    </w:p>
    <w:p w14:paraId="358BAA77"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4.2.5</w:t>
      </w:r>
      <w:r>
        <w:rPr>
          <w:rFonts w:eastAsiaTheme="minorEastAsia"/>
          <w:noProof/>
          <w:sz w:val="24"/>
          <w:szCs w:val="24"/>
          <w:lang w:eastAsia="ja-JP"/>
        </w:rPr>
        <w:tab/>
      </w:r>
      <w:r>
        <w:rPr>
          <w:noProof/>
        </w:rPr>
        <w:t>Stabilität der getrockneten Partikelformulierungen</w:t>
      </w:r>
      <w:r>
        <w:rPr>
          <w:noProof/>
        </w:rPr>
        <w:tab/>
      </w:r>
      <w:r w:rsidR="00D16240">
        <w:rPr>
          <w:noProof/>
        </w:rPr>
        <w:fldChar w:fldCharType="begin"/>
      </w:r>
      <w:r>
        <w:rPr>
          <w:noProof/>
        </w:rPr>
        <w:instrText xml:space="preserve"> PAGEREF _Toc294380230 \h </w:instrText>
      </w:r>
      <w:r w:rsidR="00D16240">
        <w:rPr>
          <w:noProof/>
        </w:rPr>
      </w:r>
      <w:r w:rsidR="00D16240">
        <w:rPr>
          <w:noProof/>
        </w:rPr>
        <w:fldChar w:fldCharType="separate"/>
      </w:r>
      <w:r w:rsidR="00711AB8">
        <w:rPr>
          <w:noProof/>
        </w:rPr>
        <w:t>85</w:t>
      </w:r>
      <w:r w:rsidR="00D16240">
        <w:rPr>
          <w:noProof/>
        </w:rPr>
        <w:fldChar w:fldCharType="end"/>
      </w:r>
    </w:p>
    <w:p w14:paraId="4A17623C"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4.2.6</w:t>
      </w:r>
      <w:r>
        <w:rPr>
          <w:rFonts w:eastAsiaTheme="minorEastAsia"/>
          <w:noProof/>
          <w:sz w:val="24"/>
          <w:szCs w:val="24"/>
          <w:lang w:eastAsia="ja-JP"/>
        </w:rPr>
        <w:tab/>
      </w:r>
      <w:r>
        <w:rPr>
          <w:noProof/>
        </w:rPr>
        <w:t>Zusammenfassende Diskussion</w:t>
      </w:r>
      <w:r>
        <w:rPr>
          <w:noProof/>
        </w:rPr>
        <w:tab/>
      </w:r>
      <w:r w:rsidR="00D16240">
        <w:rPr>
          <w:noProof/>
        </w:rPr>
        <w:fldChar w:fldCharType="begin"/>
      </w:r>
      <w:r>
        <w:rPr>
          <w:noProof/>
        </w:rPr>
        <w:instrText xml:space="preserve"> PAGEREF _Toc294380231 \h </w:instrText>
      </w:r>
      <w:r w:rsidR="00D16240">
        <w:rPr>
          <w:noProof/>
        </w:rPr>
      </w:r>
      <w:r w:rsidR="00D16240">
        <w:rPr>
          <w:noProof/>
        </w:rPr>
        <w:fldChar w:fldCharType="separate"/>
      </w:r>
      <w:r w:rsidR="00711AB8">
        <w:rPr>
          <w:noProof/>
        </w:rPr>
        <w:t>86</w:t>
      </w:r>
      <w:r w:rsidR="00D16240">
        <w:rPr>
          <w:noProof/>
        </w:rPr>
        <w:fldChar w:fldCharType="end"/>
      </w:r>
    </w:p>
    <w:p w14:paraId="7E206AD0"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4.3</w:t>
      </w:r>
      <w:r>
        <w:rPr>
          <w:rFonts w:eastAsiaTheme="minorEastAsia"/>
          <w:b w:val="0"/>
          <w:bCs w:val="0"/>
          <w:noProof/>
          <w:sz w:val="24"/>
          <w:szCs w:val="24"/>
          <w:lang w:eastAsia="ja-JP"/>
        </w:rPr>
        <w:tab/>
      </w:r>
      <w:r>
        <w:rPr>
          <w:noProof/>
        </w:rPr>
        <w:t>Formulierung mit Polyesteramid Polymeren</w:t>
      </w:r>
      <w:r>
        <w:rPr>
          <w:noProof/>
        </w:rPr>
        <w:tab/>
      </w:r>
      <w:r w:rsidR="00D16240">
        <w:rPr>
          <w:noProof/>
        </w:rPr>
        <w:fldChar w:fldCharType="begin"/>
      </w:r>
      <w:r>
        <w:rPr>
          <w:noProof/>
        </w:rPr>
        <w:instrText xml:space="preserve"> PAGEREF _Toc294380232 \h </w:instrText>
      </w:r>
      <w:r w:rsidR="00D16240">
        <w:rPr>
          <w:noProof/>
        </w:rPr>
      </w:r>
      <w:r w:rsidR="00D16240">
        <w:rPr>
          <w:noProof/>
        </w:rPr>
        <w:fldChar w:fldCharType="separate"/>
      </w:r>
      <w:r w:rsidR="00711AB8">
        <w:rPr>
          <w:noProof/>
        </w:rPr>
        <w:t>87</w:t>
      </w:r>
      <w:r w:rsidR="00D16240">
        <w:rPr>
          <w:noProof/>
        </w:rPr>
        <w:fldChar w:fldCharType="end"/>
      </w:r>
    </w:p>
    <w:p w14:paraId="3CAEB7A8"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4.3.1</w:t>
      </w:r>
      <w:r>
        <w:rPr>
          <w:rFonts w:eastAsiaTheme="minorEastAsia"/>
          <w:noProof/>
          <w:sz w:val="24"/>
          <w:szCs w:val="24"/>
          <w:lang w:eastAsia="ja-JP"/>
        </w:rPr>
        <w:tab/>
      </w:r>
      <w:r>
        <w:rPr>
          <w:noProof/>
        </w:rPr>
        <w:t>Charakterisierung der PEA Polymere - Präformulierung</w:t>
      </w:r>
      <w:r>
        <w:rPr>
          <w:noProof/>
        </w:rPr>
        <w:tab/>
      </w:r>
      <w:r w:rsidR="00D16240">
        <w:rPr>
          <w:noProof/>
        </w:rPr>
        <w:fldChar w:fldCharType="begin"/>
      </w:r>
      <w:r>
        <w:rPr>
          <w:noProof/>
        </w:rPr>
        <w:instrText xml:space="preserve"> PAGEREF _Toc294380233 \h </w:instrText>
      </w:r>
      <w:r w:rsidR="00D16240">
        <w:rPr>
          <w:noProof/>
        </w:rPr>
      </w:r>
      <w:r w:rsidR="00D16240">
        <w:rPr>
          <w:noProof/>
        </w:rPr>
        <w:fldChar w:fldCharType="separate"/>
      </w:r>
      <w:r w:rsidR="00711AB8">
        <w:rPr>
          <w:noProof/>
        </w:rPr>
        <w:t>87</w:t>
      </w:r>
      <w:r w:rsidR="00D16240">
        <w:rPr>
          <w:noProof/>
        </w:rPr>
        <w:fldChar w:fldCharType="end"/>
      </w:r>
    </w:p>
    <w:p w14:paraId="15C878E2"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4.3.1.1</w:t>
      </w:r>
      <w:r>
        <w:rPr>
          <w:rFonts w:eastAsiaTheme="minorEastAsia"/>
          <w:noProof/>
          <w:sz w:val="24"/>
          <w:szCs w:val="24"/>
          <w:lang w:eastAsia="ja-JP"/>
        </w:rPr>
        <w:tab/>
      </w:r>
      <w:r>
        <w:rPr>
          <w:noProof/>
        </w:rPr>
        <w:t>Löslichkeit</w:t>
      </w:r>
      <w:r>
        <w:rPr>
          <w:noProof/>
        </w:rPr>
        <w:tab/>
      </w:r>
      <w:r w:rsidR="00D16240">
        <w:rPr>
          <w:noProof/>
        </w:rPr>
        <w:fldChar w:fldCharType="begin"/>
      </w:r>
      <w:r>
        <w:rPr>
          <w:noProof/>
        </w:rPr>
        <w:instrText xml:space="preserve"> PAGEREF _Toc294380234 \h </w:instrText>
      </w:r>
      <w:r w:rsidR="00D16240">
        <w:rPr>
          <w:noProof/>
        </w:rPr>
      </w:r>
      <w:r w:rsidR="00D16240">
        <w:rPr>
          <w:noProof/>
        </w:rPr>
        <w:fldChar w:fldCharType="separate"/>
      </w:r>
      <w:r w:rsidR="00711AB8">
        <w:rPr>
          <w:noProof/>
        </w:rPr>
        <w:t>88</w:t>
      </w:r>
      <w:r w:rsidR="00D16240">
        <w:rPr>
          <w:noProof/>
        </w:rPr>
        <w:fldChar w:fldCharType="end"/>
      </w:r>
    </w:p>
    <w:p w14:paraId="46D22934"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4.3.1.2</w:t>
      </w:r>
      <w:r>
        <w:rPr>
          <w:rFonts w:eastAsiaTheme="minorEastAsia"/>
          <w:noProof/>
          <w:sz w:val="24"/>
          <w:szCs w:val="24"/>
          <w:lang w:eastAsia="ja-JP"/>
        </w:rPr>
        <w:tab/>
      </w:r>
      <w:r>
        <w:rPr>
          <w:noProof/>
        </w:rPr>
        <w:t>Säurekonstante (pK</w:t>
      </w:r>
      <w:r w:rsidRPr="00B07EC2">
        <w:rPr>
          <w:noProof/>
          <w:vertAlign w:val="subscript"/>
        </w:rPr>
        <w:t>a</w:t>
      </w:r>
      <w:r>
        <w:rPr>
          <w:noProof/>
        </w:rPr>
        <w:t>) von Asparaginsäure PEA</w:t>
      </w:r>
      <w:r>
        <w:rPr>
          <w:noProof/>
        </w:rPr>
        <w:tab/>
      </w:r>
      <w:r w:rsidR="00D16240">
        <w:rPr>
          <w:noProof/>
        </w:rPr>
        <w:fldChar w:fldCharType="begin"/>
      </w:r>
      <w:r>
        <w:rPr>
          <w:noProof/>
        </w:rPr>
        <w:instrText xml:space="preserve"> PAGEREF _Toc294380235 \h </w:instrText>
      </w:r>
      <w:r w:rsidR="00D16240">
        <w:rPr>
          <w:noProof/>
        </w:rPr>
      </w:r>
      <w:r w:rsidR="00D16240">
        <w:rPr>
          <w:noProof/>
        </w:rPr>
        <w:fldChar w:fldCharType="separate"/>
      </w:r>
      <w:r w:rsidR="00711AB8">
        <w:rPr>
          <w:noProof/>
        </w:rPr>
        <w:t>90</w:t>
      </w:r>
      <w:r w:rsidR="00D16240">
        <w:rPr>
          <w:noProof/>
        </w:rPr>
        <w:fldChar w:fldCharType="end"/>
      </w:r>
    </w:p>
    <w:p w14:paraId="07838516"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4.3.2</w:t>
      </w:r>
      <w:r>
        <w:rPr>
          <w:rFonts w:eastAsiaTheme="minorEastAsia"/>
          <w:noProof/>
          <w:sz w:val="24"/>
          <w:szCs w:val="24"/>
          <w:lang w:eastAsia="ja-JP"/>
        </w:rPr>
        <w:tab/>
      </w:r>
      <w:r>
        <w:rPr>
          <w:noProof/>
        </w:rPr>
        <w:t>Anpassung und Optimierung der Doppelemulsionsmethode für Polyesteramide</w:t>
      </w:r>
      <w:r>
        <w:rPr>
          <w:noProof/>
        </w:rPr>
        <w:tab/>
      </w:r>
      <w:r w:rsidR="00D16240">
        <w:rPr>
          <w:noProof/>
        </w:rPr>
        <w:fldChar w:fldCharType="begin"/>
      </w:r>
      <w:r>
        <w:rPr>
          <w:noProof/>
        </w:rPr>
        <w:instrText xml:space="preserve"> PAGEREF _Toc294380236 \h </w:instrText>
      </w:r>
      <w:r w:rsidR="00D16240">
        <w:rPr>
          <w:noProof/>
        </w:rPr>
      </w:r>
      <w:r w:rsidR="00D16240">
        <w:rPr>
          <w:noProof/>
        </w:rPr>
        <w:fldChar w:fldCharType="separate"/>
      </w:r>
      <w:r w:rsidR="00711AB8">
        <w:rPr>
          <w:noProof/>
        </w:rPr>
        <w:t>92</w:t>
      </w:r>
      <w:r w:rsidR="00D16240">
        <w:rPr>
          <w:noProof/>
        </w:rPr>
        <w:fldChar w:fldCharType="end"/>
      </w:r>
    </w:p>
    <w:p w14:paraId="5B95649F"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4.3.2.1</w:t>
      </w:r>
      <w:r>
        <w:rPr>
          <w:rFonts w:eastAsiaTheme="minorEastAsia"/>
          <w:noProof/>
          <w:sz w:val="24"/>
          <w:szCs w:val="24"/>
          <w:lang w:eastAsia="ja-JP"/>
        </w:rPr>
        <w:tab/>
      </w:r>
      <w:r>
        <w:rPr>
          <w:noProof/>
        </w:rPr>
        <w:t>Doppelemulsionsmethode für Asparaginsäure PEA Polymere</w:t>
      </w:r>
      <w:r>
        <w:rPr>
          <w:noProof/>
        </w:rPr>
        <w:tab/>
      </w:r>
      <w:r w:rsidR="00D16240">
        <w:rPr>
          <w:noProof/>
        </w:rPr>
        <w:fldChar w:fldCharType="begin"/>
      </w:r>
      <w:r>
        <w:rPr>
          <w:noProof/>
        </w:rPr>
        <w:instrText xml:space="preserve"> PAGEREF _Toc294380237 \h </w:instrText>
      </w:r>
      <w:r w:rsidR="00D16240">
        <w:rPr>
          <w:noProof/>
        </w:rPr>
      </w:r>
      <w:r w:rsidR="00D16240">
        <w:rPr>
          <w:noProof/>
        </w:rPr>
        <w:fldChar w:fldCharType="separate"/>
      </w:r>
      <w:r w:rsidR="00711AB8">
        <w:rPr>
          <w:noProof/>
        </w:rPr>
        <w:t>93</w:t>
      </w:r>
      <w:r w:rsidR="00D16240">
        <w:rPr>
          <w:noProof/>
        </w:rPr>
        <w:fldChar w:fldCharType="end"/>
      </w:r>
    </w:p>
    <w:p w14:paraId="0D421A7B"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4.3.2.2</w:t>
      </w:r>
      <w:r>
        <w:rPr>
          <w:rFonts w:eastAsiaTheme="minorEastAsia"/>
          <w:noProof/>
          <w:sz w:val="24"/>
          <w:szCs w:val="24"/>
          <w:lang w:eastAsia="ja-JP"/>
        </w:rPr>
        <w:tab/>
      </w:r>
      <w:r>
        <w:rPr>
          <w:noProof/>
        </w:rPr>
        <w:t>Entwicklung der Doppelemulsionsmethode für Cystein PEA Polymere</w:t>
      </w:r>
      <w:r>
        <w:rPr>
          <w:noProof/>
        </w:rPr>
        <w:tab/>
      </w:r>
      <w:r w:rsidR="00D16240">
        <w:rPr>
          <w:noProof/>
        </w:rPr>
        <w:fldChar w:fldCharType="begin"/>
      </w:r>
      <w:r>
        <w:rPr>
          <w:noProof/>
        </w:rPr>
        <w:instrText xml:space="preserve"> PAGEREF _Toc294380238 \h </w:instrText>
      </w:r>
      <w:r w:rsidR="00D16240">
        <w:rPr>
          <w:noProof/>
        </w:rPr>
      </w:r>
      <w:r w:rsidR="00D16240">
        <w:rPr>
          <w:noProof/>
        </w:rPr>
        <w:fldChar w:fldCharType="separate"/>
      </w:r>
      <w:r w:rsidR="00711AB8">
        <w:rPr>
          <w:noProof/>
        </w:rPr>
        <w:t>96</w:t>
      </w:r>
      <w:r w:rsidR="00D16240">
        <w:rPr>
          <w:noProof/>
        </w:rPr>
        <w:fldChar w:fldCharType="end"/>
      </w:r>
    </w:p>
    <w:p w14:paraId="3BFE97AE"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4.3.2.3</w:t>
      </w:r>
      <w:r>
        <w:rPr>
          <w:rFonts w:eastAsiaTheme="minorEastAsia"/>
          <w:noProof/>
          <w:sz w:val="24"/>
          <w:szCs w:val="24"/>
          <w:lang w:eastAsia="ja-JP"/>
        </w:rPr>
        <w:tab/>
      </w:r>
      <w:r>
        <w:rPr>
          <w:noProof/>
        </w:rPr>
        <w:t>Für Cystein PEA angepasste Doppelemulsionsmethode</w:t>
      </w:r>
      <w:r>
        <w:rPr>
          <w:noProof/>
        </w:rPr>
        <w:tab/>
      </w:r>
      <w:r w:rsidR="00D16240">
        <w:rPr>
          <w:noProof/>
        </w:rPr>
        <w:fldChar w:fldCharType="begin"/>
      </w:r>
      <w:r>
        <w:rPr>
          <w:noProof/>
        </w:rPr>
        <w:instrText xml:space="preserve"> PAGEREF _Toc294380239 \h </w:instrText>
      </w:r>
      <w:r w:rsidR="00D16240">
        <w:rPr>
          <w:noProof/>
        </w:rPr>
      </w:r>
      <w:r w:rsidR="00D16240">
        <w:rPr>
          <w:noProof/>
        </w:rPr>
        <w:fldChar w:fldCharType="separate"/>
      </w:r>
      <w:r w:rsidR="00711AB8">
        <w:rPr>
          <w:noProof/>
        </w:rPr>
        <w:t>98</w:t>
      </w:r>
      <w:r w:rsidR="00D16240">
        <w:rPr>
          <w:noProof/>
        </w:rPr>
        <w:fldChar w:fldCharType="end"/>
      </w:r>
    </w:p>
    <w:p w14:paraId="310DD47D"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4.3.3</w:t>
      </w:r>
      <w:r>
        <w:rPr>
          <w:rFonts w:eastAsiaTheme="minorEastAsia"/>
          <w:noProof/>
          <w:sz w:val="24"/>
          <w:szCs w:val="24"/>
          <w:lang w:eastAsia="ja-JP"/>
        </w:rPr>
        <w:tab/>
      </w:r>
      <w:r>
        <w:rPr>
          <w:noProof/>
        </w:rPr>
        <w:t>Verkapselung von Desmopressin in PEA Polymere</w:t>
      </w:r>
      <w:r>
        <w:rPr>
          <w:noProof/>
        </w:rPr>
        <w:tab/>
      </w:r>
      <w:r w:rsidR="00D16240">
        <w:rPr>
          <w:noProof/>
        </w:rPr>
        <w:fldChar w:fldCharType="begin"/>
      </w:r>
      <w:r>
        <w:rPr>
          <w:noProof/>
        </w:rPr>
        <w:instrText xml:space="preserve"> PAGEREF _Toc294380240 \h </w:instrText>
      </w:r>
      <w:r w:rsidR="00D16240">
        <w:rPr>
          <w:noProof/>
        </w:rPr>
      </w:r>
      <w:r w:rsidR="00D16240">
        <w:rPr>
          <w:noProof/>
        </w:rPr>
        <w:fldChar w:fldCharType="separate"/>
      </w:r>
      <w:r w:rsidR="00711AB8">
        <w:rPr>
          <w:noProof/>
        </w:rPr>
        <w:t>101</w:t>
      </w:r>
      <w:r w:rsidR="00D16240">
        <w:rPr>
          <w:noProof/>
        </w:rPr>
        <w:fldChar w:fldCharType="end"/>
      </w:r>
    </w:p>
    <w:p w14:paraId="7A9D96EC"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4.3.3.1</w:t>
      </w:r>
      <w:r>
        <w:rPr>
          <w:rFonts w:eastAsiaTheme="minorEastAsia"/>
          <w:noProof/>
          <w:sz w:val="24"/>
          <w:szCs w:val="24"/>
          <w:lang w:eastAsia="ja-JP"/>
        </w:rPr>
        <w:tab/>
      </w:r>
      <w:r>
        <w:rPr>
          <w:noProof/>
        </w:rPr>
        <w:t>Formulierung von Desmopressin mit Asparaginsäure PEA</w:t>
      </w:r>
      <w:r>
        <w:rPr>
          <w:noProof/>
        </w:rPr>
        <w:tab/>
      </w:r>
      <w:r w:rsidR="00D16240">
        <w:rPr>
          <w:noProof/>
        </w:rPr>
        <w:fldChar w:fldCharType="begin"/>
      </w:r>
      <w:r>
        <w:rPr>
          <w:noProof/>
        </w:rPr>
        <w:instrText xml:space="preserve"> PAGEREF _Toc294380241 \h </w:instrText>
      </w:r>
      <w:r w:rsidR="00D16240">
        <w:rPr>
          <w:noProof/>
        </w:rPr>
      </w:r>
      <w:r w:rsidR="00D16240">
        <w:rPr>
          <w:noProof/>
        </w:rPr>
        <w:fldChar w:fldCharType="separate"/>
      </w:r>
      <w:r w:rsidR="00711AB8">
        <w:rPr>
          <w:noProof/>
        </w:rPr>
        <w:t>102</w:t>
      </w:r>
      <w:r w:rsidR="00D16240">
        <w:rPr>
          <w:noProof/>
        </w:rPr>
        <w:fldChar w:fldCharType="end"/>
      </w:r>
    </w:p>
    <w:p w14:paraId="0AB3E1EF"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4.3.3.2</w:t>
      </w:r>
      <w:r>
        <w:rPr>
          <w:rFonts w:eastAsiaTheme="minorEastAsia"/>
          <w:noProof/>
          <w:sz w:val="24"/>
          <w:szCs w:val="24"/>
          <w:lang w:eastAsia="ja-JP"/>
        </w:rPr>
        <w:tab/>
      </w:r>
      <w:r>
        <w:rPr>
          <w:noProof/>
        </w:rPr>
        <w:t>Formulierung von Desmopressin mit Cystein PEA</w:t>
      </w:r>
      <w:r>
        <w:rPr>
          <w:noProof/>
        </w:rPr>
        <w:tab/>
      </w:r>
      <w:r w:rsidR="00D16240">
        <w:rPr>
          <w:noProof/>
        </w:rPr>
        <w:fldChar w:fldCharType="begin"/>
      </w:r>
      <w:r>
        <w:rPr>
          <w:noProof/>
        </w:rPr>
        <w:instrText xml:space="preserve"> PAGEREF _Toc294380242 \h </w:instrText>
      </w:r>
      <w:r w:rsidR="00D16240">
        <w:rPr>
          <w:noProof/>
        </w:rPr>
      </w:r>
      <w:r w:rsidR="00D16240">
        <w:rPr>
          <w:noProof/>
        </w:rPr>
        <w:fldChar w:fldCharType="separate"/>
      </w:r>
      <w:r w:rsidR="00711AB8">
        <w:rPr>
          <w:noProof/>
        </w:rPr>
        <w:t>105</w:t>
      </w:r>
      <w:r w:rsidR="00D16240">
        <w:rPr>
          <w:noProof/>
        </w:rPr>
        <w:fldChar w:fldCharType="end"/>
      </w:r>
    </w:p>
    <w:p w14:paraId="31EF4D97"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4.3.3.3</w:t>
      </w:r>
      <w:r>
        <w:rPr>
          <w:rFonts w:eastAsiaTheme="minorEastAsia"/>
          <w:noProof/>
          <w:sz w:val="24"/>
          <w:szCs w:val="24"/>
          <w:lang w:eastAsia="ja-JP"/>
        </w:rPr>
        <w:tab/>
      </w:r>
      <w:r>
        <w:rPr>
          <w:noProof/>
        </w:rPr>
        <w:t>Zusammenfassung der Mikroverkapselung mit PEA Polymeren</w:t>
      </w:r>
      <w:r>
        <w:rPr>
          <w:noProof/>
        </w:rPr>
        <w:tab/>
      </w:r>
      <w:r w:rsidR="00D16240">
        <w:rPr>
          <w:noProof/>
        </w:rPr>
        <w:fldChar w:fldCharType="begin"/>
      </w:r>
      <w:r>
        <w:rPr>
          <w:noProof/>
        </w:rPr>
        <w:instrText xml:space="preserve"> PAGEREF _Toc294380243 \h </w:instrText>
      </w:r>
      <w:r w:rsidR="00D16240">
        <w:rPr>
          <w:noProof/>
        </w:rPr>
      </w:r>
      <w:r w:rsidR="00D16240">
        <w:rPr>
          <w:noProof/>
        </w:rPr>
        <w:fldChar w:fldCharType="separate"/>
      </w:r>
      <w:r w:rsidR="00711AB8">
        <w:rPr>
          <w:noProof/>
        </w:rPr>
        <w:t>106</w:t>
      </w:r>
      <w:r w:rsidR="00D16240">
        <w:rPr>
          <w:noProof/>
        </w:rPr>
        <w:fldChar w:fldCharType="end"/>
      </w:r>
    </w:p>
    <w:p w14:paraId="4480636F"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4.3.4</w:t>
      </w:r>
      <w:r>
        <w:rPr>
          <w:rFonts w:eastAsiaTheme="minorEastAsia"/>
          <w:noProof/>
          <w:sz w:val="24"/>
          <w:szCs w:val="24"/>
          <w:lang w:eastAsia="ja-JP"/>
        </w:rPr>
        <w:tab/>
      </w:r>
      <w:r>
        <w:rPr>
          <w:noProof/>
        </w:rPr>
        <w:t>Charakterisierung der Polyesteramid Partikel</w:t>
      </w:r>
      <w:r>
        <w:rPr>
          <w:noProof/>
        </w:rPr>
        <w:tab/>
      </w:r>
      <w:r w:rsidR="00D16240">
        <w:rPr>
          <w:noProof/>
        </w:rPr>
        <w:fldChar w:fldCharType="begin"/>
      </w:r>
      <w:r>
        <w:rPr>
          <w:noProof/>
        </w:rPr>
        <w:instrText xml:space="preserve"> PAGEREF _Toc294380244 \h </w:instrText>
      </w:r>
      <w:r w:rsidR="00D16240">
        <w:rPr>
          <w:noProof/>
        </w:rPr>
      </w:r>
      <w:r w:rsidR="00D16240">
        <w:rPr>
          <w:noProof/>
        </w:rPr>
        <w:fldChar w:fldCharType="separate"/>
      </w:r>
      <w:r w:rsidR="00711AB8">
        <w:rPr>
          <w:noProof/>
        </w:rPr>
        <w:t>107</w:t>
      </w:r>
      <w:r w:rsidR="00D16240">
        <w:rPr>
          <w:noProof/>
        </w:rPr>
        <w:fldChar w:fldCharType="end"/>
      </w:r>
    </w:p>
    <w:p w14:paraId="0C738167"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4.3.4.1</w:t>
      </w:r>
      <w:r>
        <w:rPr>
          <w:rFonts w:eastAsiaTheme="minorEastAsia"/>
          <w:noProof/>
          <w:sz w:val="24"/>
          <w:szCs w:val="24"/>
          <w:lang w:eastAsia="ja-JP"/>
        </w:rPr>
        <w:tab/>
      </w:r>
      <w:r>
        <w:rPr>
          <w:noProof/>
        </w:rPr>
        <w:t>Rasterelektronenmikroskopie</w:t>
      </w:r>
      <w:r>
        <w:rPr>
          <w:noProof/>
        </w:rPr>
        <w:tab/>
      </w:r>
      <w:r w:rsidR="00D16240">
        <w:rPr>
          <w:noProof/>
        </w:rPr>
        <w:fldChar w:fldCharType="begin"/>
      </w:r>
      <w:r>
        <w:rPr>
          <w:noProof/>
        </w:rPr>
        <w:instrText xml:space="preserve"> PAGEREF _Toc294380245 \h </w:instrText>
      </w:r>
      <w:r w:rsidR="00D16240">
        <w:rPr>
          <w:noProof/>
        </w:rPr>
      </w:r>
      <w:r w:rsidR="00D16240">
        <w:rPr>
          <w:noProof/>
        </w:rPr>
        <w:fldChar w:fldCharType="separate"/>
      </w:r>
      <w:r w:rsidR="00711AB8">
        <w:rPr>
          <w:noProof/>
        </w:rPr>
        <w:t>107</w:t>
      </w:r>
      <w:r w:rsidR="00D16240">
        <w:rPr>
          <w:noProof/>
        </w:rPr>
        <w:fldChar w:fldCharType="end"/>
      </w:r>
    </w:p>
    <w:p w14:paraId="46380B5C"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4.3.4.2</w:t>
      </w:r>
      <w:r>
        <w:rPr>
          <w:rFonts w:eastAsiaTheme="minorEastAsia"/>
          <w:noProof/>
          <w:sz w:val="24"/>
          <w:szCs w:val="24"/>
          <w:lang w:eastAsia="ja-JP"/>
        </w:rPr>
        <w:tab/>
      </w:r>
      <w:r>
        <w:rPr>
          <w:noProof/>
        </w:rPr>
        <w:t>In vitro-Freisetzung des Modellwirkstoffes aus PEA Partikeln</w:t>
      </w:r>
      <w:r>
        <w:rPr>
          <w:noProof/>
        </w:rPr>
        <w:tab/>
      </w:r>
      <w:r w:rsidR="00D16240">
        <w:rPr>
          <w:noProof/>
        </w:rPr>
        <w:fldChar w:fldCharType="begin"/>
      </w:r>
      <w:r>
        <w:rPr>
          <w:noProof/>
        </w:rPr>
        <w:instrText xml:space="preserve"> PAGEREF _Toc294380246 \h </w:instrText>
      </w:r>
      <w:r w:rsidR="00D16240">
        <w:rPr>
          <w:noProof/>
        </w:rPr>
      </w:r>
      <w:r w:rsidR="00D16240">
        <w:rPr>
          <w:noProof/>
        </w:rPr>
        <w:fldChar w:fldCharType="separate"/>
      </w:r>
      <w:r w:rsidR="00711AB8">
        <w:rPr>
          <w:noProof/>
        </w:rPr>
        <w:t>110</w:t>
      </w:r>
      <w:r w:rsidR="00D16240">
        <w:rPr>
          <w:noProof/>
        </w:rPr>
        <w:fldChar w:fldCharType="end"/>
      </w:r>
    </w:p>
    <w:p w14:paraId="6F189213" w14:textId="77777777" w:rsidR="00D96E56" w:rsidRDefault="00D96E56">
      <w:pPr>
        <w:pStyle w:val="Verzeichnis5"/>
        <w:tabs>
          <w:tab w:val="right" w:leader="dot" w:pos="9062"/>
        </w:tabs>
        <w:rPr>
          <w:rFonts w:eastAsiaTheme="minorEastAsia"/>
          <w:noProof/>
          <w:sz w:val="24"/>
          <w:szCs w:val="24"/>
          <w:lang w:eastAsia="ja-JP"/>
        </w:rPr>
      </w:pPr>
      <w:r w:rsidRPr="00B07EC2">
        <w:rPr>
          <w:noProof/>
        </w:rPr>
        <w:t>Formulierungen mit Asparaginsäure PEA</w:t>
      </w:r>
      <w:r>
        <w:rPr>
          <w:noProof/>
        </w:rPr>
        <w:tab/>
      </w:r>
      <w:r w:rsidR="00D16240">
        <w:rPr>
          <w:noProof/>
        </w:rPr>
        <w:fldChar w:fldCharType="begin"/>
      </w:r>
      <w:r>
        <w:rPr>
          <w:noProof/>
        </w:rPr>
        <w:instrText xml:space="preserve"> PAGEREF _Toc294380247 \h </w:instrText>
      </w:r>
      <w:r w:rsidR="00D16240">
        <w:rPr>
          <w:noProof/>
        </w:rPr>
      </w:r>
      <w:r w:rsidR="00D16240">
        <w:rPr>
          <w:noProof/>
        </w:rPr>
        <w:fldChar w:fldCharType="separate"/>
      </w:r>
      <w:r w:rsidR="00711AB8">
        <w:rPr>
          <w:noProof/>
        </w:rPr>
        <w:t>110</w:t>
      </w:r>
      <w:r w:rsidR="00D16240">
        <w:rPr>
          <w:noProof/>
        </w:rPr>
        <w:fldChar w:fldCharType="end"/>
      </w:r>
    </w:p>
    <w:p w14:paraId="1CA8D1F3" w14:textId="77777777" w:rsidR="00D96E56" w:rsidRDefault="00D96E56">
      <w:pPr>
        <w:pStyle w:val="Verzeichnis5"/>
        <w:tabs>
          <w:tab w:val="right" w:leader="dot" w:pos="9062"/>
        </w:tabs>
        <w:rPr>
          <w:rFonts w:eastAsiaTheme="minorEastAsia"/>
          <w:noProof/>
          <w:sz w:val="24"/>
          <w:szCs w:val="24"/>
          <w:lang w:eastAsia="ja-JP"/>
        </w:rPr>
      </w:pPr>
      <w:r w:rsidRPr="00B07EC2">
        <w:rPr>
          <w:noProof/>
        </w:rPr>
        <w:t>Formulierungen mit Cystein PEA und PLGA</w:t>
      </w:r>
      <w:r>
        <w:rPr>
          <w:noProof/>
        </w:rPr>
        <w:tab/>
      </w:r>
      <w:r w:rsidR="00D16240">
        <w:rPr>
          <w:noProof/>
        </w:rPr>
        <w:fldChar w:fldCharType="begin"/>
      </w:r>
      <w:r>
        <w:rPr>
          <w:noProof/>
        </w:rPr>
        <w:instrText xml:space="preserve"> PAGEREF _Toc294380248 \h </w:instrText>
      </w:r>
      <w:r w:rsidR="00D16240">
        <w:rPr>
          <w:noProof/>
        </w:rPr>
      </w:r>
      <w:r w:rsidR="00D16240">
        <w:rPr>
          <w:noProof/>
        </w:rPr>
        <w:fldChar w:fldCharType="separate"/>
      </w:r>
      <w:r w:rsidR="00711AB8">
        <w:rPr>
          <w:noProof/>
        </w:rPr>
        <w:t>111</w:t>
      </w:r>
      <w:r w:rsidR="00D16240">
        <w:rPr>
          <w:noProof/>
        </w:rPr>
        <w:fldChar w:fldCharType="end"/>
      </w:r>
    </w:p>
    <w:p w14:paraId="138B1240"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4.3.4.3</w:t>
      </w:r>
      <w:r>
        <w:rPr>
          <w:rFonts w:eastAsiaTheme="minorEastAsia"/>
          <w:noProof/>
          <w:sz w:val="24"/>
          <w:szCs w:val="24"/>
          <w:lang w:eastAsia="ja-JP"/>
        </w:rPr>
        <w:tab/>
      </w:r>
      <w:r>
        <w:rPr>
          <w:noProof/>
        </w:rPr>
        <w:t>Chemischer Nachweis der Funktionalität der Cystein PEA Partikel</w:t>
      </w:r>
      <w:r>
        <w:rPr>
          <w:noProof/>
        </w:rPr>
        <w:tab/>
      </w:r>
      <w:r w:rsidR="00D16240">
        <w:rPr>
          <w:noProof/>
        </w:rPr>
        <w:fldChar w:fldCharType="begin"/>
      </w:r>
      <w:r>
        <w:rPr>
          <w:noProof/>
        </w:rPr>
        <w:instrText xml:space="preserve"> PAGEREF _Toc294380249 \h </w:instrText>
      </w:r>
      <w:r w:rsidR="00D16240">
        <w:rPr>
          <w:noProof/>
        </w:rPr>
      </w:r>
      <w:r w:rsidR="00D16240">
        <w:rPr>
          <w:noProof/>
        </w:rPr>
        <w:fldChar w:fldCharType="separate"/>
      </w:r>
      <w:r w:rsidR="00711AB8">
        <w:rPr>
          <w:noProof/>
        </w:rPr>
        <w:t>113</w:t>
      </w:r>
      <w:r w:rsidR="00D16240">
        <w:rPr>
          <w:noProof/>
        </w:rPr>
        <w:fldChar w:fldCharType="end"/>
      </w:r>
    </w:p>
    <w:p w14:paraId="5947D2DA"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4.3.4.4</w:t>
      </w:r>
      <w:r>
        <w:rPr>
          <w:rFonts w:eastAsiaTheme="minorEastAsia"/>
          <w:noProof/>
          <w:sz w:val="24"/>
          <w:szCs w:val="24"/>
          <w:lang w:eastAsia="ja-JP"/>
        </w:rPr>
        <w:tab/>
      </w:r>
      <w:r>
        <w:rPr>
          <w:noProof/>
        </w:rPr>
        <w:t>In vitro-Toxizität PEA Polymere und Partikelformulierungen</w:t>
      </w:r>
      <w:r>
        <w:rPr>
          <w:noProof/>
        </w:rPr>
        <w:tab/>
      </w:r>
      <w:r w:rsidR="00D16240">
        <w:rPr>
          <w:noProof/>
        </w:rPr>
        <w:fldChar w:fldCharType="begin"/>
      </w:r>
      <w:r>
        <w:rPr>
          <w:noProof/>
        </w:rPr>
        <w:instrText xml:space="preserve"> PAGEREF _Toc294380250 \h </w:instrText>
      </w:r>
      <w:r w:rsidR="00D16240">
        <w:rPr>
          <w:noProof/>
        </w:rPr>
      </w:r>
      <w:r w:rsidR="00D16240">
        <w:rPr>
          <w:noProof/>
        </w:rPr>
        <w:fldChar w:fldCharType="separate"/>
      </w:r>
      <w:r w:rsidR="00711AB8">
        <w:rPr>
          <w:noProof/>
        </w:rPr>
        <w:t>113</w:t>
      </w:r>
      <w:r w:rsidR="00D16240">
        <w:rPr>
          <w:noProof/>
        </w:rPr>
        <w:fldChar w:fldCharType="end"/>
      </w:r>
    </w:p>
    <w:p w14:paraId="3370D87A"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4.3.5</w:t>
      </w:r>
      <w:r>
        <w:rPr>
          <w:rFonts w:eastAsiaTheme="minorEastAsia"/>
          <w:noProof/>
          <w:sz w:val="24"/>
          <w:szCs w:val="24"/>
          <w:lang w:eastAsia="ja-JP"/>
        </w:rPr>
        <w:tab/>
      </w:r>
      <w:r>
        <w:rPr>
          <w:noProof/>
        </w:rPr>
        <w:t>Zusammenfassende Diskussion</w:t>
      </w:r>
      <w:r>
        <w:rPr>
          <w:noProof/>
        </w:rPr>
        <w:tab/>
      </w:r>
      <w:r w:rsidR="00D16240">
        <w:rPr>
          <w:noProof/>
        </w:rPr>
        <w:fldChar w:fldCharType="begin"/>
      </w:r>
      <w:r>
        <w:rPr>
          <w:noProof/>
        </w:rPr>
        <w:instrText xml:space="preserve"> PAGEREF _Toc294380251 \h </w:instrText>
      </w:r>
      <w:r w:rsidR="00D16240">
        <w:rPr>
          <w:noProof/>
        </w:rPr>
      </w:r>
      <w:r w:rsidR="00D16240">
        <w:rPr>
          <w:noProof/>
        </w:rPr>
        <w:fldChar w:fldCharType="separate"/>
      </w:r>
      <w:r w:rsidR="00711AB8">
        <w:rPr>
          <w:noProof/>
        </w:rPr>
        <w:t>117</w:t>
      </w:r>
      <w:r w:rsidR="00D16240">
        <w:rPr>
          <w:noProof/>
        </w:rPr>
        <w:fldChar w:fldCharType="end"/>
      </w:r>
    </w:p>
    <w:p w14:paraId="0B2D8DA6"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4.4</w:t>
      </w:r>
      <w:r>
        <w:rPr>
          <w:rFonts w:eastAsiaTheme="minorEastAsia"/>
          <w:b w:val="0"/>
          <w:bCs w:val="0"/>
          <w:noProof/>
          <w:sz w:val="24"/>
          <w:szCs w:val="24"/>
          <w:lang w:eastAsia="ja-JP"/>
        </w:rPr>
        <w:tab/>
      </w:r>
      <w:r>
        <w:rPr>
          <w:noProof/>
        </w:rPr>
        <w:t>Beschichtung von PLGA Partikeln mit dem zellpenetrierenden hLF Peptidfragment</w:t>
      </w:r>
      <w:r>
        <w:rPr>
          <w:noProof/>
        </w:rPr>
        <w:tab/>
      </w:r>
      <w:r w:rsidR="00D16240">
        <w:rPr>
          <w:noProof/>
        </w:rPr>
        <w:fldChar w:fldCharType="begin"/>
      </w:r>
      <w:r>
        <w:rPr>
          <w:noProof/>
        </w:rPr>
        <w:instrText xml:space="preserve"> PAGEREF _Toc294380252 \h </w:instrText>
      </w:r>
      <w:r w:rsidR="00D16240">
        <w:rPr>
          <w:noProof/>
        </w:rPr>
      </w:r>
      <w:r w:rsidR="00D16240">
        <w:rPr>
          <w:noProof/>
        </w:rPr>
        <w:fldChar w:fldCharType="separate"/>
      </w:r>
      <w:r w:rsidR="00711AB8">
        <w:rPr>
          <w:noProof/>
        </w:rPr>
        <w:t>119</w:t>
      </w:r>
      <w:r w:rsidR="00D16240">
        <w:rPr>
          <w:noProof/>
        </w:rPr>
        <w:fldChar w:fldCharType="end"/>
      </w:r>
    </w:p>
    <w:p w14:paraId="6D9FDE29"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4.5</w:t>
      </w:r>
      <w:r>
        <w:rPr>
          <w:rFonts w:eastAsiaTheme="minorEastAsia"/>
          <w:b w:val="0"/>
          <w:bCs w:val="0"/>
          <w:noProof/>
          <w:sz w:val="24"/>
          <w:szCs w:val="24"/>
          <w:lang w:eastAsia="ja-JP"/>
        </w:rPr>
        <w:tab/>
      </w:r>
      <w:r>
        <w:rPr>
          <w:noProof/>
        </w:rPr>
        <w:t>Herstellung einer magensaftresistenten Darreichungsform</w:t>
      </w:r>
      <w:r>
        <w:rPr>
          <w:noProof/>
        </w:rPr>
        <w:tab/>
      </w:r>
      <w:r w:rsidR="00D16240">
        <w:rPr>
          <w:noProof/>
        </w:rPr>
        <w:fldChar w:fldCharType="begin"/>
      </w:r>
      <w:r>
        <w:rPr>
          <w:noProof/>
        </w:rPr>
        <w:instrText xml:space="preserve"> PAGEREF _Toc294380253 \h </w:instrText>
      </w:r>
      <w:r w:rsidR="00D16240">
        <w:rPr>
          <w:noProof/>
        </w:rPr>
      </w:r>
      <w:r w:rsidR="00D16240">
        <w:rPr>
          <w:noProof/>
        </w:rPr>
        <w:fldChar w:fldCharType="separate"/>
      </w:r>
      <w:r w:rsidR="00711AB8">
        <w:rPr>
          <w:noProof/>
        </w:rPr>
        <w:t>121</w:t>
      </w:r>
      <w:r w:rsidR="00D16240">
        <w:rPr>
          <w:noProof/>
        </w:rPr>
        <w:fldChar w:fldCharType="end"/>
      </w:r>
    </w:p>
    <w:p w14:paraId="291AC854"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4.5.1.1</w:t>
      </w:r>
      <w:r>
        <w:rPr>
          <w:rFonts w:eastAsiaTheme="minorEastAsia"/>
          <w:noProof/>
          <w:sz w:val="24"/>
          <w:szCs w:val="24"/>
          <w:lang w:eastAsia="ja-JP"/>
        </w:rPr>
        <w:tab/>
      </w:r>
      <w:r>
        <w:rPr>
          <w:noProof/>
        </w:rPr>
        <w:t>Einbettung der PLGA und PEA Nanopartikel in Eudragit</w:t>
      </w:r>
      <w:r>
        <w:rPr>
          <w:noProof/>
          <w:vertAlign w:val="superscript"/>
        </w:rPr>
        <w:sym w:font="Symbol" w:char="F0D2"/>
      </w:r>
      <w:r>
        <w:rPr>
          <w:noProof/>
        </w:rPr>
        <w:t xml:space="preserve"> Mikropartikel</w:t>
      </w:r>
      <w:r>
        <w:rPr>
          <w:noProof/>
        </w:rPr>
        <w:tab/>
      </w:r>
      <w:r w:rsidR="00D16240">
        <w:rPr>
          <w:noProof/>
        </w:rPr>
        <w:fldChar w:fldCharType="begin"/>
      </w:r>
      <w:r>
        <w:rPr>
          <w:noProof/>
        </w:rPr>
        <w:instrText xml:space="preserve"> PAGEREF _Toc294380254 \h </w:instrText>
      </w:r>
      <w:r w:rsidR="00D16240">
        <w:rPr>
          <w:noProof/>
        </w:rPr>
      </w:r>
      <w:r w:rsidR="00D16240">
        <w:rPr>
          <w:noProof/>
        </w:rPr>
        <w:fldChar w:fldCharType="separate"/>
      </w:r>
      <w:r w:rsidR="00711AB8">
        <w:rPr>
          <w:noProof/>
        </w:rPr>
        <w:t>122</w:t>
      </w:r>
      <w:r w:rsidR="00D16240">
        <w:rPr>
          <w:noProof/>
        </w:rPr>
        <w:fldChar w:fldCharType="end"/>
      </w:r>
    </w:p>
    <w:p w14:paraId="0383F4B1"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4.5.1.2</w:t>
      </w:r>
      <w:r>
        <w:rPr>
          <w:rFonts w:eastAsiaTheme="minorEastAsia"/>
          <w:noProof/>
          <w:sz w:val="24"/>
          <w:szCs w:val="24"/>
          <w:lang w:eastAsia="ja-JP"/>
        </w:rPr>
        <w:tab/>
      </w:r>
      <w:r>
        <w:rPr>
          <w:noProof/>
        </w:rPr>
        <w:t>Charakterisierung der PLGA-haltigen Eudragit</w:t>
      </w:r>
      <w:r>
        <w:rPr>
          <w:noProof/>
          <w:vertAlign w:val="superscript"/>
        </w:rPr>
        <w:sym w:font="Symbol" w:char="F0D2"/>
      </w:r>
      <w:r>
        <w:rPr>
          <w:noProof/>
        </w:rPr>
        <w:t xml:space="preserve"> Mikropartikel</w:t>
      </w:r>
      <w:r>
        <w:rPr>
          <w:noProof/>
        </w:rPr>
        <w:tab/>
      </w:r>
      <w:r w:rsidR="00D16240">
        <w:rPr>
          <w:noProof/>
        </w:rPr>
        <w:fldChar w:fldCharType="begin"/>
      </w:r>
      <w:r>
        <w:rPr>
          <w:noProof/>
        </w:rPr>
        <w:instrText xml:space="preserve"> PAGEREF _Toc294380255 \h </w:instrText>
      </w:r>
      <w:r w:rsidR="00D16240">
        <w:rPr>
          <w:noProof/>
        </w:rPr>
      </w:r>
      <w:r w:rsidR="00D16240">
        <w:rPr>
          <w:noProof/>
        </w:rPr>
        <w:fldChar w:fldCharType="separate"/>
      </w:r>
      <w:r w:rsidR="00711AB8">
        <w:rPr>
          <w:noProof/>
        </w:rPr>
        <w:t>122</w:t>
      </w:r>
      <w:r w:rsidR="00D16240">
        <w:rPr>
          <w:noProof/>
        </w:rPr>
        <w:fldChar w:fldCharType="end"/>
      </w:r>
    </w:p>
    <w:p w14:paraId="784EEA49"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lastRenderedPageBreak/>
        <w:t>4.5.1.3</w:t>
      </w:r>
      <w:r>
        <w:rPr>
          <w:rFonts w:eastAsiaTheme="minorEastAsia"/>
          <w:noProof/>
          <w:sz w:val="24"/>
          <w:szCs w:val="24"/>
          <w:lang w:eastAsia="ja-JP"/>
        </w:rPr>
        <w:tab/>
      </w:r>
      <w:r>
        <w:rPr>
          <w:noProof/>
        </w:rPr>
        <w:t>Charakterisierung der PEA-haltigen Eudragit</w:t>
      </w:r>
      <w:r>
        <w:rPr>
          <w:noProof/>
          <w:vertAlign w:val="superscript"/>
        </w:rPr>
        <w:sym w:font="Symbol" w:char="F0D2"/>
      </w:r>
      <w:r>
        <w:rPr>
          <w:noProof/>
        </w:rPr>
        <w:t xml:space="preserve"> Mikropartikel</w:t>
      </w:r>
      <w:r>
        <w:rPr>
          <w:noProof/>
        </w:rPr>
        <w:tab/>
      </w:r>
      <w:r w:rsidR="00D16240">
        <w:rPr>
          <w:noProof/>
        </w:rPr>
        <w:fldChar w:fldCharType="begin"/>
      </w:r>
      <w:r>
        <w:rPr>
          <w:noProof/>
        </w:rPr>
        <w:instrText xml:space="preserve"> PAGEREF _Toc294380256 \h </w:instrText>
      </w:r>
      <w:r w:rsidR="00D16240">
        <w:rPr>
          <w:noProof/>
        </w:rPr>
      </w:r>
      <w:r w:rsidR="00D16240">
        <w:rPr>
          <w:noProof/>
        </w:rPr>
        <w:fldChar w:fldCharType="separate"/>
      </w:r>
      <w:r w:rsidR="00711AB8">
        <w:rPr>
          <w:noProof/>
        </w:rPr>
        <w:t>124</w:t>
      </w:r>
      <w:r w:rsidR="00D16240">
        <w:rPr>
          <w:noProof/>
        </w:rPr>
        <w:fldChar w:fldCharType="end"/>
      </w:r>
    </w:p>
    <w:p w14:paraId="067EF75F"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4.5.1.4</w:t>
      </w:r>
      <w:r>
        <w:rPr>
          <w:rFonts w:eastAsiaTheme="minorEastAsia"/>
          <w:noProof/>
          <w:sz w:val="24"/>
          <w:szCs w:val="24"/>
          <w:lang w:eastAsia="ja-JP"/>
        </w:rPr>
        <w:tab/>
      </w:r>
      <w:r>
        <w:rPr>
          <w:noProof/>
        </w:rPr>
        <w:t>In vitro-Freisetzung des Modellwirkstoffes aus PEA haltigen Eudragit</w:t>
      </w:r>
      <w:r>
        <w:rPr>
          <w:noProof/>
          <w:vertAlign w:val="superscript"/>
        </w:rPr>
        <w:sym w:font="Symbol" w:char="F0D2"/>
      </w:r>
      <w:r>
        <w:rPr>
          <w:noProof/>
        </w:rPr>
        <w:t xml:space="preserve"> Mikropartikeln</w:t>
      </w:r>
      <w:r>
        <w:rPr>
          <w:noProof/>
        </w:rPr>
        <w:tab/>
      </w:r>
      <w:r w:rsidR="00D16240">
        <w:rPr>
          <w:noProof/>
        </w:rPr>
        <w:fldChar w:fldCharType="begin"/>
      </w:r>
      <w:r>
        <w:rPr>
          <w:noProof/>
        </w:rPr>
        <w:instrText xml:space="preserve"> PAGEREF _Toc294380257 \h </w:instrText>
      </w:r>
      <w:r w:rsidR="00D16240">
        <w:rPr>
          <w:noProof/>
        </w:rPr>
      </w:r>
      <w:r w:rsidR="00D16240">
        <w:rPr>
          <w:noProof/>
        </w:rPr>
        <w:fldChar w:fldCharType="separate"/>
      </w:r>
      <w:r w:rsidR="00711AB8">
        <w:rPr>
          <w:noProof/>
        </w:rPr>
        <w:t>126</w:t>
      </w:r>
      <w:r w:rsidR="00D16240">
        <w:rPr>
          <w:noProof/>
        </w:rPr>
        <w:fldChar w:fldCharType="end"/>
      </w:r>
    </w:p>
    <w:p w14:paraId="4FE4ACEF"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4.5.1.5</w:t>
      </w:r>
      <w:r>
        <w:rPr>
          <w:rFonts w:eastAsiaTheme="minorEastAsia"/>
          <w:noProof/>
          <w:sz w:val="24"/>
          <w:szCs w:val="24"/>
          <w:lang w:eastAsia="ja-JP"/>
        </w:rPr>
        <w:tab/>
      </w:r>
      <w:r>
        <w:rPr>
          <w:noProof/>
        </w:rPr>
        <w:t>Zusammenfassung magensaftresistente Darreichungsform</w:t>
      </w:r>
      <w:r>
        <w:rPr>
          <w:noProof/>
        </w:rPr>
        <w:tab/>
      </w:r>
      <w:r w:rsidR="00D16240">
        <w:rPr>
          <w:noProof/>
        </w:rPr>
        <w:fldChar w:fldCharType="begin"/>
      </w:r>
      <w:r>
        <w:rPr>
          <w:noProof/>
        </w:rPr>
        <w:instrText xml:space="preserve"> PAGEREF _Toc294380258 \h </w:instrText>
      </w:r>
      <w:r w:rsidR="00D16240">
        <w:rPr>
          <w:noProof/>
        </w:rPr>
      </w:r>
      <w:r w:rsidR="00D16240">
        <w:rPr>
          <w:noProof/>
        </w:rPr>
        <w:fldChar w:fldCharType="separate"/>
      </w:r>
      <w:r w:rsidR="00711AB8">
        <w:rPr>
          <w:noProof/>
        </w:rPr>
        <w:t>127</w:t>
      </w:r>
      <w:r w:rsidR="00D16240">
        <w:rPr>
          <w:noProof/>
        </w:rPr>
        <w:fldChar w:fldCharType="end"/>
      </w:r>
    </w:p>
    <w:p w14:paraId="12CB3A39"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4.6</w:t>
      </w:r>
      <w:r>
        <w:rPr>
          <w:rFonts w:eastAsiaTheme="minorEastAsia"/>
          <w:b w:val="0"/>
          <w:bCs w:val="0"/>
          <w:noProof/>
          <w:sz w:val="24"/>
          <w:szCs w:val="24"/>
          <w:lang w:eastAsia="ja-JP"/>
        </w:rPr>
        <w:tab/>
      </w:r>
      <w:r>
        <w:rPr>
          <w:noProof/>
        </w:rPr>
        <w:t>Partikelherstellung aus überkritischen Lösungen</w:t>
      </w:r>
      <w:r>
        <w:rPr>
          <w:noProof/>
        </w:rPr>
        <w:tab/>
      </w:r>
      <w:r w:rsidR="00D16240">
        <w:rPr>
          <w:noProof/>
        </w:rPr>
        <w:fldChar w:fldCharType="begin"/>
      </w:r>
      <w:r>
        <w:rPr>
          <w:noProof/>
        </w:rPr>
        <w:instrText xml:space="preserve"> PAGEREF _Toc294380259 \h </w:instrText>
      </w:r>
      <w:r w:rsidR="00D16240">
        <w:rPr>
          <w:noProof/>
        </w:rPr>
      </w:r>
      <w:r w:rsidR="00D16240">
        <w:rPr>
          <w:noProof/>
        </w:rPr>
        <w:fldChar w:fldCharType="separate"/>
      </w:r>
      <w:r w:rsidR="00711AB8">
        <w:rPr>
          <w:noProof/>
        </w:rPr>
        <w:t>128</w:t>
      </w:r>
      <w:r w:rsidR="00D16240">
        <w:rPr>
          <w:noProof/>
        </w:rPr>
        <w:fldChar w:fldCharType="end"/>
      </w:r>
    </w:p>
    <w:p w14:paraId="198557AE"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4.6.1</w:t>
      </w:r>
      <w:r>
        <w:rPr>
          <w:rFonts w:eastAsiaTheme="minorEastAsia"/>
          <w:noProof/>
          <w:sz w:val="24"/>
          <w:szCs w:val="24"/>
          <w:lang w:eastAsia="ja-JP"/>
        </w:rPr>
        <w:tab/>
      </w:r>
      <w:r>
        <w:rPr>
          <w:noProof/>
        </w:rPr>
        <w:t>Theorie und Grundlagen</w:t>
      </w:r>
      <w:r>
        <w:rPr>
          <w:noProof/>
        </w:rPr>
        <w:tab/>
      </w:r>
      <w:r w:rsidR="00D16240">
        <w:rPr>
          <w:noProof/>
        </w:rPr>
        <w:fldChar w:fldCharType="begin"/>
      </w:r>
      <w:r>
        <w:rPr>
          <w:noProof/>
        </w:rPr>
        <w:instrText xml:space="preserve"> PAGEREF _Toc294380260 \h </w:instrText>
      </w:r>
      <w:r w:rsidR="00D16240">
        <w:rPr>
          <w:noProof/>
        </w:rPr>
      </w:r>
      <w:r w:rsidR="00D16240">
        <w:rPr>
          <w:noProof/>
        </w:rPr>
        <w:fldChar w:fldCharType="separate"/>
      </w:r>
      <w:r w:rsidR="00711AB8">
        <w:rPr>
          <w:noProof/>
        </w:rPr>
        <w:t>129</w:t>
      </w:r>
      <w:r w:rsidR="00D16240">
        <w:rPr>
          <w:noProof/>
        </w:rPr>
        <w:fldChar w:fldCharType="end"/>
      </w:r>
    </w:p>
    <w:p w14:paraId="2B815FD1"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4.6.2</w:t>
      </w:r>
      <w:r>
        <w:rPr>
          <w:rFonts w:eastAsiaTheme="minorEastAsia"/>
          <w:noProof/>
          <w:sz w:val="24"/>
          <w:szCs w:val="24"/>
          <w:lang w:eastAsia="ja-JP"/>
        </w:rPr>
        <w:tab/>
      </w:r>
      <w:r>
        <w:rPr>
          <w:noProof/>
        </w:rPr>
        <w:t>Aufbau der Versuchsanlage und Versuchsbeschreibung</w:t>
      </w:r>
      <w:r>
        <w:rPr>
          <w:noProof/>
        </w:rPr>
        <w:tab/>
      </w:r>
      <w:r w:rsidR="00D16240">
        <w:rPr>
          <w:noProof/>
        </w:rPr>
        <w:fldChar w:fldCharType="begin"/>
      </w:r>
      <w:r>
        <w:rPr>
          <w:noProof/>
        </w:rPr>
        <w:instrText xml:space="preserve"> PAGEREF _Toc294380261 \h </w:instrText>
      </w:r>
      <w:r w:rsidR="00D16240">
        <w:rPr>
          <w:noProof/>
        </w:rPr>
      </w:r>
      <w:r w:rsidR="00D16240">
        <w:rPr>
          <w:noProof/>
        </w:rPr>
        <w:fldChar w:fldCharType="separate"/>
      </w:r>
      <w:r w:rsidR="00711AB8">
        <w:rPr>
          <w:noProof/>
        </w:rPr>
        <w:t>130</w:t>
      </w:r>
      <w:r w:rsidR="00D16240">
        <w:rPr>
          <w:noProof/>
        </w:rPr>
        <w:fldChar w:fldCharType="end"/>
      </w:r>
    </w:p>
    <w:p w14:paraId="1D4591D8"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4.6.2.1</w:t>
      </w:r>
      <w:r>
        <w:rPr>
          <w:rFonts w:eastAsiaTheme="minorEastAsia"/>
          <w:noProof/>
          <w:sz w:val="24"/>
          <w:szCs w:val="24"/>
          <w:lang w:eastAsia="ja-JP"/>
        </w:rPr>
        <w:tab/>
      </w:r>
      <w:r>
        <w:rPr>
          <w:noProof/>
        </w:rPr>
        <w:t>Vorläufiger Aufbau für den Machbarkeitsnachweis</w:t>
      </w:r>
      <w:r>
        <w:rPr>
          <w:noProof/>
        </w:rPr>
        <w:tab/>
      </w:r>
      <w:r w:rsidR="00D16240">
        <w:rPr>
          <w:noProof/>
        </w:rPr>
        <w:fldChar w:fldCharType="begin"/>
      </w:r>
      <w:r>
        <w:rPr>
          <w:noProof/>
        </w:rPr>
        <w:instrText xml:space="preserve"> PAGEREF _Toc294380262 \h </w:instrText>
      </w:r>
      <w:r w:rsidR="00D16240">
        <w:rPr>
          <w:noProof/>
        </w:rPr>
      </w:r>
      <w:r w:rsidR="00D16240">
        <w:rPr>
          <w:noProof/>
        </w:rPr>
        <w:fldChar w:fldCharType="separate"/>
      </w:r>
      <w:r w:rsidR="00711AB8">
        <w:rPr>
          <w:noProof/>
        </w:rPr>
        <w:t>130</w:t>
      </w:r>
      <w:r w:rsidR="00D16240">
        <w:rPr>
          <w:noProof/>
        </w:rPr>
        <w:fldChar w:fldCharType="end"/>
      </w:r>
    </w:p>
    <w:p w14:paraId="10F8D8CC"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4.6.2.2</w:t>
      </w:r>
      <w:r>
        <w:rPr>
          <w:rFonts w:eastAsiaTheme="minorEastAsia"/>
          <w:noProof/>
          <w:sz w:val="24"/>
          <w:szCs w:val="24"/>
          <w:lang w:eastAsia="ja-JP"/>
        </w:rPr>
        <w:tab/>
      </w:r>
      <w:r>
        <w:rPr>
          <w:noProof/>
        </w:rPr>
        <w:t>Aufbau für den kontinuierlichen Betrieb</w:t>
      </w:r>
      <w:r>
        <w:rPr>
          <w:noProof/>
        </w:rPr>
        <w:tab/>
      </w:r>
      <w:r w:rsidR="00D16240">
        <w:rPr>
          <w:noProof/>
        </w:rPr>
        <w:fldChar w:fldCharType="begin"/>
      </w:r>
      <w:r>
        <w:rPr>
          <w:noProof/>
        </w:rPr>
        <w:instrText xml:space="preserve"> PAGEREF _Toc294380263 \h </w:instrText>
      </w:r>
      <w:r w:rsidR="00D16240">
        <w:rPr>
          <w:noProof/>
        </w:rPr>
      </w:r>
      <w:r w:rsidR="00D16240">
        <w:rPr>
          <w:noProof/>
        </w:rPr>
        <w:fldChar w:fldCharType="separate"/>
      </w:r>
      <w:r w:rsidR="00711AB8">
        <w:rPr>
          <w:noProof/>
        </w:rPr>
        <w:t>131</w:t>
      </w:r>
      <w:r w:rsidR="00D16240">
        <w:rPr>
          <w:noProof/>
        </w:rPr>
        <w:fldChar w:fldCharType="end"/>
      </w:r>
    </w:p>
    <w:p w14:paraId="35A1CEF8"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4.6.2.3</w:t>
      </w:r>
      <w:r>
        <w:rPr>
          <w:rFonts w:eastAsiaTheme="minorEastAsia"/>
          <w:noProof/>
          <w:sz w:val="24"/>
          <w:szCs w:val="24"/>
          <w:lang w:eastAsia="ja-JP"/>
        </w:rPr>
        <w:tab/>
      </w:r>
      <w:r>
        <w:rPr>
          <w:noProof/>
        </w:rPr>
        <w:t>Anlagenkomponenten im Detail</w:t>
      </w:r>
      <w:r>
        <w:rPr>
          <w:noProof/>
        </w:rPr>
        <w:tab/>
      </w:r>
      <w:r w:rsidR="00D16240">
        <w:rPr>
          <w:noProof/>
        </w:rPr>
        <w:fldChar w:fldCharType="begin"/>
      </w:r>
      <w:r>
        <w:rPr>
          <w:noProof/>
        </w:rPr>
        <w:instrText xml:space="preserve"> PAGEREF _Toc294380264 \h </w:instrText>
      </w:r>
      <w:r w:rsidR="00D16240">
        <w:rPr>
          <w:noProof/>
        </w:rPr>
      </w:r>
      <w:r w:rsidR="00D16240">
        <w:rPr>
          <w:noProof/>
        </w:rPr>
        <w:fldChar w:fldCharType="separate"/>
      </w:r>
      <w:r w:rsidR="00711AB8">
        <w:rPr>
          <w:noProof/>
        </w:rPr>
        <w:t>133</w:t>
      </w:r>
      <w:r w:rsidR="00D16240">
        <w:rPr>
          <w:noProof/>
        </w:rPr>
        <w:fldChar w:fldCharType="end"/>
      </w:r>
    </w:p>
    <w:p w14:paraId="1B8DD72A"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4.6.2.4</w:t>
      </w:r>
      <w:r>
        <w:rPr>
          <w:rFonts w:eastAsiaTheme="minorEastAsia"/>
          <w:noProof/>
          <w:sz w:val="24"/>
          <w:szCs w:val="24"/>
          <w:lang w:eastAsia="ja-JP"/>
        </w:rPr>
        <w:tab/>
      </w:r>
      <w:r>
        <w:rPr>
          <w:noProof/>
        </w:rPr>
        <w:t>Versuchsbeschreibung kontinuierlicher Betrieb</w:t>
      </w:r>
      <w:r>
        <w:rPr>
          <w:noProof/>
        </w:rPr>
        <w:tab/>
      </w:r>
      <w:r w:rsidR="00D16240">
        <w:rPr>
          <w:noProof/>
        </w:rPr>
        <w:fldChar w:fldCharType="begin"/>
      </w:r>
      <w:r>
        <w:rPr>
          <w:noProof/>
        </w:rPr>
        <w:instrText xml:space="preserve"> PAGEREF _Toc294380265 \h </w:instrText>
      </w:r>
      <w:r w:rsidR="00D16240">
        <w:rPr>
          <w:noProof/>
        </w:rPr>
      </w:r>
      <w:r w:rsidR="00D16240">
        <w:rPr>
          <w:noProof/>
        </w:rPr>
        <w:fldChar w:fldCharType="separate"/>
      </w:r>
      <w:r w:rsidR="00711AB8">
        <w:rPr>
          <w:noProof/>
        </w:rPr>
        <w:t>139</w:t>
      </w:r>
      <w:r w:rsidR="00D16240">
        <w:rPr>
          <w:noProof/>
        </w:rPr>
        <w:fldChar w:fldCharType="end"/>
      </w:r>
    </w:p>
    <w:p w14:paraId="2B841C48"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4.6.2.5</w:t>
      </w:r>
      <w:r>
        <w:rPr>
          <w:rFonts w:eastAsiaTheme="minorEastAsia"/>
          <w:noProof/>
          <w:sz w:val="24"/>
          <w:szCs w:val="24"/>
          <w:lang w:eastAsia="ja-JP"/>
        </w:rPr>
        <w:tab/>
      </w:r>
      <w:r>
        <w:rPr>
          <w:noProof/>
        </w:rPr>
        <w:t>Trocknung der Partikelsuspension</w:t>
      </w:r>
      <w:r>
        <w:rPr>
          <w:noProof/>
        </w:rPr>
        <w:tab/>
      </w:r>
      <w:r w:rsidR="00D16240">
        <w:rPr>
          <w:noProof/>
        </w:rPr>
        <w:fldChar w:fldCharType="begin"/>
      </w:r>
      <w:r>
        <w:rPr>
          <w:noProof/>
        </w:rPr>
        <w:instrText xml:space="preserve"> PAGEREF _Toc294380266 \h </w:instrText>
      </w:r>
      <w:r w:rsidR="00D16240">
        <w:rPr>
          <w:noProof/>
        </w:rPr>
      </w:r>
      <w:r w:rsidR="00D16240">
        <w:rPr>
          <w:noProof/>
        </w:rPr>
        <w:fldChar w:fldCharType="separate"/>
      </w:r>
      <w:r w:rsidR="00711AB8">
        <w:rPr>
          <w:noProof/>
        </w:rPr>
        <w:t>140</w:t>
      </w:r>
      <w:r w:rsidR="00D16240">
        <w:rPr>
          <w:noProof/>
        </w:rPr>
        <w:fldChar w:fldCharType="end"/>
      </w:r>
    </w:p>
    <w:p w14:paraId="063DCE93"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4.6.3</w:t>
      </w:r>
      <w:r>
        <w:rPr>
          <w:rFonts w:eastAsiaTheme="minorEastAsia"/>
          <w:noProof/>
          <w:sz w:val="24"/>
          <w:szCs w:val="24"/>
          <w:lang w:eastAsia="ja-JP"/>
        </w:rPr>
        <w:tab/>
      </w:r>
      <w:r>
        <w:rPr>
          <w:noProof/>
        </w:rPr>
        <w:t>Partikelgröße und Morphologie des verwendeten Ausgangsmaterials</w:t>
      </w:r>
      <w:r>
        <w:rPr>
          <w:noProof/>
        </w:rPr>
        <w:tab/>
      </w:r>
      <w:r w:rsidR="00D16240">
        <w:rPr>
          <w:noProof/>
        </w:rPr>
        <w:fldChar w:fldCharType="begin"/>
      </w:r>
      <w:r>
        <w:rPr>
          <w:noProof/>
        </w:rPr>
        <w:instrText xml:space="preserve"> PAGEREF _Toc294380267 \h </w:instrText>
      </w:r>
      <w:r w:rsidR="00D16240">
        <w:rPr>
          <w:noProof/>
        </w:rPr>
      </w:r>
      <w:r w:rsidR="00D16240">
        <w:rPr>
          <w:noProof/>
        </w:rPr>
        <w:fldChar w:fldCharType="separate"/>
      </w:r>
      <w:r w:rsidR="00711AB8">
        <w:rPr>
          <w:noProof/>
        </w:rPr>
        <w:t>141</w:t>
      </w:r>
      <w:r w:rsidR="00D16240">
        <w:rPr>
          <w:noProof/>
        </w:rPr>
        <w:fldChar w:fldCharType="end"/>
      </w:r>
    </w:p>
    <w:p w14:paraId="0C2A9DC5"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4.6.4</w:t>
      </w:r>
      <w:r>
        <w:rPr>
          <w:rFonts w:eastAsiaTheme="minorEastAsia"/>
          <w:noProof/>
          <w:sz w:val="24"/>
          <w:szCs w:val="24"/>
          <w:lang w:eastAsia="ja-JP"/>
        </w:rPr>
        <w:tab/>
      </w:r>
      <w:r>
        <w:rPr>
          <w:noProof/>
        </w:rPr>
        <w:t>Ergebnisse Vorversuche</w:t>
      </w:r>
      <w:r>
        <w:rPr>
          <w:noProof/>
        </w:rPr>
        <w:tab/>
      </w:r>
      <w:r w:rsidR="00D16240">
        <w:rPr>
          <w:noProof/>
        </w:rPr>
        <w:fldChar w:fldCharType="begin"/>
      </w:r>
      <w:r>
        <w:rPr>
          <w:noProof/>
        </w:rPr>
        <w:instrText xml:space="preserve"> PAGEREF _Toc294380268 \h </w:instrText>
      </w:r>
      <w:r w:rsidR="00D16240">
        <w:rPr>
          <w:noProof/>
        </w:rPr>
      </w:r>
      <w:r w:rsidR="00D16240">
        <w:rPr>
          <w:noProof/>
        </w:rPr>
        <w:fldChar w:fldCharType="separate"/>
      </w:r>
      <w:r w:rsidR="00711AB8">
        <w:rPr>
          <w:noProof/>
        </w:rPr>
        <w:t>142</w:t>
      </w:r>
      <w:r w:rsidR="00D16240">
        <w:rPr>
          <w:noProof/>
        </w:rPr>
        <w:fldChar w:fldCharType="end"/>
      </w:r>
    </w:p>
    <w:p w14:paraId="59F3432A"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4.6.5</w:t>
      </w:r>
      <w:r>
        <w:rPr>
          <w:rFonts w:eastAsiaTheme="minorEastAsia"/>
          <w:noProof/>
          <w:sz w:val="24"/>
          <w:szCs w:val="24"/>
          <w:lang w:eastAsia="ja-JP"/>
        </w:rPr>
        <w:tab/>
      </w:r>
      <w:r>
        <w:rPr>
          <w:noProof/>
        </w:rPr>
        <w:t>Ergebnisse semi-kontinuierlicher Prozess</w:t>
      </w:r>
      <w:r>
        <w:rPr>
          <w:noProof/>
        </w:rPr>
        <w:tab/>
      </w:r>
      <w:r w:rsidR="00D16240">
        <w:rPr>
          <w:noProof/>
        </w:rPr>
        <w:fldChar w:fldCharType="begin"/>
      </w:r>
      <w:r>
        <w:rPr>
          <w:noProof/>
        </w:rPr>
        <w:instrText xml:space="preserve"> PAGEREF _Toc294380269 \h </w:instrText>
      </w:r>
      <w:r w:rsidR="00D16240">
        <w:rPr>
          <w:noProof/>
        </w:rPr>
      </w:r>
      <w:r w:rsidR="00D16240">
        <w:rPr>
          <w:noProof/>
        </w:rPr>
        <w:fldChar w:fldCharType="separate"/>
      </w:r>
      <w:r w:rsidR="00711AB8">
        <w:rPr>
          <w:noProof/>
        </w:rPr>
        <w:t>144</w:t>
      </w:r>
      <w:r w:rsidR="00D16240">
        <w:rPr>
          <w:noProof/>
        </w:rPr>
        <w:fldChar w:fldCharType="end"/>
      </w:r>
    </w:p>
    <w:p w14:paraId="64648FBA"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4.6.5.1</w:t>
      </w:r>
      <w:r>
        <w:rPr>
          <w:rFonts w:eastAsiaTheme="minorEastAsia"/>
          <w:noProof/>
          <w:sz w:val="24"/>
          <w:szCs w:val="24"/>
          <w:lang w:eastAsia="ja-JP"/>
        </w:rPr>
        <w:tab/>
      </w:r>
      <w:r>
        <w:rPr>
          <w:noProof/>
        </w:rPr>
        <w:t>DLS Partikelgrößenmessung</w:t>
      </w:r>
      <w:r>
        <w:rPr>
          <w:noProof/>
        </w:rPr>
        <w:tab/>
      </w:r>
      <w:r w:rsidR="00D16240">
        <w:rPr>
          <w:noProof/>
        </w:rPr>
        <w:fldChar w:fldCharType="begin"/>
      </w:r>
      <w:r>
        <w:rPr>
          <w:noProof/>
        </w:rPr>
        <w:instrText xml:space="preserve"> PAGEREF _Toc294380270 \h </w:instrText>
      </w:r>
      <w:r w:rsidR="00D16240">
        <w:rPr>
          <w:noProof/>
        </w:rPr>
      </w:r>
      <w:r w:rsidR="00D16240">
        <w:rPr>
          <w:noProof/>
        </w:rPr>
        <w:fldChar w:fldCharType="separate"/>
      </w:r>
      <w:r w:rsidR="00711AB8">
        <w:rPr>
          <w:noProof/>
        </w:rPr>
        <w:t>146</w:t>
      </w:r>
      <w:r w:rsidR="00D16240">
        <w:rPr>
          <w:noProof/>
        </w:rPr>
        <w:fldChar w:fldCharType="end"/>
      </w:r>
    </w:p>
    <w:p w14:paraId="00EABAE0"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4.6.5.2</w:t>
      </w:r>
      <w:r>
        <w:rPr>
          <w:rFonts w:eastAsiaTheme="minorEastAsia"/>
          <w:noProof/>
          <w:sz w:val="24"/>
          <w:szCs w:val="24"/>
          <w:lang w:eastAsia="ja-JP"/>
        </w:rPr>
        <w:tab/>
      </w:r>
      <w:r>
        <w:rPr>
          <w:noProof/>
        </w:rPr>
        <w:t>Rasterelektronenmikroskopie</w:t>
      </w:r>
      <w:r>
        <w:rPr>
          <w:noProof/>
        </w:rPr>
        <w:tab/>
      </w:r>
      <w:r w:rsidR="00D16240">
        <w:rPr>
          <w:noProof/>
        </w:rPr>
        <w:fldChar w:fldCharType="begin"/>
      </w:r>
      <w:r>
        <w:rPr>
          <w:noProof/>
        </w:rPr>
        <w:instrText xml:space="preserve"> PAGEREF _Toc294380271 \h </w:instrText>
      </w:r>
      <w:r w:rsidR="00D16240">
        <w:rPr>
          <w:noProof/>
        </w:rPr>
      </w:r>
      <w:r w:rsidR="00D16240">
        <w:rPr>
          <w:noProof/>
        </w:rPr>
        <w:fldChar w:fldCharType="separate"/>
      </w:r>
      <w:r w:rsidR="00711AB8">
        <w:rPr>
          <w:noProof/>
        </w:rPr>
        <w:t>148</w:t>
      </w:r>
      <w:r w:rsidR="00D16240">
        <w:rPr>
          <w:noProof/>
        </w:rPr>
        <w:fldChar w:fldCharType="end"/>
      </w:r>
    </w:p>
    <w:p w14:paraId="480FD0DB"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4.6.5.3</w:t>
      </w:r>
      <w:r>
        <w:rPr>
          <w:rFonts w:eastAsiaTheme="minorEastAsia"/>
          <w:noProof/>
          <w:sz w:val="24"/>
          <w:szCs w:val="24"/>
          <w:lang w:eastAsia="ja-JP"/>
        </w:rPr>
        <w:tab/>
      </w:r>
      <w:r>
        <w:rPr>
          <w:noProof/>
        </w:rPr>
        <w:t>Verkapselungseffizienz des Modellwirkstoffes</w:t>
      </w:r>
      <w:r>
        <w:rPr>
          <w:noProof/>
        </w:rPr>
        <w:tab/>
      </w:r>
      <w:r w:rsidR="00D16240">
        <w:rPr>
          <w:noProof/>
        </w:rPr>
        <w:fldChar w:fldCharType="begin"/>
      </w:r>
      <w:r>
        <w:rPr>
          <w:noProof/>
        </w:rPr>
        <w:instrText xml:space="preserve"> PAGEREF _Toc294380272 \h </w:instrText>
      </w:r>
      <w:r w:rsidR="00D16240">
        <w:rPr>
          <w:noProof/>
        </w:rPr>
      </w:r>
      <w:r w:rsidR="00D16240">
        <w:rPr>
          <w:noProof/>
        </w:rPr>
        <w:fldChar w:fldCharType="separate"/>
      </w:r>
      <w:r w:rsidR="00711AB8">
        <w:rPr>
          <w:noProof/>
        </w:rPr>
        <w:t>150</w:t>
      </w:r>
      <w:r w:rsidR="00D16240">
        <w:rPr>
          <w:noProof/>
        </w:rPr>
        <w:fldChar w:fldCharType="end"/>
      </w:r>
    </w:p>
    <w:p w14:paraId="21CC4537"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4.6.5.4</w:t>
      </w:r>
      <w:r>
        <w:rPr>
          <w:rFonts w:eastAsiaTheme="minorEastAsia"/>
          <w:noProof/>
          <w:sz w:val="24"/>
          <w:szCs w:val="24"/>
          <w:lang w:eastAsia="ja-JP"/>
        </w:rPr>
        <w:tab/>
      </w:r>
      <w:r>
        <w:rPr>
          <w:noProof/>
        </w:rPr>
        <w:t>Stabilitätsuntersuchungen der Partikelsuspension</w:t>
      </w:r>
      <w:r>
        <w:rPr>
          <w:noProof/>
        </w:rPr>
        <w:tab/>
      </w:r>
      <w:r w:rsidR="00D16240">
        <w:rPr>
          <w:noProof/>
        </w:rPr>
        <w:fldChar w:fldCharType="begin"/>
      </w:r>
      <w:r>
        <w:rPr>
          <w:noProof/>
        </w:rPr>
        <w:instrText xml:space="preserve"> PAGEREF _Toc294380273 \h </w:instrText>
      </w:r>
      <w:r w:rsidR="00D16240">
        <w:rPr>
          <w:noProof/>
        </w:rPr>
      </w:r>
      <w:r w:rsidR="00D16240">
        <w:rPr>
          <w:noProof/>
        </w:rPr>
        <w:fldChar w:fldCharType="separate"/>
      </w:r>
      <w:r w:rsidR="00711AB8">
        <w:rPr>
          <w:noProof/>
        </w:rPr>
        <w:t>152</w:t>
      </w:r>
      <w:r w:rsidR="00D16240">
        <w:rPr>
          <w:noProof/>
        </w:rPr>
        <w:fldChar w:fldCharType="end"/>
      </w:r>
    </w:p>
    <w:p w14:paraId="34882440"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4.6.5.5</w:t>
      </w:r>
      <w:r>
        <w:rPr>
          <w:rFonts w:eastAsiaTheme="minorEastAsia"/>
          <w:noProof/>
          <w:sz w:val="24"/>
          <w:szCs w:val="24"/>
          <w:lang w:eastAsia="ja-JP"/>
        </w:rPr>
        <w:tab/>
      </w:r>
      <w:r>
        <w:rPr>
          <w:noProof/>
        </w:rPr>
        <w:t>Sprühtrocknung der Partikelsuspension</w:t>
      </w:r>
      <w:r>
        <w:rPr>
          <w:noProof/>
        </w:rPr>
        <w:tab/>
      </w:r>
      <w:r w:rsidR="00D16240">
        <w:rPr>
          <w:noProof/>
        </w:rPr>
        <w:fldChar w:fldCharType="begin"/>
      </w:r>
      <w:r>
        <w:rPr>
          <w:noProof/>
        </w:rPr>
        <w:instrText xml:space="preserve"> PAGEREF _Toc294380274 \h </w:instrText>
      </w:r>
      <w:r w:rsidR="00D16240">
        <w:rPr>
          <w:noProof/>
        </w:rPr>
      </w:r>
      <w:r w:rsidR="00D16240">
        <w:rPr>
          <w:noProof/>
        </w:rPr>
        <w:fldChar w:fldCharType="separate"/>
      </w:r>
      <w:r w:rsidR="00711AB8">
        <w:rPr>
          <w:noProof/>
        </w:rPr>
        <w:t>153</w:t>
      </w:r>
      <w:r w:rsidR="00D16240">
        <w:rPr>
          <w:noProof/>
        </w:rPr>
        <w:fldChar w:fldCharType="end"/>
      </w:r>
    </w:p>
    <w:p w14:paraId="65E379D9"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4.6.5.6</w:t>
      </w:r>
      <w:r>
        <w:rPr>
          <w:rFonts w:eastAsiaTheme="minorEastAsia"/>
          <w:noProof/>
          <w:sz w:val="24"/>
          <w:szCs w:val="24"/>
          <w:lang w:eastAsia="ja-JP"/>
        </w:rPr>
        <w:tab/>
      </w:r>
      <w:r>
        <w:rPr>
          <w:noProof/>
        </w:rPr>
        <w:t>Untersuchung der Molekulargewichtsverteilung mittels GPC Analyse</w:t>
      </w:r>
      <w:r>
        <w:rPr>
          <w:noProof/>
        </w:rPr>
        <w:tab/>
      </w:r>
      <w:r w:rsidR="00D16240">
        <w:rPr>
          <w:noProof/>
        </w:rPr>
        <w:fldChar w:fldCharType="begin"/>
      </w:r>
      <w:r>
        <w:rPr>
          <w:noProof/>
        </w:rPr>
        <w:instrText xml:space="preserve"> PAGEREF _Toc294380275 \h </w:instrText>
      </w:r>
      <w:r w:rsidR="00D16240">
        <w:rPr>
          <w:noProof/>
        </w:rPr>
      </w:r>
      <w:r w:rsidR="00D16240">
        <w:rPr>
          <w:noProof/>
        </w:rPr>
        <w:fldChar w:fldCharType="separate"/>
      </w:r>
      <w:r w:rsidR="00711AB8">
        <w:rPr>
          <w:noProof/>
        </w:rPr>
        <w:t>154</w:t>
      </w:r>
      <w:r w:rsidR="00D16240">
        <w:rPr>
          <w:noProof/>
        </w:rPr>
        <w:fldChar w:fldCharType="end"/>
      </w:r>
    </w:p>
    <w:p w14:paraId="62C6686D"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4.6.6</w:t>
      </w:r>
      <w:r>
        <w:rPr>
          <w:rFonts w:eastAsiaTheme="minorEastAsia"/>
          <w:noProof/>
          <w:sz w:val="24"/>
          <w:szCs w:val="24"/>
          <w:lang w:eastAsia="ja-JP"/>
        </w:rPr>
        <w:tab/>
      </w:r>
      <w:r>
        <w:rPr>
          <w:noProof/>
        </w:rPr>
        <w:t>Zusammenfassende Diskussion</w:t>
      </w:r>
      <w:r>
        <w:rPr>
          <w:noProof/>
        </w:rPr>
        <w:tab/>
      </w:r>
      <w:r w:rsidR="00D16240">
        <w:rPr>
          <w:noProof/>
        </w:rPr>
        <w:fldChar w:fldCharType="begin"/>
      </w:r>
      <w:r>
        <w:rPr>
          <w:noProof/>
        </w:rPr>
        <w:instrText xml:space="preserve"> PAGEREF _Toc294380276 \h </w:instrText>
      </w:r>
      <w:r w:rsidR="00D16240">
        <w:rPr>
          <w:noProof/>
        </w:rPr>
      </w:r>
      <w:r w:rsidR="00D16240">
        <w:rPr>
          <w:noProof/>
        </w:rPr>
        <w:fldChar w:fldCharType="separate"/>
      </w:r>
      <w:r w:rsidR="00711AB8">
        <w:rPr>
          <w:noProof/>
        </w:rPr>
        <w:t>157</w:t>
      </w:r>
      <w:r w:rsidR="00D16240">
        <w:rPr>
          <w:noProof/>
        </w:rPr>
        <w:fldChar w:fldCharType="end"/>
      </w:r>
    </w:p>
    <w:p w14:paraId="70A0FB55"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4.7</w:t>
      </w:r>
      <w:r>
        <w:rPr>
          <w:rFonts w:eastAsiaTheme="minorEastAsia"/>
          <w:b w:val="0"/>
          <w:bCs w:val="0"/>
          <w:noProof/>
          <w:sz w:val="24"/>
          <w:szCs w:val="24"/>
          <w:lang w:eastAsia="ja-JP"/>
        </w:rPr>
        <w:tab/>
      </w:r>
      <w:r>
        <w:rPr>
          <w:noProof/>
        </w:rPr>
        <w:t>Resorptions- und Bioverfügbarkeitsuntersuchungen der Desmopressin Formulierungen</w:t>
      </w:r>
      <w:r>
        <w:rPr>
          <w:noProof/>
        </w:rPr>
        <w:tab/>
      </w:r>
      <w:r w:rsidR="00D16240">
        <w:rPr>
          <w:noProof/>
        </w:rPr>
        <w:fldChar w:fldCharType="begin"/>
      </w:r>
      <w:r>
        <w:rPr>
          <w:noProof/>
        </w:rPr>
        <w:instrText xml:space="preserve"> PAGEREF _Toc294380277 \h </w:instrText>
      </w:r>
      <w:r w:rsidR="00D16240">
        <w:rPr>
          <w:noProof/>
        </w:rPr>
      </w:r>
      <w:r w:rsidR="00D16240">
        <w:rPr>
          <w:noProof/>
        </w:rPr>
        <w:fldChar w:fldCharType="separate"/>
      </w:r>
      <w:r w:rsidR="00711AB8">
        <w:rPr>
          <w:noProof/>
        </w:rPr>
        <w:t>159</w:t>
      </w:r>
      <w:r w:rsidR="00D16240">
        <w:rPr>
          <w:noProof/>
        </w:rPr>
        <w:fldChar w:fldCharType="end"/>
      </w:r>
    </w:p>
    <w:p w14:paraId="6AD6CEA2"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4.7.1</w:t>
      </w:r>
      <w:r>
        <w:rPr>
          <w:rFonts w:eastAsiaTheme="minorEastAsia"/>
          <w:noProof/>
          <w:sz w:val="24"/>
          <w:szCs w:val="24"/>
          <w:lang w:eastAsia="ja-JP"/>
        </w:rPr>
        <w:tab/>
      </w:r>
      <w:r>
        <w:rPr>
          <w:noProof/>
        </w:rPr>
        <w:t>In vitro-Charakterisierung</w:t>
      </w:r>
      <w:r>
        <w:rPr>
          <w:noProof/>
        </w:rPr>
        <w:tab/>
      </w:r>
      <w:r w:rsidR="00D16240">
        <w:rPr>
          <w:noProof/>
        </w:rPr>
        <w:fldChar w:fldCharType="begin"/>
      </w:r>
      <w:r>
        <w:rPr>
          <w:noProof/>
        </w:rPr>
        <w:instrText xml:space="preserve"> PAGEREF _Toc294380278 \h </w:instrText>
      </w:r>
      <w:r w:rsidR="00D16240">
        <w:rPr>
          <w:noProof/>
        </w:rPr>
      </w:r>
      <w:r w:rsidR="00D16240">
        <w:rPr>
          <w:noProof/>
        </w:rPr>
        <w:fldChar w:fldCharType="separate"/>
      </w:r>
      <w:r w:rsidR="00711AB8">
        <w:rPr>
          <w:noProof/>
        </w:rPr>
        <w:t>160</w:t>
      </w:r>
      <w:r w:rsidR="00D16240">
        <w:rPr>
          <w:noProof/>
        </w:rPr>
        <w:fldChar w:fldCharType="end"/>
      </w:r>
    </w:p>
    <w:p w14:paraId="4DC20646"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4.7.1.1</w:t>
      </w:r>
      <w:r>
        <w:rPr>
          <w:rFonts w:eastAsiaTheme="minorEastAsia"/>
          <w:noProof/>
          <w:sz w:val="24"/>
          <w:szCs w:val="24"/>
          <w:lang w:eastAsia="ja-JP"/>
        </w:rPr>
        <w:tab/>
      </w:r>
      <w:r>
        <w:rPr>
          <w:noProof/>
        </w:rPr>
        <w:t>In vitro Partikelaufnahme in HeLa und Caco-2 Zellen</w:t>
      </w:r>
      <w:r>
        <w:rPr>
          <w:noProof/>
        </w:rPr>
        <w:tab/>
      </w:r>
      <w:r w:rsidR="00D16240">
        <w:rPr>
          <w:noProof/>
        </w:rPr>
        <w:fldChar w:fldCharType="begin"/>
      </w:r>
      <w:r>
        <w:rPr>
          <w:noProof/>
        </w:rPr>
        <w:instrText xml:space="preserve"> PAGEREF _Toc294380279 \h </w:instrText>
      </w:r>
      <w:r w:rsidR="00D16240">
        <w:rPr>
          <w:noProof/>
        </w:rPr>
      </w:r>
      <w:r w:rsidR="00D16240">
        <w:rPr>
          <w:noProof/>
        </w:rPr>
        <w:fldChar w:fldCharType="separate"/>
      </w:r>
      <w:r w:rsidR="00711AB8">
        <w:rPr>
          <w:noProof/>
        </w:rPr>
        <w:t>160</w:t>
      </w:r>
      <w:r w:rsidR="00D16240">
        <w:rPr>
          <w:noProof/>
        </w:rPr>
        <w:fldChar w:fldCharType="end"/>
      </w:r>
    </w:p>
    <w:p w14:paraId="27779B26" w14:textId="77777777" w:rsidR="00D96E56" w:rsidRDefault="00D96E56">
      <w:pPr>
        <w:pStyle w:val="Verzeichnis5"/>
        <w:tabs>
          <w:tab w:val="right" w:leader="dot" w:pos="9062"/>
        </w:tabs>
        <w:rPr>
          <w:rFonts w:eastAsiaTheme="minorEastAsia"/>
          <w:noProof/>
          <w:sz w:val="24"/>
          <w:szCs w:val="24"/>
          <w:lang w:eastAsia="ja-JP"/>
        </w:rPr>
      </w:pPr>
      <w:r w:rsidRPr="00B07EC2">
        <w:rPr>
          <w:noProof/>
          <w:color w:val="000000" w:themeColor="text1"/>
        </w:rPr>
        <w:t>PLGA Partikel – Aufnahme in HeLa Zellen</w:t>
      </w:r>
      <w:r>
        <w:rPr>
          <w:noProof/>
        </w:rPr>
        <w:tab/>
      </w:r>
      <w:r w:rsidR="00D16240">
        <w:rPr>
          <w:noProof/>
        </w:rPr>
        <w:fldChar w:fldCharType="begin"/>
      </w:r>
      <w:r>
        <w:rPr>
          <w:noProof/>
        </w:rPr>
        <w:instrText xml:space="preserve"> PAGEREF _Toc294380280 \h </w:instrText>
      </w:r>
      <w:r w:rsidR="00D16240">
        <w:rPr>
          <w:noProof/>
        </w:rPr>
      </w:r>
      <w:r w:rsidR="00D16240">
        <w:rPr>
          <w:noProof/>
        </w:rPr>
        <w:fldChar w:fldCharType="separate"/>
      </w:r>
      <w:r w:rsidR="00711AB8">
        <w:rPr>
          <w:noProof/>
        </w:rPr>
        <w:t>161</w:t>
      </w:r>
      <w:r w:rsidR="00D16240">
        <w:rPr>
          <w:noProof/>
        </w:rPr>
        <w:fldChar w:fldCharType="end"/>
      </w:r>
    </w:p>
    <w:p w14:paraId="3287D3FA" w14:textId="77777777" w:rsidR="00D96E56" w:rsidRDefault="00D96E56">
      <w:pPr>
        <w:pStyle w:val="Verzeichnis5"/>
        <w:tabs>
          <w:tab w:val="right" w:leader="dot" w:pos="9062"/>
        </w:tabs>
        <w:rPr>
          <w:rFonts w:eastAsiaTheme="minorEastAsia"/>
          <w:noProof/>
          <w:sz w:val="24"/>
          <w:szCs w:val="24"/>
          <w:lang w:eastAsia="ja-JP"/>
        </w:rPr>
      </w:pPr>
      <w:r w:rsidRPr="00B07EC2">
        <w:rPr>
          <w:noProof/>
          <w:color w:val="000000" w:themeColor="text1"/>
        </w:rPr>
        <w:t>PEA Cystein Partikel – Aufnahme in HeLa Zellen</w:t>
      </w:r>
      <w:r>
        <w:rPr>
          <w:noProof/>
        </w:rPr>
        <w:tab/>
      </w:r>
      <w:r w:rsidR="00D16240">
        <w:rPr>
          <w:noProof/>
        </w:rPr>
        <w:fldChar w:fldCharType="begin"/>
      </w:r>
      <w:r>
        <w:rPr>
          <w:noProof/>
        </w:rPr>
        <w:instrText xml:space="preserve"> PAGEREF _Toc294380281 \h </w:instrText>
      </w:r>
      <w:r w:rsidR="00D16240">
        <w:rPr>
          <w:noProof/>
        </w:rPr>
      </w:r>
      <w:r w:rsidR="00D16240">
        <w:rPr>
          <w:noProof/>
        </w:rPr>
        <w:fldChar w:fldCharType="separate"/>
      </w:r>
      <w:r w:rsidR="00711AB8">
        <w:rPr>
          <w:noProof/>
        </w:rPr>
        <w:t>161</w:t>
      </w:r>
      <w:r w:rsidR="00D16240">
        <w:rPr>
          <w:noProof/>
        </w:rPr>
        <w:fldChar w:fldCharType="end"/>
      </w:r>
    </w:p>
    <w:p w14:paraId="1FDBE920" w14:textId="77777777" w:rsidR="00D96E56" w:rsidRDefault="00D96E56">
      <w:pPr>
        <w:pStyle w:val="Verzeichnis5"/>
        <w:tabs>
          <w:tab w:val="right" w:leader="dot" w:pos="9062"/>
        </w:tabs>
        <w:rPr>
          <w:rFonts w:eastAsiaTheme="minorEastAsia"/>
          <w:noProof/>
          <w:sz w:val="24"/>
          <w:szCs w:val="24"/>
          <w:lang w:eastAsia="ja-JP"/>
        </w:rPr>
      </w:pPr>
      <w:r w:rsidRPr="00B07EC2">
        <w:rPr>
          <w:noProof/>
          <w:color w:val="000000" w:themeColor="text1"/>
        </w:rPr>
        <w:t>PEA Asparaginsäure Partikel – Aufnahme in HeLa Zellen</w:t>
      </w:r>
      <w:r>
        <w:rPr>
          <w:noProof/>
        </w:rPr>
        <w:tab/>
      </w:r>
      <w:r w:rsidR="00D16240">
        <w:rPr>
          <w:noProof/>
        </w:rPr>
        <w:fldChar w:fldCharType="begin"/>
      </w:r>
      <w:r>
        <w:rPr>
          <w:noProof/>
        </w:rPr>
        <w:instrText xml:space="preserve"> PAGEREF _Toc294380282 \h </w:instrText>
      </w:r>
      <w:r w:rsidR="00D16240">
        <w:rPr>
          <w:noProof/>
        </w:rPr>
      </w:r>
      <w:r w:rsidR="00D16240">
        <w:rPr>
          <w:noProof/>
        </w:rPr>
        <w:fldChar w:fldCharType="separate"/>
      </w:r>
      <w:r w:rsidR="00711AB8">
        <w:rPr>
          <w:noProof/>
        </w:rPr>
        <w:t>162</w:t>
      </w:r>
      <w:r w:rsidR="00D16240">
        <w:rPr>
          <w:noProof/>
        </w:rPr>
        <w:fldChar w:fldCharType="end"/>
      </w:r>
    </w:p>
    <w:p w14:paraId="528B3928" w14:textId="77777777" w:rsidR="00D96E56" w:rsidRDefault="00D96E56">
      <w:pPr>
        <w:pStyle w:val="Verzeichnis5"/>
        <w:tabs>
          <w:tab w:val="right" w:leader="dot" w:pos="9062"/>
        </w:tabs>
        <w:rPr>
          <w:rFonts w:eastAsiaTheme="minorEastAsia"/>
          <w:noProof/>
          <w:sz w:val="24"/>
          <w:szCs w:val="24"/>
          <w:lang w:eastAsia="ja-JP"/>
        </w:rPr>
      </w:pPr>
      <w:r w:rsidRPr="00B07EC2">
        <w:rPr>
          <w:noProof/>
        </w:rPr>
        <w:t>PLGA Partikel – Aufnahme in Caco-2 Zellen</w:t>
      </w:r>
      <w:r>
        <w:rPr>
          <w:noProof/>
        </w:rPr>
        <w:tab/>
      </w:r>
      <w:r w:rsidR="00D16240">
        <w:rPr>
          <w:noProof/>
        </w:rPr>
        <w:fldChar w:fldCharType="begin"/>
      </w:r>
      <w:r>
        <w:rPr>
          <w:noProof/>
        </w:rPr>
        <w:instrText xml:space="preserve"> PAGEREF _Toc294380283 \h </w:instrText>
      </w:r>
      <w:r w:rsidR="00D16240">
        <w:rPr>
          <w:noProof/>
        </w:rPr>
      </w:r>
      <w:r w:rsidR="00D16240">
        <w:rPr>
          <w:noProof/>
        </w:rPr>
        <w:fldChar w:fldCharType="separate"/>
      </w:r>
      <w:r w:rsidR="00711AB8">
        <w:rPr>
          <w:noProof/>
        </w:rPr>
        <w:t>163</w:t>
      </w:r>
      <w:r w:rsidR="00D16240">
        <w:rPr>
          <w:noProof/>
        </w:rPr>
        <w:fldChar w:fldCharType="end"/>
      </w:r>
    </w:p>
    <w:p w14:paraId="421C86C7" w14:textId="77777777" w:rsidR="00D96E56" w:rsidRDefault="00D96E56">
      <w:pPr>
        <w:pStyle w:val="Verzeichnis5"/>
        <w:tabs>
          <w:tab w:val="right" w:leader="dot" w:pos="9062"/>
        </w:tabs>
        <w:rPr>
          <w:rFonts w:eastAsiaTheme="minorEastAsia"/>
          <w:noProof/>
          <w:sz w:val="24"/>
          <w:szCs w:val="24"/>
          <w:lang w:eastAsia="ja-JP"/>
        </w:rPr>
      </w:pPr>
      <w:r w:rsidRPr="00B07EC2">
        <w:rPr>
          <w:noProof/>
        </w:rPr>
        <w:t>PEA Cystein Partikel – Aufnahme in Caco-2 Zellen</w:t>
      </w:r>
      <w:r>
        <w:rPr>
          <w:noProof/>
        </w:rPr>
        <w:tab/>
      </w:r>
      <w:r w:rsidR="00D16240">
        <w:rPr>
          <w:noProof/>
        </w:rPr>
        <w:fldChar w:fldCharType="begin"/>
      </w:r>
      <w:r>
        <w:rPr>
          <w:noProof/>
        </w:rPr>
        <w:instrText xml:space="preserve"> PAGEREF _Toc294380284 \h </w:instrText>
      </w:r>
      <w:r w:rsidR="00D16240">
        <w:rPr>
          <w:noProof/>
        </w:rPr>
      </w:r>
      <w:r w:rsidR="00D16240">
        <w:rPr>
          <w:noProof/>
        </w:rPr>
        <w:fldChar w:fldCharType="separate"/>
      </w:r>
      <w:r w:rsidR="00711AB8">
        <w:rPr>
          <w:noProof/>
        </w:rPr>
        <w:t>164</w:t>
      </w:r>
      <w:r w:rsidR="00D16240">
        <w:rPr>
          <w:noProof/>
        </w:rPr>
        <w:fldChar w:fldCharType="end"/>
      </w:r>
    </w:p>
    <w:p w14:paraId="5B6B5290" w14:textId="77777777" w:rsidR="00D96E56" w:rsidRDefault="00D96E56">
      <w:pPr>
        <w:pStyle w:val="Verzeichnis5"/>
        <w:tabs>
          <w:tab w:val="right" w:leader="dot" w:pos="9062"/>
        </w:tabs>
        <w:rPr>
          <w:rFonts w:eastAsiaTheme="minorEastAsia"/>
          <w:noProof/>
          <w:sz w:val="24"/>
          <w:szCs w:val="24"/>
          <w:lang w:eastAsia="ja-JP"/>
        </w:rPr>
      </w:pPr>
      <w:r w:rsidRPr="00B07EC2">
        <w:rPr>
          <w:noProof/>
        </w:rPr>
        <w:t>PEA Asparaginsäure Partikel – Aufnahme in Caco-2 Zellen</w:t>
      </w:r>
      <w:r>
        <w:rPr>
          <w:noProof/>
        </w:rPr>
        <w:tab/>
      </w:r>
      <w:r w:rsidR="00D16240">
        <w:rPr>
          <w:noProof/>
        </w:rPr>
        <w:fldChar w:fldCharType="begin"/>
      </w:r>
      <w:r>
        <w:rPr>
          <w:noProof/>
        </w:rPr>
        <w:instrText xml:space="preserve"> PAGEREF _Toc294380285 \h </w:instrText>
      </w:r>
      <w:r w:rsidR="00D16240">
        <w:rPr>
          <w:noProof/>
        </w:rPr>
      </w:r>
      <w:r w:rsidR="00D16240">
        <w:rPr>
          <w:noProof/>
        </w:rPr>
        <w:fldChar w:fldCharType="separate"/>
      </w:r>
      <w:r w:rsidR="00711AB8">
        <w:rPr>
          <w:noProof/>
        </w:rPr>
        <w:t>165</w:t>
      </w:r>
      <w:r w:rsidR="00D16240">
        <w:rPr>
          <w:noProof/>
        </w:rPr>
        <w:fldChar w:fldCharType="end"/>
      </w:r>
    </w:p>
    <w:p w14:paraId="3F4B4916"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4.7.1.2</w:t>
      </w:r>
      <w:r>
        <w:rPr>
          <w:rFonts w:eastAsiaTheme="minorEastAsia"/>
          <w:noProof/>
          <w:sz w:val="24"/>
          <w:szCs w:val="24"/>
          <w:lang w:eastAsia="ja-JP"/>
        </w:rPr>
        <w:tab/>
      </w:r>
      <w:r>
        <w:rPr>
          <w:noProof/>
        </w:rPr>
        <w:t>In vitro-Resorptionsstudien am Caco-2-Zellmodell</w:t>
      </w:r>
      <w:r>
        <w:rPr>
          <w:noProof/>
        </w:rPr>
        <w:tab/>
      </w:r>
      <w:r w:rsidR="00D16240">
        <w:rPr>
          <w:noProof/>
        </w:rPr>
        <w:fldChar w:fldCharType="begin"/>
      </w:r>
      <w:r>
        <w:rPr>
          <w:noProof/>
        </w:rPr>
        <w:instrText xml:space="preserve"> PAGEREF _Toc294380286 \h </w:instrText>
      </w:r>
      <w:r w:rsidR="00D16240">
        <w:rPr>
          <w:noProof/>
        </w:rPr>
      </w:r>
      <w:r w:rsidR="00D16240">
        <w:rPr>
          <w:noProof/>
        </w:rPr>
        <w:fldChar w:fldCharType="separate"/>
      </w:r>
      <w:r w:rsidR="00711AB8">
        <w:rPr>
          <w:noProof/>
        </w:rPr>
        <w:t>165</w:t>
      </w:r>
      <w:r w:rsidR="00D16240">
        <w:rPr>
          <w:noProof/>
        </w:rPr>
        <w:fldChar w:fldCharType="end"/>
      </w:r>
    </w:p>
    <w:p w14:paraId="463FA49D"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4.7.2</w:t>
      </w:r>
      <w:r>
        <w:rPr>
          <w:rFonts w:eastAsiaTheme="minorEastAsia"/>
          <w:noProof/>
          <w:sz w:val="24"/>
          <w:szCs w:val="24"/>
          <w:lang w:eastAsia="ja-JP"/>
        </w:rPr>
        <w:tab/>
      </w:r>
      <w:r w:rsidRPr="00B07EC2">
        <w:rPr>
          <w:i/>
          <w:noProof/>
        </w:rPr>
        <w:t>In  vivo</w:t>
      </w:r>
      <w:r>
        <w:rPr>
          <w:noProof/>
        </w:rPr>
        <w:t>-Charakterisierung</w:t>
      </w:r>
      <w:r>
        <w:rPr>
          <w:noProof/>
        </w:rPr>
        <w:tab/>
      </w:r>
      <w:r w:rsidR="00D16240">
        <w:rPr>
          <w:noProof/>
        </w:rPr>
        <w:fldChar w:fldCharType="begin"/>
      </w:r>
      <w:r>
        <w:rPr>
          <w:noProof/>
        </w:rPr>
        <w:instrText xml:space="preserve"> PAGEREF _Toc294380287 \h </w:instrText>
      </w:r>
      <w:r w:rsidR="00D16240">
        <w:rPr>
          <w:noProof/>
        </w:rPr>
      </w:r>
      <w:r w:rsidR="00D16240">
        <w:rPr>
          <w:noProof/>
        </w:rPr>
        <w:fldChar w:fldCharType="separate"/>
      </w:r>
      <w:r w:rsidR="00711AB8">
        <w:rPr>
          <w:noProof/>
        </w:rPr>
        <w:t>168</w:t>
      </w:r>
      <w:r w:rsidR="00D16240">
        <w:rPr>
          <w:noProof/>
        </w:rPr>
        <w:fldChar w:fldCharType="end"/>
      </w:r>
    </w:p>
    <w:p w14:paraId="129AE9CA"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4.7.2.1</w:t>
      </w:r>
      <w:r>
        <w:rPr>
          <w:rFonts w:eastAsiaTheme="minorEastAsia"/>
          <w:noProof/>
          <w:sz w:val="24"/>
          <w:szCs w:val="24"/>
          <w:lang w:eastAsia="ja-JP"/>
        </w:rPr>
        <w:tab/>
      </w:r>
      <w:r>
        <w:rPr>
          <w:noProof/>
        </w:rPr>
        <w:t>In vivo-Untersuchung der Bioverfügbarkeit am Tiermodell</w:t>
      </w:r>
      <w:r>
        <w:rPr>
          <w:noProof/>
        </w:rPr>
        <w:tab/>
      </w:r>
      <w:r w:rsidR="00D16240">
        <w:rPr>
          <w:noProof/>
        </w:rPr>
        <w:fldChar w:fldCharType="begin"/>
      </w:r>
      <w:r>
        <w:rPr>
          <w:noProof/>
        </w:rPr>
        <w:instrText xml:space="preserve"> PAGEREF _Toc294380288 \h </w:instrText>
      </w:r>
      <w:r w:rsidR="00D16240">
        <w:rPr>
          <w:noProof/>
        </w:rPr>
      </w:r>
      <w:r w:rsidR="00D16240">
        <w:rPr>
          <w:noProof/>
        </w:rPr>
        <w:fldChar w:fldCharType="separate"/>
      </w:r>
      <w:r w:rsidR="00711AB8">
        <w:rPr>
          <w:noProof/>
        </w:rPr>
        <w:t>168</w:t>
      </w:r>
      <w:r w:rsidR="00D16240">
        <w:rPr>
          <w:noProof/>
        </w:rPr>
        <w:fldChar w:fldCharType="end"/>
      </w:r>
    </w:p>
    <w:p w14:paraId="5C079A30" w14:textId="77777777" w:rsidR="00D96E56" w:rsidRDefault="00D96E56">
      <w:pPr>
        <w:pStyle w:val="Verzeichnis5"/>
        <w:tabs>
          <w:tab w:val="right" w:leader="dot" w:pos="9062"/>
        </w:tabs>
        <w:rPr>
          <w:rFonts w:eastAsiaTheme="minorEastAsia"/>
          <w:noProof/>
          <w:sz w:val="24"/>
          <w:szCs w:val="24"/>
          <w:lang w:eastAsia="ja-JP"/>
        </w:rPr>
      </w:pPr>
      <w:r w:rsidRPr="00B07EC2">
        <w:rPr>
          <w:noProof/>
        </w:rPr>
        <w:t>Untersuchung der oralen Bioverfügbarkeit der Partikelformulierungen</w:t>
      </w:r>
      <w:r>
        <w:rPr>
          <w:noProof/>
        </w:rPr>
        <w:tab/>
      </w:r>
      <w:r w:rsidR="00D16240">
        <w:rPr>
          <w:noProof/>
        </w:rPr>
        <w:fldChar w:fldCharType="begin"/>
      </w:r>
      <w:r>
        <w:rPr>
          <w:noProof/>
        </w:rPr>
        <w:instrText xml:space="preserve"> PAGEREF _Toc294380289 \h </w:instrText>
      </w:r>
      <w:r w:rsidR="00D16240">
        <w:rPr>
          <w:noProof/>
        </w:rPr>
      </w:r>
      <w:r w:rsidR="00D16240">
        <w:rPr>
          <w:noProof/>
        </w:rPr>
        <w:fldChar w:fldCharType="separate"/>
      </w:r>
      <w:r w:rsidR="00711AB8">
        <w:rPr>
          <w:noProof/>
        </w:rPr>
        <w:t>171</w:t>
      </w:r>
      <w:r w:rsidR="00D16240">
        <w:rPr>
          <w:noProof/>
        </w:rPr>
        <w:fldChar w:fldCharType="end"/>
      </w:r>
    </w:p>
    <w:p w14:paraId="2AB2F8EF" w14:textId="77777777" w:rsidR="00D96E56" w:rsidRDefault="00D96E56">
      <w:pPr>
        <w:pStyle w:val="Verzeichnis5"/>
        <w:tabs>
          <w:tab w:val="right" w:leader="dot" w:pos="9062"/>
        </w:tabs>
        <w:rPr>
          <w:rFonts w:eastAsiaTheme="minorEastAsia"/>
          <w:noProof/>
          <w:sz w:val="24"/>
          <w:szCs w:val="24"/>
          <w:lang w:eastAsia="ja-JP"/>
        </w:rPr>
      </w:pPr>
      <w:r w:rsidRPr="00B07EC2">
        <w:rPr>
          <w:noProof/>
        </w:rPr>
        <w:t>Orale Lösung von Desmopressinacetat als Referenz</w:t>
      </w:r>
      <w:r>
        <w:rPr>
          <w:noProof/>
        </w:rPr>
        <w:tab/>
      </w:r>
      <w:r w:rsidR="00D16240">
        <w:rPr>
          <w:noProof/>
        </w:rPr>
        <w:fldChar w:fldCharType="begin"/>
      </w:r>
      <w:r>
        <w:rPr>
          <w:noProof/>
        </w:rPr>
        <w:instrText xml:space="preserve"> PAGEREF _Toc294380290 \h </w:instrText>
      </w:r>
      <w:r w:rsidR="00D16240">
        <w:rPr>
          <w:noProof/>
        </w:rPr>
      </w:r>
      <w:r w:rsidR="00D16240">
        <w:rPr>
          <w:noProof/>
        </w:rPr>
        <w:fldChar w:fldCharType="separate"/>
      </w:r>
      <w:r w:rsidR="00711AB8">
        <w:rPr>
          <w:noProof/>
        </w:rPr>
        <w:t>173</w:t>
      </w:r>
      <w:r w:rsidR="00D16240">
        <w:rPr>
          <w:noProof/>
        </w:rPr>
        <w:fldChar w:fldCharType="end"/>
      </w:r>
    </w:p>
    <w:p w14:paraId="2F04A5F8" w14:textId="77777777" w:rsidR="00D96E56" w:rsidRDefault="00D96E56">
      <w:pPr>
        <w:pStyle w:val="Verzeichnis5"/>
        <w:tabs>
          <w:tab w:val="right" w:leader="dot" w:pos="9062"/>
        </w:tabs>
        <w:rPr>
          <w:rFonts w:eastAsiaTheme="minorEastAsia"/>
          <w:noProof/>
          <w:sz w:val="24"/>
          <w:szCs w:val="24"/>
          <w:lang w:eastAsia="ja-JP"/>
        </w:rPr>
      </w:pPr>
      <w:r w:rsidRPr="00B07EC2">
        <w:rPr>
          <w:noProof/>
        </w:rPr>
        <w:t>Berechnung der absoluten oralen Bioverfügbarkeit der Partikelformulierungen</w:t>
      </w:r>
      <w:r>
        <w:rPr>
          <w:noProof/>
        </w:rPr>
        <w:tab/>
      </w:r>
      <w:r w:rsidR="00D16240">
        <w:rPr>
          <w:noProof/>
        </w:rPr>
        <w:fldChar w:fldCharType="begin"/>
      </w:r>
      <w:r>
        <w:rPr>
          <w:noProof/>
        </w:rPr>
        <w:instrText xml:space="preserve"> PAGEREF _Toc294380291 \h </w:instrText>
      </w:r>
      <w:r w:rsidR="00D16240">
        <w:rPr>
          <w:noProof/>
        </w:rPr>
      </w:r>
      <w:r w:rsidR="00D16240">
        <w:rPr>
          <w:noProof/>
        </w:rPr>
        <w:fldChar w:fldCharType="separate"/>
      </w:r>
      <w:r w:rsidR="00711AB8">
        <w:rPr>
          <w:noProof/>
        </w:rPr>
        <w:t>175</w:t>
      </w:r>
      <w:r w:rsidR="00D16240">
        <w:rPr>
          <w:noProof/>
        </w:rPr>
        <w:fldChar w:fldCharType="end"/>
      </w:r>
    </w:p>
    <w:p w14:paraId="605FD6F6" w14:textId="77777777" w:rsidR="00D96E56" w:rsidRDefault="00D96E56">
      <w:pPr>
        <w:pStyle w:val="Verzeichnis5"/>
        <w:tabs>
          <w:tab w:val="right" w:leader="dot" w:pos="9062"/>
        </w:tabs>
        <w:rPr>
          <w:rFonts w:eastAsiaTheme="minorEastAsia"/>
          <w:noProof/>
          <w:sz w:val="24"/>
          <w:szCs w:val="24"/>
          <w:lang w:eastAsia="ja-JP"/>
        </w:rPr>
      </w:pPr>
      <w:r w:rsidRPr="00B07EC2">
        <w:rPr>
          <w:noProof/>
        </w:rPr>
        <w:t>Untersuchung der rektalen Bioverfügbarkeit der Partikelformulierungen</w:t>
      </w:r>
      <w:r>
        <w:rPr>
          <w:noProof/>
        </w:rPr>
        <w:tab/>
      </w:r>
      <w:r w:rsidR="00D16240">
        <w:rPr>
          <w:noProof/>
        </w:rPr>
        <w:fldChar w:fldCharType="begin"/>
      </w:r>
      <w:r>
        <w:rPr>
          <w:noProof/>
        </w:rPr>
        <w:instrText xml:space="preserve"> PAGEREF _Toc294380292 \h </w:instrText>
      </w:r>
      <w:r w:rsidR="00D16240">
        <w:rPr>
          <w:noProof/>
        </w:rPr>
      </w:r>
      <w:r w:rsidR="00D16240">
        <w:rPr>
          <w:noProof/>
        </w:rPr>
        <w:fldChar w:fldCharType="separate"/>
      </w:r>
      <w:r w:rsidR="00711AB8">
        <w:rPr>
          <w:noProof/>
        </w:rPr>
        <w:t>176</w:t>
      </w:r>
      <w:r w:rsidR="00D16240">
        <w:rPr>
          <w:noProof/>
        </w:rPr>
        <w:fldChar w:fldCharType="end"/>
      </w:r>
    </w:p>
    <w:p w14:paraId="57C67A3A" w14:textId="77777777" w:rsidR="00D96E56" w:rsidRDefault="00D96E56">
      <w:pPr>
        <w:pStyle w:val="Verzeichnis4"/>
        <w:tabs>
          <w:tab w:val="left" w:pos="1286"/>
          <w:tab w:val="right" w:leader="dot" w:pos="9062"/>
        </w:tabs>
        <w:rPr>
          <w:rFonts w:eastAsiaTheme="minorEastAsia"/>
          <w:noProof/>
          <w:sz w:val="24"/>
          <w:szCs w:val="24"/>
          <w:lang w:eastAsia="ja-JP"/>
        </w:rPr>
      </w:pPr>
      <w:r>
        <w:rPr>
          <w:noProof/>
        </w:rPr>
        <w:t>4.7.2.2</w:t>
      </w:r>
      <w:r>
        <w:rPr>
          <w:rFonts w:eastAsiaTheme="minorEastAsia"/>
          <w:noProof/>
          <w:sz w:val="24"/>
          <w:szCs w:val="24"/>
          <w:lang w:eastAsia="ja-JP"/>
        </w:rPr>
        <w:tab/>
      </w:r>
      <w:r>
        <w:rPr>
          <w:noProof/>
        </w:rPr>
        <w:t>Anmerkung zur in vivo-Toxizität der Partikelformulierungen</w:t>
      </w:r>
      <w:r>
        <w:rPr>
          <w:noProof/>
        </w:rPr>
        <w:tab/>
      </w:r>
      <w:r w:rsidR="00D16240">
        <w:rPr>
          <w:noProof/>
        </w:rPr>
        <w:fldChar w:fldCharType="begin"/>
      </w:r>
      <w:r>
        <w:rPr>
          <w:noProof/>
        </w:rPr>
        <w:instrText xml:space="preserve"> PAGEREF _Toc294380293 \h </w:instrText>
      </w:r>
      <w:r w:rsidR="00D16240">
        <w:rPr>
          <w:noProof/>
        </w:rPr>
      </w:r>
      <w:r w:rsidR="00D16240">
        <w:rPr>
          <w:noProof/>
        </w:rPr>
        <w:fldChar w:fldCharType="separate"/>
      </w:r>
      <w:r w:rsidR="00711AB8">
        <w:rPr>
          <w:noProof/>
        </w:rPr>
        <w:t>177</w:t>
      </w:r>
      <w:r w:rsidR="00D16240">
        <w:rPr>
          <w:noProof/>
        </w:rPr>
        <w:fldChar w:fldCharType="end"/>
      </w:r>
    </w:p>
    <w:p w14:paraId="744BDB42"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4.7.3</w:t>
      </w:r>
      <w:r>
        <w:rPr>
          <w:rFonts w:eastAsiaTheme="minorEastAsia"/>
          <w:noProof/>
          <w:sz w:val="24"/>
          <w:szCs w:val="24"/>
          <w:lang w:eastAsia="ja-JP"/>
        </w:rPr>
        <w:tab/>
      </w:r>
      <w:r w:rsidRPr="00B07EC2">
        <w:rPr>
          <w:i/>
          <w:noProof/>
        </w:rPr>
        <w:t>In vitro</w:t>
      </w:r>
      <w:r>
        <w:rPr>
          <w:noProof/>
        </w:rPr>
        <w:t xml:space="preserve">- </w:t>
      </w:r>
      <w:r w:rsidRPr="00B07EC2">
        <w:rPr>
          <w:i/>
          <w:noProof/>
        </w:rPr>
        <w:t>in vivo</w:t>
      </w:r>
      <w:r>
        <w:rPr>
          <w:noProof/>
        </w:rPr>
        <w:t>-Korrelation</w:t>
      </w:r>
      <w:r>
        <w:rPr>
          <w:noProof/>
        </w:rPr>
        <w:tab/>
      </w:r>
      <w:r w:rsidR="00D16240">
        <w:rPr>
          <w:noProof/>
        </w:rPr>
        <w:fldChar w:fldCharType="begin"/>
      </w:r>
      <w:r>
        <w:rPr>
          <w:noProof/>
        </w:rPr>
        <w:instrText xml:space="preserve"> PAGEREF _Toc294380294 \h </w:instrText>
      </w:r>
      <w:r w:rsidR="00D16240">
        <w:rPr>
          <w:noProof/>
        </w:rPr>
      </w:r>
      <w:r w:rsidR="00D16240">
        <w:rPr>
          <w:noProof/>
        </w:rPr>
        <w:fldChar w:fldCharType="separate"/>
      </w:r>
      <w:r w:rsidR="00711AB8">
        <w:rPr>
          <w:noProof/>
        </w:rPr>
        <w:t>178</w:t>
      </w:r>
      <w:r w:rsidR="00D16240">
        <w:rPr>
          <w:noProof/>
        </w:rPr>
        <w:fldChar w:fldCharType="end"/>
      </w:r>
    </w:p>
    <w:p w14:paraId="1D276B2A"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4.7.4</w:t>
      </w:r>
      <w:r>
        <w:rPr>
          <w:rFonts w:eastAsiaTheme="minorEastAsia"/>
          <w:noProof/>
          <w:sz w:val="24"/>
          <w:szCs w:val="24"/>
          <w:lang w:eastAsia="ja-JP"/>
        </w:rPr>
        <w:tab/>
      </w:r>
      <w:r>
        <w:rPr>
          <w:noProof/>
        </w:rPr>
        <w:t>Zusammenfassende Diskussion</w:t>
      </w:r>
      <w:r>
        <w:rPr>
          <w:noProof/>
        </w:rPr>
        <w:tab/>
      </w:r>
      <w:r w:rsidR="00D16240">
        <w:rPr>
          <w:noProof/>
        </w:rPr>
        <w:fldChar w:fldCharType="begin"/>
      </w:r>
      <w:r>
        <w:rPr>
          <w:noProof/>
        </w:rPr>
        <w:instrText xml:space="preserve"> PAGEREF _Toc294380295 \h </w:instrText>
      </w:r>
      <w:r w:rsidR="00D16240">
        <w:rPr>
          <w:noProof/>
        </w:rPr>
      </w:r>
      <w:r w:rsidR="00D16240">
        <w:rPr>
          <w:noProof/>
        </w:rPr>
        <w:fldChar w:fldCharType="separate"/>
      </w:r>
      <w:r w:rsidR="00711AB8">
        <w:rPr>
          <w:noProof/>
        </w:rPr>
        <w:t>180</w:t>
      </w:r>
      <w:r w:rsidR="00D16240">
        <w:rPr>
          <w:noProof/>
        </w:rPr>
        <w:fldChar w:fldCharType="end"/>
      </w:r>
    </w:p>
    <w:p w14:paraId="0C46EB39" w14:textId="77777777" w:rsidR="00D96E56" w:rsidRDefault="00D96E56">
      <w:pPr>
        <w:pStyle w:val="Verzeichnis1"/>
        <w:tabs>
          <w:tab w:val="left" w:pos="422"/>
        </w:tabs>
        <w:rPr>
          <w:rFonts w:asciiTheme="minorHAnsi" w:eastAsiaTheme="minorEastAsia" w:hAnsiTheme="minorHAnsi"/>
          <w:b w:val="0"/>
          <w:noProof/>
          <w:sz w:val="24"/>
          <w:szCs w:val="24"/>
          <w:lang w:eastAsia="ja-JP"/>
        </w:rPr>
      </w:pPr>
      <w:r>
        <w:rPr>
          <w:noProof/>
        </w:rPr>
        <w:lastRenderedPageBreak/>
        <w:t>5</w:t>
      </w:r>
      <w:r>
        <w:rPr>
          <w:rFonts w:asciiTheme="minorHAnsi" w:eastAsiaTheme="minorEastAsia" w:hAnsiTheme="minorHAnsi"/>
          <w:b w:val="0"/>
          <w:noProof/>
          <w:sz w:val="24"/>
          <w:szCs w:val="24"/>
          <w:lang w:eastAsia="ja-JP"/>
        </w:rPr>
        <w:tab/>
      </w:r>
      <w:r>
        <w:rPr>
          <w:noProof/>
        </w:rPr>
        <w:t>Zusammenfassung der Arbeit und Ausblick</w:t>
      </w:r>
      <w:r>
        <w:rPr>
          <w:noProof/>
        </w:rPr>
        <w:tab/>
      </w:r>
      <w:r w:rsidR="00D16240">
        <w:rPr>
          <w:noProof/>
        </w:rPr>
        <w:fldChar w:fldCharType="begin"/>
      </w:r>
      <w:r>
        <w:rPr>
          <w:noProof/>
        </w:rPr>
        <w:instrText xml:space="preserve"> PAGEREF _Toc294380296 \h </w:instrText>
      </w:r>
      <w:r w:rsidR="00D16240">
        <w:rPr>
          <w:noProof/>
        </w:rPr>
      </w:r>
      <w:r w:rsidR="00D16240">
        <w:rPr>
          <w:noProof/>
        </w:rPr>
        <w:fldChar w:fldCharType="separate"/>
      </w:r>
      <w:r w:rsidR="00711AB8">
        <w:rPr>
          <w:noProof/>
        </w:rPr>
        <w:t>181</w:t>
      </w:r>
      <w:r w:rsidR="00D16240">
        <w:rPr>
          <w:noProof/>
        </w:rPr>
        <w:fldChar w:fldCharType="end"/>
      </w:r>
    </w:p>
    <w:p w14:paraId="17BAAFB1"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5.1</w:t>
      </w:r>
      <w:r>
        <w:rPr>
          <w:rFonts w:eastAsiaTheme="minorEastAsia"/>
          <w:b w:val="0"/>
          <w:bCs w:val="0"/>
          <w:noProof/>
          <w:sz w:val="24"/>
          <w:szCs w:val="24"/>
          <w:lang w:eastAsia="ja-JP"/>
        </w:rPr>
        <w:tab/>
      </w:r>
      <w:r>
        <w:rPr>
          <w:noProof/>
        </w:rPr>
        <w:t>Zusammenfassungen</w:t>
      </w:r>
      <w:r>
        <w:rPr>
          <w:noProof/>
        </w:rPr>
        <w:tab/>
      </w:r>
      <w:r w:rsidR="00D16240">
        <w:rPr>
          <w:noProof/>
        </w:rPr>
        <w:fldChar w:fldCharType="begin"/>
      </w:r>
      <w:r>
        <w:rPr>
          <w:noProof/>
        </w:rPr>
        <w:instrText xml:space="preserve"> PAGEREF _Toc294380297 \h </w:instrText>
      </w:r>
      <w:r w:rsidR="00D16240">
        <w:rPr>
          <w:noProof/>
        </w:rPr>
      </w:r>
      <w:r w:rsidR="00D16240">
        <w:rPr>
          <w:noProof/>
        </w:rPr>
        <w:fldChar w:fldCharType="separate"/>
      </w:r>
      <w:r w:rsidR="00711AB8">
        <w:rPr>
          <w:noProof/>
        </w:rPr>
        <w:t>181</w:t>
      </w:r>
      <w:r w:rsidR="00D16240">
        <w:rPr>
          <w:noProof/>
        </w:rPr>
        <w:fldChar w:fldCharType="end"/>
      </w:r>
    </w:p>
    <w:p w14:paraId="6FF2E5CD"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5.1.1</w:t>
      </w:r>
      <w:r>
        <w:rPr>
          <w:rFonts w:eastAsiaTheme="minorEastAsia"/>
          <w:noProof/>
          <w:sz w:val="24"/>
          <w:szCs w:val="24"/>
          <w:lang w:eastAsia="ja-JP"/>
        </w:rPr>
        <w:tab/>
      </w:r>
      <w:r>
        <w:rPr>
          <w:noProof/>
        </w:rPr>
        <w:t>Deutsche Zusammenfassung</w:t>
      </w:r>
      <w:r>
        <w:rPr>
          <w:noProof/>
        </w:rPr>
        <w:tab/>
      </w:r>
      <w:r w:rsidR="00D16240">
        <w:rPr>
          <w:noProof/>
        </w:rPr>
        <w:fldChar w:fldCharType="begin"/>
      </w:r>
      <w:r>
        <w:rPr>
          <w:noProof/>
        </w:rPr>
        <w:instrText xml:space="preserve"> PAGEREF _Toc294380298 \h </w:instrText>
      </w:r>
      <w:r w:rsidR="00D16240">
        <w:rPr>
          <w:noProof/>
        </w:rPr>
      </w:r>
      <w:r w:rsidR="00D16240">
        <w:rPr>
          <w:noProof/>
        </w:rPr>
        <w:fldChar w:fldCharType="separate"/>
      </w:r>
      <w:r w:rsidR="00711AB8">
        <w:rPr>
          <w:noProof/>
        </w:rPr>
        <w:t>181</w:t>
      </w:r>
      <w:r w:rsidR="00D16240">
        <w:rPr>
          <w:noProof/>
        </w:rPr>
        <w:fldChar w:fldCharType="end"/>
      </w:r>
    </w:p>
    <w:p w14:paraId="5466D4C5" w14:textId="77777777" w:rsidR="00D96E56" w:rsidRDefault="00D96E56">
      <w:pPr>
        <w:pStyle w:val="Verzeichnis3"/>
        <w:tabs>
          <w:tab w:val="left" w:pos="894"/>
          <w:tab w:val="right" w:leader="dot" w:pos="9062"/>
        </w:tabs>
        <w:rPr>
          <w:rFonts w:eastAsiaTheme="minorEastAsia"/>
          <w:noProof/>
          <w:sz w:val="24"/>
          <w:szCs w:val="24"/>
          <w:lang w:eastAsia="ja-JP"/>
        </w:rPr>
      </w:pPr>
      <w:r>
        <w:rPr>
          <w:noProof/>
        </w:rPr>
        <w:t>5.1.2</w:t>
      </w:r>
      <w:r>
        <w:rPr>
          <w:rFonts w:eastAsiaTheme="minorEastAsia"/>
          <w:noProof/>
          <w:sz w:val="24"/>
          <w:szCs w:val="24"/>
          <w:lang w:eastAsia="ja-JP"/>
        </w:rPr>
        <w:tab/>
      </w:r>
      <w:r>
        <w:rPr>
          <w:noProof/>
        </w:rPr>
        <w:t>Englische Zusammenfassung</w:t>
      </w:r>
      <w:r>
        <w:rPr>
          <w:noProof/>
        </w:rPr>
        <w:tab/>
      </w:r>
      <w:r w:rsidR="00D16240">
        <w:rPr>
          <w:noProof/>
        </w:rPr>
        <w:fldChar w:fldCharType="begin"/>
      </w:r>
      <w:r>
        <w:rPr>
          <w:noProof/>
        </w:rPr>
        <w:instrText xml:space="preserve"> PAGEREF _Toc294380299 \h </w:instrText>
      </w:r>
      <w:r w:rsidR="00D16240">
        <w:rPr>
          <w:noProof/>
        </w:rPr>
      </w:r>
      <w:r w:rsidR="00D16240">
        <w:rPr>
          <w:noProof/>
        </w:rPr>
        <w:fldChar w:fldCharType="separate"/>
      </w:r>
      <w:r w:rsidR="00711AB8">
        <w:rPr>
          <w:noProof/>
        </w:rPr>
        <w:t>182</w:t>
      </w:r>
      <w:r w:rsidR="00D16240">
        <w:rPr>
          <w:noProof/>
        </w:rPr>
        <w:fldChar w:fldCharType="end"/>
      </w:r>
    </w:p>
    <w:p w14:paraId="07FD679B"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5.2</w:t>
      </w:r>
      <w:r>
        <w:rPr>
          <w:rFonts w:eastAsiaTheme="minorEastAsia"/>
          <w:b w:val="0"/>
          <w:bCs w:val="0"/>
          <w:noProof/>
          <w:sz w:val="24"/>
          <w:szCs w:val="24"/>
          <w:lang w:eastAsia="ja-JP"/>
        </w:rPr>
        <w:tab/>
      </w:r>
      <w:r>
        <w:rPr>
          <w:noProof/>
        </w:rPr>
        <w:t>Ausblick</w:t>
      </w:r>
      <w:r>
        <w:rPr>
          <w:noProof/>
        </w:rPr>
        <w:tab/>
      </w:r>
      <w:r w:rsidR="00D16240">
        <w:rPr>
          <w:noProof/>
        </w:rPr>
        <w:fldChar w:fldCharType="begin"/>
      </w:r>
      <w:r>
        <w:rPr>
          <w:noProof/>
        </w:rPr>
        <w:instrText xml:space="preserve"> PAGEREF _Toc294380300 \h </w:instrText>
      </w:r>
      <w:r w:rsidR="00D16240">
        <w:rPr>
          <w:noProof/>
        </w:rPr>
      </w:r>
      <w:r w:rsidR="00D16240">
        <w:rPr>
          <w:noProof/>
        </w:rPr>
        <w:fldChar w:fldCharType="separate"/>
      </w:r>
      <w:r w:rsidR="00711AB8">
        <w:rPr>
          <w:noProof/>
        </w:rPr>
        <w:t>182</w:t>
      </w:r>
      <w:r w:rsidR="00D16240">
        <w:rPr>
          <w:noProof/>
        </w:rPr>
        <w:fldChar w:fldCharType="end"/>
      </w:r>
    </w:p>
    <w:p w14:paraId="1F7C5737" w14:textId="77777777" w:rsidR="00D96E56" w:rsidRDefault="00D96E56">
      <w:pPr>
        <w:pStyle w:val="Verzeichnis2"/>
        <w:tabs>
          <w:tab w:val="left" w:pos="523"/>
          <w:tab w:val="right" w:leader="dot" w:pos="9062"/>
        </w:tabs>
        <w:rPr>
          <w:rFonts w:eastAsiaTheme="minorEastAsia"/>
          <w:b w:val="0"/>
          <w:bCs w:val="0"/>
          <w:noProof/>
          <w:sz w:val="24"/>
          <w:szCs w:val="24"/>
          <w:lang w:eastAsia="ja-JP"/>
        </w:rPr>
      </w:pPr>
      <w:r>
        <w:rPr>
          <w:noProof/>
        </w:rPr>
        <w:t>5.3</w:t>
      </w:r>
      <w:r>
        <w:rPr>
          <w:rFonts w:eastAsiaTheme="minorEastAsia"/>
          <w:b w:val="0"/>
          <w:bCs w:val="0"/>
          <w:noProof/>
          <w:sz w:val="24"/>
          <w:szCs w:val="24"/>
          <w:lang w:eastAsia="ja-JP"/>
        </w:rPr>
        <w:tab/>
      </w:r>
      <w:r>
        <w:rPr>
          <w:noProof/>
        </w:rPr>
        <w:t>Schlussbemerkung</w:t>
      </w:r>
      <w:r>
        <w:rPr>
          <w:noProof/>
        </w:rPr>
        <w:tab/>
      </w:r>
      <w:r w:rsidR="00D16240">
        <w:rPr>
          <w:noProof/>
        </w:rPr>
        <w:fldChar w:fldCharType="begin"/>
      </w:r>
      <w:r>
        <w:rPr>
          <w:noProof/>
        </w:rPr>
        <w:instrText xml:space="preserve"> PAGEREF _Toc294380301 \h </w:instrText>
      </w:r>
      <w:r w:rsidR="00D16240">
        <w:rPr>
          <w:noProof/>
        </w:rPr>
      </w:r>
      <w:r w:rsidR="00D16240">
        <w:rPr>
          <w:noProof/>
        </w:rPr>
        <w:fldChar w:fldCharType="separate"/>
      </w:r>
      <w:r w:rsidR="00711AB8">
        <w:rPr>
          <w:noProof/>
        </w:rPr>
        <w:t>183</w:t>
      </w:r>
      <w:r w:rsidR="00D16240">
        <w:rPr>
          <w:noProof/>
        </w:rPr>
        <w:fldChar w:fldCharType="end"/>
      </w:r>
    </w:p>
    <w:p w14:paraId="002A8B69" w14:textId="77777777" w:rsidR="00D96E56" w:rsidRDefault="00D96E56">
      <w:pPr>
        <w:pStyle w:val="Verzeichnis1"/>
        <w:tabs>
          <w:tab w:val="left" w:pos="422"/>
        </w:tabs>
        <w:rPr>
          <w:rFonts w:asciiTheme="minorHAnsi" w:eastAsiaTheme="minorEastAsia" w:hAnsiTheme="minorHAnsi"/>
          <w:b w:val="0"/>
          <w:noProof/>
          <w:sz w:val="24"/>
          <w:szCs w:val="24"/>
          <w:lang w:eastAsia="ja-JP"/>
        </w:rPr>
      </w:pPr>
      <w:r>
        <w:rPr>
          <w:noProof/>
        </w:rPr>
        <w:t>6</w:t>
      </w:r>
      <w:r>
        <w:rPr>
          <w:rFonts w:asciiTheme="minorHAnsi" w:eastAsiaTheme="minorEastAsia" w:hAnsiTheme="minorHAnsi"/>
          <w:b w:val="0"/>
          <w:noProof/>
          <w:sz w:val="24"/>
          <w:szCs w:val="24"/>
          <w:lang w:eastAsia="ja-JP"/>
        </w:rPr>
        <w:tab/>
      </w:r>
      <w:r>
        <w:rPr>
          <w:noProof/>
        </w:rPr>
        <w:t>Literaturverzeichnis</w:t>
      </w:r>
      <w:r>
        <w:rPr>
          <w:noProof/>
        </w:rPr>
        <w:tab/>
      </w:r>
      <w:r w:rsidR="00D16240">
        <w:rPr>
          <w:noProof/>
        </w:rPr>
        <w:fldChar w:fldCharType="begin"/>
      </w:r>
      <w:r>
        <w:rPr>
          <w:noProof/>
        </w:rPr>
        <w:instrText xml:space="preserve"> PAGEREF _Toc294380302 \h </w:instrText>
      </w:r>
      <w:r w:rsidR="00D16240">
        <w:rPr>
          <w:noProof/>
        </w:rPr>
      </w:r>
      <w:r w:rsidR="00D16240">
        <w:rPr>
          <w:noProof/>
        </w:rPr>
        <w:fldChar w:fldCharType="separate"/>
      </w:r>
      <w:r w:rsidR="00711AB8">
        <w:rPr>
          <w:noProof/>
        </w:rPr>
        <w:t>185</w:t>
      </w:r>
      <w:r w:rsidR="00D16240">
        <w:rPr>
          <w:noProof/>
        </w:rPr>
        <w:fldChar w:fldCharType="end"/>
      </w:r>
    </w:p>
    <w:p w14:paraId="7B32F7FC" w14:textId="77777777" w:rsidR="005F4F7F" w:rsidRDefault="00D16240" w:rsidP="009337E8">
      <w:pPr>
        <w:spacing w:after="400"/>
        <w:rPr>
          <w:rFonts w:asciiTheme="majorHAnsi" w:hAnsiTheme="majorHAnsi"/>
          <w:bCs/>
          <w:caps/>
          <w:sz w:val="36"/>
          <w:szCs w:val="36"/>
        </w:rPr>
      </w:pPr>
      <w:r>
        <w:rPr>
          <w:rFonts w:asciiTheme="majorHAnsi" w:hAnsiTheme="majorHAnsi"/>
          <w:bCs/>
          <w:caps/>
          <w:sz w:val="36"/>
          <w:szCs w:val="36"/>
        </w:rPr>
        <w:fldChar w:fldCharType="end"/>
      </w:r>
    </w:p>
    <w:p w14:paraId="6D606B44" w14:textId="77777777" w:rsidR="00951EF5" w:rsidRDefault="00951EF5" w:rsidP="009337E8">
      <w:pPr>
        <w:spacing w:after="400"/>
        <w:rPr>
          <w:rFonts w:asciiTheme="majorHAnsi" w:hAnsiTheme="majorHAnsi"/>
          <w:bCs/>
          <w:caps/>
          <w:sz w:val="36"/>
          <w:szCs w:val="36"/>
        </w:rPr>
      </w:pPr>
    </w:p>
    <w:p w14:paraId="27000D82" w14:textId="77777777" w:rsidR="00951EF5" w:rsidRDefault="00951EF5" w:rsidP="009337E8">
      <w:pPr>
        <w:spacing w:after="400"/>
        <w:rPr>
          <w:rFonts w:asciiTheme="majorHAnsi" w:hAnsiTheme="majorHAnsi"/>
          <w:bCs/>
          <w:caps/>
          <w:sz w:val="36"/>
          <w:szCs w:val="36"/>
        </w:rPr>
      </w:pPr>
    </w:p>
    <w:p w14:paraId="48130D2B" w14:textId="77777777" w:rsidR="00951EF5" w:rsidRDefault="00951EF5" w:rsidP="009337E8">
      <w:pPr>
        <w:spacing w:after="400"/>
        <w:rPr>
          <w:rFonts w:asciiTheme="majorHAnsi" w:hAnsiTheme="majorHAnsi"/>
          <w:bCs/>
          <w:caps/>
          <w:sz w:val="36"/>
          <w:szCs w:val="36"/>
        </w:rPr>
      </w:pPr>
    </w:p>
    <w:p w14:paraId="1DECF567" w14:textId="77777777" w:rsidR="00951EF5" w:rsidRDefault="00951EF5" w:rsidP="009337E8">
      <w:pPr>
        <w:spacing w:after="400"/>
        <w:rPr>
          <w:rFonts w:asciiTheme="majorHAnsi" w:hAnsiTheme="majorHAnsi"/>
          <w:bCs/>
          <w:caps/>
          <w:sz w:val="36"/>
          <w:szCs w:val="36"/>
        </w:rPr>
      </w:pPr>
    </w:p>
    <w:p w14:paraId="268F2E89" w14:textId="77777777" w:rsidR="00951EF5" w:rsidRDefault="00951EF5" w:rsidP="009337E8">
      <w:pPr>
        <w:spacing w:after="400"/>
        <w:rPr>
          <w:rFonts w:asciiTheme="majorHAnsi" w:hAnsiTheme="majorHAnsi"/>
          <w:bCs/>
          <w:caps/>
          <w:sz w:val="36"/>
          <w:szCs w:val="36"/>
        </w:rPr>
      </w:pPr>
    </w:p>
    <w:p w14:paraId="5DF9077F" w14:textId="77777777" w:rsidR="00951EF5" w:rsidRDefault="00951EF5" w:rsidP="009337E8">
      <w:pPr>
        <w:spacing w:after="400"/>
        <w:rPr>
          <w:rFonts w:asciiTheme="majorHAnsi" w:hAnsiTheme="majorHAnsi"/>
          <w:bCs/>
          <w:caps/>
          <w:sz w:val="36"/>
          <w:szCs w:val="36"/>
        </w:rPr>
      </w:pPr>
    </w:p>
    <w:p w14:paraId="35A18926" w14:textId="77777777" w:rsidR="00951EF5" w:rsidRDefault="00951EF5" w:rsidP="009337E8">
      <w:pPr>
        <w:spacing w:after="400"/>
        <w:rPr>
          <w:rFonts w:asciiTheme="majorHAnsi" w:hAnsiTheme="majorHAnsi"/>
          <w:bCs/>
          <w:caps/>
          <w:sz w:val="36"/>
          <w:szCs w:val="36"/>
        </w:rPr>
      </w:pPr>
    </w:p>
    <w:p w14:paraId="111753DE" w14:textId="77777777" w:rsidR="00951EF5" w:rsidRDefault="00951EF5" w:rsidP="009337E8">
      <w:pPr>
        <w:spacing w:after="400"/>
        <w:rPr>
          <w:rFonts w:asciiTheme="majorHAnsi" w:hAnsiTheme="majorHAnsi"/>
          <w:bCs/>
          <w:caps/>
          <w:sz w:val="36"/>
          <w:szCs w:val="36"/>
        </w:rPr>
      </w:pPr>
    </w:p>
    <w:p w14:paraId="46F9360D" w14:textId="77777777" w:rsidR="00951EF5" w:rsidRDefault="00951EF5" w:rsidP="009337E8">
      <w:pPr>
        <w:spacing w:after="400"/>
        <w:rPr>
          <w:rFonts w:asciiTheme="majorHAnsi" w:hAnsiTheme="majorHAnsi"/>
          <w:bCs/>
          <w:caps/>
          <w:sz w:val="36"/>
          <w:szCs w:val="36"/>
        </w:rPr>
      </w:pPr>
    </w:p>
    <w:p w14:paraId="619B78B9" w14:textId="77777777" w:rsidR="00BC0B4B" w:rsidRDefault="00BC0B4B" w:rsidP="009337E8">
      <w:pPr>
        <w:spacing w:after="400"/>
        <w:rPr>
          <w:sz w:val="36"/>
          <w:szCs w:val="36"/>
        </w:rPr>
      </w:pPr>
    </w:p>
    <w:p w14:paraId="24732F8B" w14:textId="77777777" w:rsidR="00EE41BE" w:rsidRDefault="00244150" w:rsidP="00EE41BE">
      <w:pPr>
        <w:spacing w:after="400"/>
        <w:jc w:val="center"/>
        <w:rPr>
          <w:sz w:val="36"/>
          <w:szCs w:val="36"/>
        </w:rPr>
      </w:pPr>
      <w:r>
        <w:rPr>
          <w:sz w:val="36"/>
          <w:szCs w:val="36"/>
        </w:rPr>
        <w:lastRenderedPageBreak/>
        <w:t xml:space="preserve">Verwendete </w:t>
      </w:r>
      <w:r w:rsidR="00951EF5" w:rsidRPr="00951EF5">
        <w:rPr>
          <w:sz w:val="36"/>
          <w:szCs w:val="36"/>
        </w:rPr>
        <w:t>Abkürzungen</w:t>
      </w:r>
    </w:p>
    <w:p w14:paraId="71F3B545" w14:textId="77777777" w:rsidR="00EE41BE" w:rsidRPr="00D15B5B" w:rsidRDefault="00EE41BE" w:rsidP="002F5E9D">
      <w:pPr>
        <w:spacing w:after="100" w:line="276" w:lineRule="auto"/>
        <w:rPr>
          <w:szCs w:val="24"/>
        </w:rPr>
      </w:pPr>
      <w:r>
        <w:rPr>
          <w:szCs w:val="24"/>
        </w:rPr>
        <w:t>ABC</w:t>
      </w:r>
      <w:r w:rsidR="00D15B5B">
        <w:rPr>
          <w:szCs w:val="24"/>
        </w:rPr>
        <w:tab/>
      </w:r>
      <w:r w:rsidR="00D15B5B">
        <w:rPr>
          <w:szCs w:val="24"/>
        </w:rPr>
        <w:tab/>
      </w:r>
      <w:r w:rsidR="00552102">
        <w:rPr>
          <w:i/>
          <w:szCs w:val="24"/>
        </w:rPr>
        <w:t>ATP-binding cassette</w:t>
      </w:r>
      <w:r w:rsidR="00D15B5B">
        <w:rPr>
          <w:szCs w:val="24"/>
        </w:rPr>
        <w:t>, Familie von Membranproteinen (Transporter)</w:t>
      </w:r>
    </w:p>
    <w:p w14:paraId="2D7E06BD" w14:textId="77777777" w:rsidR="00C72E13" w:rsidRDefault="00C72E13" w:rsidP="002F5E9D">
      <w:pPr>
        <w:spacing w:after="100" w:line="276" w:lineRule="auto"/>
        <w:rPr>
          <w:szCs w:val="24"/>
        </w:rPr>
      </w:pPr>
      <w:r>
        <w:rPr>
          <w:szCs w:val="24"/>
        </w:rPr>
        <w:t>Asp</w:t>
      </w:r>
      <w:r w:rsidR="00D15B5B">
        <w:rPr>
          <w:szCs w:val="24"/>
        </w:rPr>
        <w:tab/>
      </w:r>
      <w:r w:rsidR="00D15B5B">
        <w:rPr>
          <w:szCs w:val="24"/>
        </w:rPr>
        <w:tab/>
        <w:t>Asparaginsäure</w:t>
      </w:r>
    </w:p>
    <w:p w14:paraId="56D53F13" w14:textId="77777777" w:rsidR="00EE41BE" w:rsidRDefault="00EE41BE" w:rsidP="002F5E9D">
      <w:pPr>
        <w:spacing w:after="100" w:line="276" w:lineRule="auto"/>
        <w:rPr>
          <w:szCs w:val="24"/>
        </w:rPr>
      </w:pPr>
      <w:r>
        <w:rPr>
          <w:szCs w:val="24"/>
        </w:rPr>
        <w:t>ATP</w:t>
      </w:r>
      <w:r w:rsidR="00D15B5B">
        <w:rPr>
          <w:szCs w:val="24"/>
        </w:rPr>
        <w:tab/>
      </w:r>
      <w:r w:rsidR="00D15B5B">
        <w:rPr>
          <w:szCs w:val="24"/>
        </w:rPr>
        <w:tab/>
        <w:t>Adenosintriphosphat</w:t>
      </w:r>
    </w:p>
    <w:p w14:paraId="4DE1A181" w14:textId="77777777" w:rsidR="00DA3C9D" w:rsidRPr="00D15B5B" w:rsidRDefault="00DA3C9D" w:rsidP="002F5E9D">
      <w:pPr>
        <w:spacing w:after="100" w:line="276" w:lineRule="auto"/>
        <w:rPr>
          <w:szCs w:val="24"/>
        </w:rPr>
      </w:pPr>
      <w:r>
        <w:rPr>
          <w:szCs w:val="24"/>
        </w:rPr>
        <w:t>AUC</w:t>
      </w:r>
      <w:r w:rsidR="00D15B5B">
        <w:rPr>
          <w:szCs w:val="24"/>
        </w:rPr>
        <w:tab/>
      </w:r>
      <w:r w:rsidR="00D15B5B">
        <w:rPr>
          <w:szCs w:val="24"/>
        </w:rPr>
        <w:tab/>
      </w:r>
      <w:r w:rsidR="00D15B5B">
        <w:rPr>
          <w:i/>
          <w:szCs w:val="24"/>
        </w:rPr>
        <w:t>Area under the curve</w:t>
      </w:r>
      <w:r w:rsidR="00D15B5B">
        <w:rPr>
          <w:szCs w:val="24"/>
        </w:rPr>
        <w:t>, Fläche unter der Konzentrations-Zeit-Kurve</w:t>
      </w:r>
    </w:p>
    <w:p w14:paraId="63FDB764" w14:textId="77777777" w:rsidR="00C72E13" w:rsidRPr="00DB0243" w:rsidRDefault="00C72E13" w:rsidP="002F5E9D">
      <w:pPr>
        <w:spacing w:after="100" w:line="276" w:lineRule="auto"/>
        <w:rPr>
          <w:szCs w:val="24"/>
          <w:lang w:val="en-US"/>
        </w:rPr>
      </w:pPr>
      <w:r w:rsidRPr="00DB0243">
        <w:rPr>
          <w:szCs w:val="24"/>
          <w:lang w:val="en-US"/>
        </w:rPr>
        <w:t>AVP/ADH</w:t>
      </w:r>
      <w:r w:rsidR="00D15B5B" w:rsidRPr="00DB0243">
        <w:rPr>
          <w:szCs w:val="24"/>
          <w:lang w:val="en-US"/>
        </w:rPr>
        <w:tab/>
        <w:t>Arginin-Vasopressin / Antidiuretisches Hormon</w:t>
      </w:r>
    </w:p>
    <w:p w14:paraId="177155E4" w14:textId="77777777" w:rsidR="00C72E13" w:rsidRPr="00DB0243" w:rsidRDefault="00C72E13" w:rsidP="002F5E9D">
      <w:pPr>
        <w:spacing w:after="100" w:line="276" w:lineRule="auto"/>
        <w:rPr>
          <w:szCs w:val="24"/>
          <w:lang w:val="en-US"/>
        </w:rPr>
      </w:pPr>
      <w:r w:rsidRPr="00DB0243">
        <w:rPr>
          <w:szCs w:val="24"/>
          <w:lang w:val="en-US"/>
        </w:rPr>
        <w:t>BBI</w:t>
      </w:r>
      <w:r w:rsidR="00D15B5B" w:rsidRPr="00DB0243">
        <w:rPr>
          <w:szCs w:val="24"/>
          <w:lang w:val="en-US"/>
        </w:rPr>
        <w:tab/>
      </w:r>
      <w:r w:rsidR="00D15B5B" w:rsidRPr="00DB0243">
        <w:rPr>
          <w:szCs w:val="24"/>
          <w:lang w:val="en-US"/>
        </w:rPr>
        <w:tab/>
        <w:t>Bowman-Birk Proteaseinhibitor</w:t>
      </w:r>
    </w:p>
    <w:p w14:paraId="71F8C825" w14:textId="77777777" w:rsidR="00EE41BE" w:rsidRPr="00DB0243" w:rsidRDefault="00EE41BE" w:rsidP="002F5E9D">
      <w:pPr>
        <w:spacing w:after="100" w:line="276" w:lineRule="auto"/>
        <w:rPr>
          <w:szCs w:val="24"/>
          <w:lang w:val="en-US"/>
        </w:rPr>
      </w:pPr>
      <w:r w:rsidRPr="00DB0243">
        <w:rPr>
          <w:szCs w:val="24"/>
          <w:lang w:val="en-US"/>
        </w:rPr>
        <w:t>BCS</w:t>
      </w:r>
      <w:r w:rsidR="00D15B5B" w:rsidRPr="00DB0243">
        <w:rPr>
          <w:szCs w:val="24"/>
          <w:lang w:val="en-US"/>
        </w:rPr>
        <w:tab/>
      </w:r>
      <w:r w:rsidR="00D15B5B" w:rsidRPr="00DB0243">
        <w:rPr>
          <w:szCs w:val="24"/>
          <w:lang w:val="en-US"/>
        </w:rPr>
        <w:tab/>
      </w:r>
      <w:r w:rsidR="00D15B5B" w:rsidRPr="00DB0243">
        <w:rPr>
          <w:i/>
          <w:szCs w:val="24"/>
          <w:lang w:val="en-US"/>
        </w:rPr>
        <w:t>Biopharmaceutics Classification System</w:t>
      </w:r>
    </w:p>
    <w:p w14:paraId="702315BF" w14:textId="77777777" w:rsidR="00EE41BE" w:rsidRPr="00DB0243" w:rsidRDefault="002F5E9D" w:rsidP="002F5E9D">
      <w:pPr>
        <w:spacing w:after="100" w:line="276" w:lineRule="auto"/>
        <w:rPr>
          <w:szCs w:val="24"/>
          <w:lang w:val="en-US"/>
        </w:rPr>
      </w:pPr>
      <w:r w:rsidRPr="00DB0243">
        <w:rPr>
          <w:szCs w:val="24"/>
          <w:lang w:val="en-US"/>
        </w:rPr>
        <w:t>Cac</w:t>
      </w:r>
      <w:r w:rsidR="00EE41BE" w:rsidRPr="00DB0243">
        <w:rPr>
          <w:szCs w:val="24"/>
          <w:lang w:val="en-US"/>
        </w:rPr>
        <w:t>o</w:t>
      </w:r>
      <w:r w:rsidRPr="00DB0243">
        <w:rPr>
          <w:szCs w:val="24"/>
          <w:lang w:val="en-US"/>
        </w:rPr>
        <w:t>-2</w:t>
      </w:r>
      <w:r w:rsidRPr="00DB0243">
        <w:rPr>
          <w:szCs w:val="24"/>
          <w:lang w:val="en-US"/>
        </w:rPr>
        <w:tab/>
      </w:r>
      <w:r w:rsidRPr="00DB0243">
        <w:rPr>
          <w:szCs w:val="24"/>
          <w:lang w:val="en-US"/>
        </w:rPr>
        <w:tab/>
      </w:r>
      <w:r w:rsidRPr="00DB0243">
        <w:rPr>
          <w:i/>
          <w:szCs w:val="24"/>
          <w:lang w:val="en-US"/>
        </w:rPr>
        <w:t>Colorectal adenocarcinoma cell line</w:t>
      </w:r>
      <w:r w:rsidRPr="00DB0243">
        <w:rPr>
          <w:szCs w:val="24"/>
          <w:lang w:val="en-US"/>
        </w:rPr>
        <w:t xml:space="preserve">, </w:t>
      </w:r>
      <w:r w:rsidR="002461E0" w:rsidRPr="00DB0243">
        <w:rPr>
          <w:szCs w:val="24"/>
          <w:lang w:val="en-US"/>
        </w:rPr>
        <w:t xml:space="preserve"> humane </w:t>
      </w:r>
      <w:r w:rsidRPr="00DB0243">
        <w:rPr>
          <w:szCs w:val="24"/>
          <w:lang w:val="en-US"/>
        </w:rPr>
        <w:t>Dickdarmkarzinomzelllinie</w:t>
      </w:r>
    </w:p>
    <w:p w14:paraId="0D062638" w14:textId="77777777" w:rsidR="00EE41BE" w:rsidRPr="00DB0243" w:rsidRDefault="00EE41BE" w:rsidP="002F5E9D">
      <w:pPr>
        <w:spacing w:after="100" w:line="276" w:lineRule="auto"/>
        <w:rPr>
          <w:szCs w:val="24"/>
          <w:lang w:val="en-US"/>
        </w:rPr>
      </w:pPr>
      <w:r w:rsidRPr="00DB0243">
        <w:rPr>
          <w:szCs w:val="24"/>
          <w:lang w:val="en-US"/>
        </w:rPr>
        <w:t>CMC</w:t>
      </w:r>
      <w:r w:rsidR="002F5E9D" w:rsidRPr="00DB0243">
        <w:rPr>
          <w:szCs w:val="24"/>
          <w:lang w:val="en-US"/>
        </w:rPr>
        <w:tab/>
      </w:r>
      <w:r w:rsidR="002F5E9D" w:rsidRPr="00DB0243">
        <w:rPr>
          <w:szCs w:val="24"/>
          <w:lang w:val="en-US"/>
        </w:rPr>
        <w:tab/>
        <w:t>Carboxymethylcellulose</w:t>
      </w:r>
    </w:p>
    <w:p w14:paraId="3FF4E020" w14:textId="77777777" w:rsidR="00C72E13" w:rsidRPr="00DB0243" w:rsidRDefault="00C72E13" w:rsidP="002F5E9D">
      <w:pPr>
        <w:spacing w:after="100" w:line="276" w:lineRule="auto"/>
        <w:rPr>
          <w:szCs w:val="24"/>
          <w:lang w:val="en-US"/>
        </w:rPr>
      </w:pPr>
      <w:r w:rsidRPr="00DB0243">
        <w:rPr>
          <w:szCs w:val="24"/>
          <w:lang w:val="en-US"/>
        </w:rPr>
        <w:t>CPP</w:t>
      </w:r>
      <w:r w:rsidR="002F5E9D" w:rsidRPr="00DB0243">
        <w:rPr>
          <w:szCs w:val="24"/>
          <w:lang w:val="en-US"/>
        </w:rPr>
        <w:tab/>
      </w:r>
      <w:r w:rsidR="002F5E9D" w:rsidRPr="00DB0243">
        <w:rPr>
          <w:szCs w:val="24"/>
          <w:lang w:val="en-US"/>
        </w:rPr>
        <w:tab/>
      </w:r>
      <w:r w:rsidR="002F5E9D" w:rsidRPr="00DB0243">
        <w:rPr>
          <w:i/>
          <w:szCs w:val="24"/>
          <w:lang w:val="en-US"/>
        </w:rPr>
        <w:t>Cell-penetrating peptide</w:t>
      </w:r>
      <w:r w:rsidR="002F5E9D" w:rsidRPr="00DB0243">
        <w:rPr>
          <w:szCs w:val="24"/>
          <w:lang w:val="en-US"/>
        </w:rPr>
        <w:t>, Zellpenetrierendes Peptid</w:t>
      </w:r>
    </w:p>
    <w:p w14:paraId="304704CA" w14:textId="77777777" w:rsidR="00C72E13" w:rsidRPr="00DB0243" w:rsidRDefault="00C72E13" w:rsidP="002F5E9D">
      <w:pPr>
        <w:spacing w:after="100" w:line="276" w:lineRule="auto"/>
        <w:rPr>
          <w:szCs w:val="24"/>
          <w:lang w:val="en-US"/>
        </w:rPr>
      </w:pPr>
      <w:r w:rsidRPr="00DB0243">
        <w:rPr>
          <w:szCs w:val="24"/>
          <w:lang w:val="en-US"/>
        </w:rPr>
        <w:t>Cys</w:t>
      </w:r>
      <w:r w:rsidR="002F5E9D" w:rsidRPr="00DB0243">
        <w:rPr>
          <w:szCs w:val="24"/>
          <w:lang w:val="en-US"/>
        </w:rPr>
        <w:tab/>
      </w:r>
      <w:r w:rsidR="002F5E9D" w:rsidRPr="00DB0243">
        <w:rPr>
          <w:szCs w:val="24"/>
          <w:lang w:val="en-US"/>
        </w:rPr>
        <w:tab/>
        <w:t>Cystein</w:t>
      </w:r>
    </w:p>
    <w:p w14:paraId="2F8F9911" w14:textId="77777777" w:rsidR="00DA3C9D" w:rsidRPr="00DB0243" w:rsidRDefault="00DA3C9D" w:rsidP="002F5E9D">
      <w:pPr>
        <w:spacing w:after="100" w:line="276" w:lineRule="auto"/>
        <w:rPr>
          <w:szCs w:val="24"/>
          <w:lang w:val="en-US"/>
        </w:rPr>
      </w:pPr>
      <w:r w:rsidRPr="00DB0243">
        <w:rPr>
          <w:szCs w:val="24"/>
          <w:lang w:val="en-US"/>
        </w:rPr>
        <w:t>DCM</w:t>
      </w:r>
      <w:r w:rsidRPr="00DB0243">
        <w:rPr>
          <w:szCs w:val="24"/>
          <w:lang w:val="en-US"/>
        </w:rPr>
        <w:tab/>
      </w:r>
      <w:r w:rsidRPr="00DB0243">
        <w:rPr>
          <w:szCs w:val="24"/>
          <w:lang w:val="en-US"/>
        </w:rPr>
        <w:tab/>
        <w:t>Dichlormethan / Methylenchlorid</w:t>
      </w:r>
    </w:p>
    <w:p w14:paraId="32EFF94B" w14:textId="77777777" w:rsidR="00C72E13" w:rsidRPr="00DB0243" w:rsidRDefault="00C72E13" w:rsidP="002F5E9D">
      <w:pPr>
        <w:spacing w:after="100" w:line="276" w:lineRule="auto"/>
        <w:rPr>
          <w:szCs w:val="24"/>
          <w:lang w:val="en-US"/>
        </w:rPr>
      </w:pPr>
      <w:r w:rsidRPr="00DB0243">
        <w:rPr>
          <w:szCs w:val="24"/>
          <w:lang w:val="en-US"/>
        </w:rPr>
        <w:t>DDAVP</w:t>
      </w:r>
      <w:r w:rsidR="002F5E9D" w:rsidRPr="00DB0243">
        <w:rPr>
          <w:szCs w:val="24"/>
          <w:lang w:val="en-US"/>
        </w:rPr>
        <w:tab/>
        <w:t>1-Desamino-8-D-Arginin-Vasopressin, Desmopressin</w:t>
      </w:r>
    </w:p>
    <w:p w14:paraId="3B3B7D1A" w14:textId="77777777" w:rsidR="00C72E13" w:rsidRPr="002F5E9D" w:rsidRDefault="00C72E13" w:rsidP="002F5E9D">
      <w:pPr>
        <w:spacing w:after="100" w:line="276" w:lineRule="auto"/>
        <w:rPr>
          <w:szCs w:val="24"/>
        </w:rPr>
      </w:pPr>
      <w:r>
        <w:rPr>
          <w:szCs w:val="24"/>
        </w:rPr>
        <w:t>DLS</w:t>
      </w:r>
      <w:r w:rsidR="002F5E9D">
        <w:rPr>
          <w:szCs w:val="24"/>
        </w:rPr>
        <w:tab/>
      </w:r>
      <w:r w:rsidR="002F5E9D">
        <w:rPr>
          <w:szCs w:val="24"/>
        </w:rPr>
        <w:tab/>
      </w:r>
      <w:r w:rsidR="002F5E9D">
        <w:rPr>
          <w:i/>
          <w:szCs w:val="24"/>
        </w:rPr>
        <w:t>Dynamic light scattering</w:t>
      </w:r>
      <w:r w:rsidR="002F5E9D">
        <w:rPr>
          <w:szCs w:val="24"/>
        </w:rPr>
        <w:t>, Dynamische Lichtstreuung</w:t>
      </w:r>
    </w:p>
    <w:p w14:paraId="743B1387" w14:textId="77777777" w:rsidR="00C72E13" w:rsidRDefault="00C72E13" w:rsidP="002F5E9D">
      <w:pPr>
        <w:spacing w:after="100" w:line="276" w:lineRule="auto"/>
        <w:rPr>
          <w:szCs w:val="24"/>
        </w:rPr>
      </w:pPr>
      <w:r>
        <w:rPr>
          <w:szCs w:val="24"/>
        </w:rPr>
        <w:t>DMF</w:t>
      </w:r>
      <w:r>
        <w:rPr>
          <w:szCs w:val="24"/>
        </w:rPr>
        <w:tab/>
      </w:r>
      <w:r>
        <w:rPr>
          <w:szCs w:val="24"/>
        </w:rPr>
        <w:tab/>
        <w:t>Dimethylformamid</w:t>
      </w:r>
    </w:p>
    <w:p w14:paraId="19690E04" w14:textId="77777777" w:rsidR="00EE41BE" w:rsidRDefault="00EE41BE" w:rsidP="002F5E9D">
      <w:pPr>
        <w:spacing w:after="100" w:line="276" w:lineRule="auto"/>
        <w:rPr>
          <w:szCs w:val="24"/>
        </w:rPr>
      </w:pPr>
      <w:r>
        <w:rPr>
          <w:szCs w:val="24"/>
        </w:rPr>
        <w:t>DNA</w:t>
      </w:r>
      <w:r w:rsidR="00C72E13">
        <w:rPr>
          <w:szCs w:val="24"/>
        </w:rPr>
        <w:tab/>
      </w:r>
      <w:r w:rsidR="00C72E13">
        <w:rPr>
          <w:szCs w:val="24"/>
        </w:rPr>
        <w:tab/>
        <w:t>Desoxyribonukleinsäure</w:t>
      </w:r>
    </w:p>
    <w:p w14:paraId="6E4B7F8D" w14:textId="77777777" w:rsidR="00C72E13" w:rsidRDefault="00C72E13" w:rsidP="002F5E9D">
      <w:pPr>
        <w:spacing w:after="100" w:line="276" w:lineRule="auto"/>
        <w:rPr>
          <w:szCs w:val="24"/>
        </w:rPr>
      </w:pPr>
      <w:r>
        <w:rPr>
          <w:szCs w:val="24"/>
        </w:rPr>
        <w:t>DTNB</w:t>
      </w:r>
      <w:r w:rsidR="00542635">
        <w:rPr>
          <w:szCs w:val="24"/>
        </w:rPr>
        <w:tab/>
      </w:r>
      <w:r w:rsidR="00542635">
        <w:rPr>
          <w:szCs w:val="24"/>
        </w:rPr>
        <w:tab/>
      </w:r>
      <w:r w:rsidR="00542635" w:rsidRPr="00542635">
        <w:rPr>
          <w:szCs w:val="24"/>
        </w:rPr>
        <w:t>5,5′-Dithiobis-2-nitrobenzoesäure</w:t>
      </w:r>
      <w:r w:rsidR="00542635">
        <w:rPr>
          <w:szCs w:val="24"/>
        </w:rPr>
        <w:t>, Ellmanns Reagenz</w:t>
      </w:r>
    </w:p>
    <w:p w14:paraId="616924BB" w14:textId="77777777" w:rsidR="00C72E13" w:rsidRPr="00542635" w:rsidRDefault="00C72E13" w:rsidP="002F5E9D">
      <w:pPr>
        <w:spacing w:after="100" w:line="276" w:lineRule="auto"/>
        <w:rPr>
          <w:szCs w:val="24"/>
        </w:rPr>
      </w:pPr>
      <w:r>
        <w:rPr>
          <w:szCs w:val="24"/>
        </w:rPr>
        <w:t>ELS</w:t>
      </w:r>
      <w:r w:rsidR="00542635">
        <w:rPr>
          <w:szCs w:val="24"/>
        </w:rPr>
        <w:tab/>
      </w:r>
      <w:r w:rsidR="00542635">
        <w:rPr>
          <w:szCs w:val="24"/>
        </w:rPr>
        <w:tab/>
      </w:r>
      <w:r w:rsidR="00542635">
        <w:rPr>
          <w:i/>
          <w:szCs w:val="24"/>
        </w:rPr>
        <w:t>Electrophoretic light scattering</w:t>
      </w:r>
      <w:r w:rsidR="00542635">
        <w:rPr>
          <w:szCs w:val="24"/>
        </w:rPr>
        <w:t>, Elektrophoretische Lichtstreuung</w:t>
      </w:r>
    </w:p>
    <w:p w14:paraId="19B2F1FA" w14:textId="77777777" w:rsidR="00EE41BE" w:rsidRPr="00A159EA" w:rsidRDefault="00EE41BE" w:rsidP="002F5E9D">
      <w:pPr>
        <w:spacing w:after="100" w:line="276" w:lineRule="auto"/>
        <w:rPr>
          <w:szCs w:val="24"/>
        </w:rPr>
      </w:pPr>
      <w:r>
        <w:rPr>
          <w:szCs w:val="24"/>
        </w:rPr>
        <w:t>F/F</w:t>
      </w:r>
      <w:r>
        <w:rPr>
          <w:szCs w:val="24"/>
          <w:vertAlign w:val="subscript"/>
        </w:rPr>
        <w:t>abs</w:t>
      </w:r>
      <w:r w:rsidR="00A159EA">
        <w:rPr>
          <w:szCs w:val="24"/>
        </w:rPr>
        <w:tab/>
      </w:r>
      <w:r w:rsidR="00A159EA">
        <w:rPr>
          <w:szCs w:val="24"/>
        </w:rPr>
        <w:tab/>
        <w:t>Bioverfügbarkeit / absolute Bioverfügbarkeit</w:t>
      </w:r>
    </w:p>
    <w:p w14:paraId="00F9C7B6" w14:textId="77777777" w:rsidR="00EE41BE" w:rsidRDefault="00EE41BE" w:rsidP="002F5E9D">
      <w:pPr>
        <w:spacing w:after="100" w:line="276" w:lineRule="auto"/>
        <w:rPr>
          <w:szCs w:val="24"/>
        </w:rPr>
      </w:pPr>
      <w:r>
        <w:rPr>
          <w:szCs w:val="24"/>
        </w:rPr>
        <w:t>FAE</w:t>
      </w:r>
      <w:r w:rsidR="00A159EA">
        <w:rPr>
          <w:szCs w:val="24"/>
        </w:rPr>
        <w:tab/>
      </w:r>
      <w:r w:rsidR="00A159EA">
        <w:rPr>
          <w:szCs w:val="24"/>
        </w:rPr>
        <w:tab/>
        <w:t>Follikel-assoziiertes Epithel</w:t>
      </w:r>
    </w:p>
    <w:p w14:paraId="096F33F6" w14:textId="77777777" w:rsidR="00A159EA" w:rsidRPr="00A159EA" w:rsidRDefault="00A159EA" w:rsidP="002F5E9D">
      <w:pPr>
        <w:spacing w:after="100" w:line="276" w:lineRule="auto"/>
        <w:rPr>
          <w:szCs w:val="24"/>
        </w:rPr>
      </w:pPr>
      <w:r>
        <w:rPr>
          <w:szCs w:val="24"/>
        </w:rPr>
        <w:t>FDA</w:t>
      </w:r>
      <w:r>
        <w:rPr>
          <w:szCs w:val="24"/>
        </w:rPr>
        <w:tab/>
      </w:r>
      <w:r>
        <w:rPr>
          <w:szCs w:val="24"/>
        </w:rPr>
        <w:tab/>
      </w:r>
      <w:r w:rsidRPr="00A159EA">
        <w:rPr>
          <w:i/>
          <w:szCs w:val="24"/>
        </w:rPr>
        <w:t>Food and Drug Administration</w:t>
      </w:r>
      <w:r>
        <w:rPr>
          <w:szCs w:val="24"/>
        </w:rPr>
        <w:t>, Arzneimittelzulassungsbehörde der USA</w:t>
      </w:r>
    </w:p>
    <w:p w14:paraId="0A29299B" w14:textId="77777777" w:rsidR="00C72E13" w:rsidRPr="00DB0243" w:rsidRDefault="00C72E13" w:rsidP="002F5E9D">
      <w:pPr>
        <w:spacing w:after="100" w:line="276" w:lineRule="auto"/>
        <w:rPr>
          <w:szCs w:val="24"/>
          <w:lang w:val="en-US"/>
        </w:rPr>
      </w:pPr>
      <w:r w:rsidRPr="00DB0243">
        <w:rPr>
          <w:szCs w:val="24"/>
          <w:lang w:val="en-US"/>
        </w:rPr>
        <w:t>GA</w:t>
      </w:r>
      <w:r w:rsidR="00A159EA" w:rsidRPr="00DB0243">
        <w:rPr>
          <w:szCs w:val="24"/>
          <w:lang w:val="en-US"/>
        </w:rPr>
        <w:tab/>
      </w:r>
      <w:r w:rsidR="00A159EA" w:rsidRPr="00DB0243">
        <w:rPr>
          <w:szCs w:val="24"/>
          <w:lang w:val="en-US"/>
        </w:rPr>
        <w:tab/>
      </w:r>
      <w:r w:rsidR="00A159EA" w:rsidRPr="00DB0243">
        <w:rPr>
          <w:i/>
          <w:szCs w:val="24"/>
          <w:lang w:val="en-US"/>
        </w:rPr>
        <w:t>Glycolic acid</w:t>
      </w:r>
      <w:r w:rsidR="00A159EA" w:rsidRPr="00DB0243">
        <w:rPr>
          <w:szCs w:val="24"/>
          <w:lang w:val="en-US"/>
        </w:rPr>
        <w:t>, Glycolsäure</w:t>
      </w:r>
    </w:p>
    <w:p w14:paraId="682DD7FD" w14:textId="77777777" w:rsidR="00EE41BE" w:rsidRPr="00DB0243" w:rsidRDefault="00EE41BE" w:rsidP="002F5E9D">
      <w:pPr>
        <w:spacing w:after="100" w:line="276" w:lineRule="auto"/>
        <w:rPr>
          <w:szCs w:val="24"/>
          <w:lang w:val="en-US"/>
        </w:rPr>
      </w:pPr>
      <w:r w:rsidRPr="00DB0243">
        <w:rPr>
          <w:szCs w:val="24"/>
          <w:lang w:val="en-US"/>
        </w:rPr>
        <w:t>GALT</w:t>
      </w:r>
      <w:r w:rsidR="00A159EA" w:rsidRPr="00DB0243">
        <w:rPr>
          <w:szCs w:val="24"/>
          <w:lang w:val="en-US"/>
        </w:rPr>
        <w:tab/>
      </w:r>
      <w:r w:rsidR="00A159EA" w:rsidRPr="00DB0243">
        <w:rPr>
          <w:szCs w:val="24"/>
          <w:lang w:val="en-US"/>
        </w:rPr>
        <w:tab/>
      </w:r>
      <w:r w:rsidR="00A159EA" w:rsidRPr="00DB0243">
        <w:rPr>
          <w:i/>
          <w:szCs w:val="24"/>
          <w:lang w:val="en-US"/>
        </w:rPr>
        <w:t>Gut associated lymphoid tissue</w:t>
      </w:r>
      <w:r w:rsidR="00A159EA" w:rsidRPr="00DB0243">
        <w:rPr>
          <w:szCs w:val="24"/>
          <w:lang w:val="en-US"/>
        </w:rPr>
        <w:t>, darmassoziiertes Immunsystem</w:t>
      </w:r>
    </w:p>
    <w:p w14:paraId="41C401B4" w14:textId="77777777" w:rsidR="00EE41BE" w:rsidRPr="00A159EA" w:rsidRDefault="00EE41BE" w:rsidP="002F5E9D">
      <w:pPr>
        <w:spacing w:after="100" w:line="276" w:lineRule="auto"/>
        <w:rPr>
          <w:szCs w:val="24"/>
        </w:rPr>
      </w:pPr>
      <w:r>
        <w:rPr>
          <w:szCs w:val="24"/>
        </w:rPr>
        <w:t>GRAS</w:t>
      </w:r>
      <w:r w:rsidR="00A159EA">
        <w:rPr>
          <w:szCs w:val="24"/>
        </w:rPr>
        <w:tab/>
      </w:r>
      <w:r w:rsidR="00A159EA">
        <w:rPr>
          <w:szCs w:val="24"/>
        </w:rPr>
        <w:tab/>
      </w:r>
      <w:r w:rsidR="00A159EA" w:rsidRPr="00A159EA">
        <w:rPr>
          <w:rStyle w:val="st"/>
          <w:rFonts w:eastAsia="Times New Roman" w:cs="Times New Roman"/>
          <w:i/>
        </w:rPr>
        <w:t>Generally recognized as safe</w:t>
      </w:r>
      <w:r w:rsidR="00A159EA">
        <w:rPr>
          <w:rStyle w:val="st"/>
          <w:rFonts w:eastAsia="Times New Roman" w:cs="Times New Roman"/>
        </w:rPr>
        <w:t>, Zulassungsbezeichnung der FDA</w:t>
      </w:r>
    </w:p>
    <w:p w14:paraId="1782310F" w14:textId="77777777" w:rsidR="00DA3C9D" w:rsidRDefault="00DA3C9D" w:rsidP="002F5E9D">
      <w:pPr>
        <w:spacing w:after="100" w:line="276" w:lineRule="auto"/>
        <w:rPr>
          <w:szCs w:val="24"/>
        </w:rPr>
      </w:pPr>
      <w:r>
        <w:rPr>
          <w:szCs w:val="24"/>
        </w:rPr>
        <w:t>HeLa</w:t>
      </w:r>
      <w:r w:rsidR="00A159EA">
        <w:rPr>
          <w:szCs w:val="24"/>
        </w:rPr>
        <w:tab/>
      </w:r>
      <w:r w:rsidR="00A159EA">
        <w:rPr>
          <w:szCs w:val="24"/>
        </w:rPr>
        <w:tab/>
      </w:r>
      <w:r w:rsidR="002461E0">
        <w:rPr>
          <w:szCs w:val="24"/>
        </w:rPr>
        <w:t>humane Epithelzelllinie eines Zervixkarzinoms</w:t>
      </w:r>
    </w:p>
    <w:p w14:paraId="78A0B7AE" w14:textId="77777777" w:rsidR="00C72E13" w:rsidRPr="002461E0" w:rsidRDefault="00C72E13" w:rsidP="002F5E9D">
      <w:pPr>
        <w:spacing w:after="100" w:line="276" w:lineRule="auto"/>
        <w:rPr>
          <w:szCs w:val="24"/>
        </w:rPr>
      </w:pPr>
      <w:r>
        <w:rPr>
          <w:szCs w:val="24"/>
        </w:rPr>
        <w:t>hLF</w:t>
      </w:r>
      <w:r w:rsidR="002461E0">
        <w:rPr>
          <w:szCs w:val="24"/>
        </w:rPr>
        <w:tab/>
      </w:r>
      <w:r w:rsidR="002461E0">
        <w:rPr>
          <w:szCs w:val="24"/>
        </w:rPr>
        <w:tab/>
      </w:r>
      <w:r w:rsidR="002461E0" w:rsidRPr="002461E0">
        <w:rPr>
          <w:i/>
          <w:szCs w:val="24"/>
        </w:rPr>
        <w:t xml:space="preserve">Human </w:t>
      </w:r>
      <w:r w:rsidR="00934ACF">
        <w:rPr>
          <w:i/>
          <w:szCs w:val="24"/>
        </w:rPr>
        <w:t>L</w:t>
      </w:r>
      <w:r w:rsidR="002461E0" w:rsidRPr="002461E0">
        <w:rPr>
          <w:i/>
          <w:szCs w:val="24"/>
        </w:rPr>
        <w:t>actoferrin</w:t>
      </w:r>
    </w:p>
    <w:p w14:paraId="48B386FF" w14:textId="77777777" w:rsidR="00C72E13" w:rsidRPr="00DB0243" w:rsidRDefault="00C72E13" w:rsidP="002F5E9D">
      <w:pPr>
        <w:spacing w:after="100" w:line="276" w:lineRule="auto"/>
        <w:rPr>
          <w:szCs w:val="24"/>
          <w:lang w:val="en-US"/>
        </w:rPr>
      </w:pPr>
      <w:r w:rsidRPr="00DB0243">
        <w:rPr>
          <w:szCs w:val="24"/>
          <w:lang w:val="en-US"/>
        </w:rPr>
        <w:t>HPLC</w:t>
      </w:r>
      <w:r w:rsidR="00934ACF" w:rsidRPr="00DB0243">
        <w:rPr>
          <w:szCs w:val="24"/>
          <w:lang w:val="en-US"/>
        </w:rPr>
        <w:tab/>
      </w:r>
      <w:r w:rsidR="00934ACF" w:rsidRPr="00DB0243">
        <w:rPr>
          <w:szCs w:val="24"/>
          <w:lang w:val="en-US"/>
        </w:rPr>
        <w:tab/>
      </w:r>
      <w:r w:rsidR="00934ACF" w:rsidRPr="00DB0243">
        <w:rPr>
          <w:i/>
          <w:szCs w:val="24"/>
          <w:lang w:val="en-US"/>
        </w:rPr>
        <w:t>High performance liquid chromatography</w:t>
      </w:r>
    </w:p>
    <w:p w14:paraId="2A4EB6FC" w14:textId="77777777" w:rsidR="00EE41BE" w:rsidRPr="00DB0243" w:rsidRDefault="00EE41BE" w:rsidP="002F5E9D">
      <w:pPr>
        <w:spacing w:after="100" w:line="276" w:lineRule="auto"/>
        <w:rPr>
          <w:szCs w:val="24"/>
          <w:lang w:val="en-US"/>
        </w:rPr>
      </w:pPr>
      <w:r w:rsidRPr="00DB0243">
        <w:rPr>
          <w:szCs w:val="24"/>
          <w:lang w:val="en-US"/>
        </w:rPr>
        <w:t>HPMC</w:t>
      </w:r>
      <w:r w:rsidR="00934ACF" w:rsidRPr="00DB0243">
        <w:rPr>
          <w:szCs w:val="24"/>
          <w:lang w:val="en-US"/>
        </w:rPr>
        <w:tab/>
      </w:r>
      <w:r w:rsidR="00934ACF" w:rsidRPr="00DB0243">
        <w:rPr>
          <w:szCs w:val="24"/>
          <w:lang w:val="en-US"/>
        </w:rPr>
        <w:tab/>
        <w:t>Hydroxypropylmethylcellulose</w:t>
      </w:r>
    </w:p>
    <w:p w14:paraId="28CEACED" w14:textId="77777777" w:rsidR="00EE41BE" w:rsidRDefault="00EE41BE" w:rsidP="002F5E9D">
      <w:pPr>
        <w:spacing w:after="100" w:line="276" w:lineRule="auto"/>
        <w:rPr>
          <w:szCs w:val="24"/>
        </w:rPr>
      </w:pPr>
      <w:r>
        <w:rPr>
          <w:szCs w:val="24"/>
        </w:rPr>
        <w:t>i.v.</w:t>
      </w:r>
      <w:r w:rsidR="00934ACF">
        <w:rPr>
          <w:szCs w:val="24"/>
        </w:rPr>
        <w:tab/>
      </w:r>
      <w:r w:rsidR="00934ACF">
        <w:rPr>
          <w:szCs w:val="24"/>
        </w:rPr>
        <w:tab/>
        <w:t>intravenös</w:t>
      </w:r>
    </w:p>
    <w:p w14:paraId="1BCCCF99" w14:textId="77777777" w:rsidR="00EE41BE" w:rsidRDefault="00EE41BE" w:rsidP="002F5E9D">
      <w:pPr>
        <w:spacing w:after="100" w:line="276" w:lineRule="auto"/>
        <w:rPr>
          <w:szCs w:val="24"/>
        </w:rPr>
      </w:pPr>
      <w:r>
        <w:rPr>
          <w:szCs w:val="24"/>
        </w:rPr>
        <w:t>IEP</w:t>
      </w:r>
      <w:r w:rsidR="00934ACF">
        <w:rPr>
          <w:szCs w:val="24"/>
        </w:rPr>
        <w:tab/>
      </w:r>
      <w:r w:rsidR="00934ACF">
        <w:rPr>
          <w:szCs w:val="24"/>
        </w:rPr>
        <w:tab/>
        <w:t>Isoelektrischer Punkt</w:t>
      </w:r>
    </w:p>
    <w:p w14:paraId="1B44EFB5" w14:textId="77777777" w:rsidR="00C72E13" w:rsidRPr="00DB0243" w:rsidRDefault="00C72E13" w:rsidP="002F5E9D">
      <w:pPr>
        <w:spacing w:after="100" w:line="276" w:lineRule="auto"/>
        <w:rPr>
          <w:szCs w:val="24"/>
          <w:lang w:val="en-US"/>
        </w:rPr>
      </w:pPr>
      <w:r w:rsidRPr="00DB0243">
        <w:rPr>
          <w:szCs w:val="24"/>
          <w:lang w:val="en-US"/>
        </w:rPr>
        <w:t>LA</w:t>
      </w:r>
      <w:r w:rsidR="00934ACF" w:rsidRPr="00DB0243">
        <w:rPr>
          <w:szCs w:val="24"/>
          <w:lang w:val="en-US"/>
        </w:rPr>
        <w:tab/>
      </w:r>
      <w:r w:rsidR="00934ACF" w:rsidRPr="00DB0243">
        <w:rPr>
          <w:szCs w:val="24"/>
          <w:lang w:val="en-US"/>
        </w:rPr>
        <w:tab/>
      </w:r>
      <w:r w:rsidR="00934ACF" w:rsidRPr="00DB0243">
        <w:rPr>
          <w:i/>
          <w:szCs w:val="24"/>
          <w:lang w:val="en-US"/>
        </w:rPr>
        <w:t>Lactic acid</w:t>
      </w:r>
      <w:r w:rsidR="00934ACF" w:rsidRPr="00DB0243">
        <w:rPr>
          <w:szCs w:val="24"/>
          <w:lang w:val="en-US"/>
        </w:rPr>
        <w:t>, Milchsäure</w:t>
      </w:r>
    </w:p>
    <w:p w14:paraId="3EACC566" w14:textId="77777777" w:rsidR="00EE41BE" w:rsidRDefault="00EE41BE" w:rsidP="002F5E9D">
      <w:pPr>
        <w:spacing w:after="100" w:line="276" w:lineRule="auto"/>
        <w:rPr>
          <w:szCs w:val="24"/>
        </w:rPr>
      </w:pPr>
      <w:r w:rsidRPr="00DB0243">
        <w:rPr>
          <w:szCs w:val="24"/>
          <w:lang w:val="en-US"/>
        </w:rPr>
        <w:t>lat.</w:t>
      </w:r>
      <w:r w:rsidR="00934ACF" w:rsidRPr="00DB0243">
        <w:rPr>
          <w:szCs w:val="24"/>
          <w:lang w:val="en-US"/>
        </w:rPr>
        <w:tab/>
      </w:r>
      <w:r w:rsidR="00934ACF" w:rsidRPr="00DB0243">
        <w:rPr>
          <w:szCs w:val="24"/>
          <w:lang w:val="en-US"/>
        </w:rPr>
        <w:tab/>
      </w:r>
      <w:r w:rsidR="00934ACF">
        <w:rPr>
          <w:szCs w:val="24"/>
        </w:rPr>
        <w:t>Lateinisch</w:t>
      </w:r>
    </w:p>
    <w:p w14:paraId="051DC14F" w14:textId="77777777" w:rsidR="00C72E13" w:rsidRDefault="00C72E13" w:rsidP="002F5E9D">
      <w:pPr>
        <w:spacing w:after="100" w:line="276" w:lineRule="auto"/>
        <w:rPr>
          <w:szCs w:val="24"/>
        </w:rPr>
      </w:pPr>
      <w:r>
        <w:rPr>
          <w:szCs w:val="24"/>
        </w:rPr>
        <w:lastRenderedPageBreak/>
        <w:t>Lys</w:t>
      </w:r>
      <w:r w:rsidR="00934ACF">
        <w:rPr>
          <w:szCs w:val="24"/>
        </w:rPr>
        <w:tab/>
      </w:r>
      <w:r w:rsidR="00934ACF">
        <w:rPr>
          <w:szCs w:val="24"/>
        </w:rPr>
        <w:tab/>
        <w:t>Lysin</w:t>
      </w:r>
    </w:p>
    <w:p w14:paraId="618DB2B6" w14:textId="77777777" w:rsidR="00EE41BE" w:rsidRPr="00934ACF" w:rsidRDefault="00EE41BE" w:rsidP="002F5E9D">
      <w:pPr>
        <w:spacing w:after="100" w:line="276" w:lineRule="auto"/>
        <w:rPr>
          <w:szCs w:val="24"/>
        </w:rPr>
      </w:pPr>
      <w:r>
        <w:rPr>
          <w:szCs w:val="24"/>
        </w:rPr>
        <w:t>MDR</w:t>
      </w:r>
      <w:r w:rsidR="00934ACF">
        <w:rPr>
          <w:szCs w:val="24"/>
        </w:rPr>
        <w:tab/>
      </w:r>
      <w:r w:rsidR="00934ACF">
        <w:rPr>
          <w:szCs w:val="24"/>
        </w:rPr>
        <w:tab/>
      </w:r>
      <w:r w:rsidR="00934ACF" w:rsidRPr="00934ACF">
        <w:rPr>
          <w:i/>
          <w:szCs w:val="24"/>
        </w:rPr>
        <w:t>Multi</w:t>
      </w:r>
      <w:r w:rsidR="00934ACF">
        <w:rPr>
          <w:i/>
          <w:szCs w:val="24"/>
        </w:rPr>
        <w:t>ple</w:t>
      </w:r>
      <w:r w:rsidR="00934ACF" w:rsidRPr="00934ACF">
        <w:rPr>
          <w:i/>
          <w:szCs w:val="24"/>
        </w:rPr>
        <w:t xml:space="preserve"> Drug Resistance</w:t>
      </w:r>
      <w:r w:rsidR="00934ACF">
        <w:rPr>
          <w:szCs w:val="24"/>
        </w:rPr>
        <w:t>, MDR1: ein ABC-Transportprotein</w:t>
      </w:r>
    </w:p>
    <w:p w14:paraId="140DE71B" w14:textId="77777777" w:rsidR="00DA3C9D" w:rsidRPr="005B5655" w:rsidRDefault="005B5655" w:rsidP="002F5E9D">
      <w:pPr>
        <w:spacing w:after="100" w:line="276" w:lineRule="auto"/>
        <w:rPr>
          <w:szCs w:val="24"/>
        </w:rPr>
      </w:pPr>
      <w:r>
        <w:rPr>
          <w:szCs w:val="24"/>
        </w:rPr>
        <w:t>ME</w:t>
      </w:r>
      <w:r w:rsidR="00DA3C9D">
        <w:rPr>
          <w:szCs w:val="24"/>
        </w:rPr>
        <w:t>M</w:t>
      </w:r>
      <w:r w:rsidR="00934ACF">
        <w:rPr>
          <w:szCs w:val="24"/>
        </w:rPr>
        <w:tab/>
      </w:r>
      <w:r w:rsidR="00934ACF">
        <w:rPr>
          <w:szCs w:val="24"/>
        </w:rPr>
        <w:tab/>
      </w:r>
      <w:r w:rsidRPr="005B5655">
        <w:rPr>
          <w:i/>
          <w:szCs w:val="24"/>
        </w:rPr>
        <w:t>Minimum Essential Medium</w:t>
      </w:r>
      <w:r>
        <w:rPr>
          <w:szCs w:val="24"/>
        </w:rPr>
        <w:t>, ein Zellkulturmedium</w:t>
      </w:r>
    </w:p>
    <w:p w14:paraId="7467BB5D" w14:textId="77777777" w:rsidR="00C72E13" w:rsidRPr="00DB0243" w:rsidRDefault="00C72E13" w:rsidP="002F5E9D">
      <w:pPr>
        <w:spacing w:after="100" w:line="276" w:lineRule="auto"/>
        <w:rPr>
          <w:szCs w:val="24"/>
          <w:lang w:val="en-US"/>
        </w:rPr>
      </w:pPr>
      <w:r w:rsidRPr="00DB0243">
        <w:rPr>
          <w:szCs w:val="24"/>
          <w:lang w:val="en-US"/>
        </w:rPr>
        <w:t>MeOH</w:t>
      </w:r>
      <w:r w:rsidR="005B5655" w:rsidRPr="00DB0243">
        <w:rPr>
          <w:szCs w:val="24"/>
          <w:lang w:val="en-US"/>
        </w:rPr>
        <w:tab/>
      </w:r>
      <w:r w:rsidR="005B5655" w:rsidRPr="00DB0243">
        <w:rPr>
          <w:szCs w:val="24"/>
          <w:lang w:val="en-US"/>
        </w:rPr>
        <w:tab/>
        <w:t>Methanol</w:t>
      </w:r>
    </w:p>
    <w:p w14:paraId="4A8BE6B4" w14:textId="77777777" w:rsidR="00DA3C9D" w:rsidRPr="00DB0243" w:rsidRDefault="00DA3C9D" w:rsidP="002F5E9D">
      <w:pPr>
        <w:spacing w:after="100" w:line="276" w:lineRule="auto"/>
        <w:rPr>
          <w:szCs w:val="24"/>
          <w:lang w:val="en-US"/>
        </w:rPr>
      </w:pPr>
      <w:r w:rsidRPr="00DB0243">
        <w:rPr>
          <w:szCs w:val="24"/>
          <w:lang w:val="en-US"/>
        </w:rPr>
        <w:t>MS</w:t>
      </w:r>
      <w:r w:rsidR="005B5655" w:rsidRPr="00DB0243">
        <w:rPr>
          <w:szCs w:val="24"/>
          <w:lang w:val="en-US"/>
        </w:rPr>
        <w:tab/>
      </w:r>
      <w:r w:rsidR="005B5655" w:rsidRPr="00DB0243">
        <w:rPr>
          <w:szCs w:val="24"/>
          <w:lang w:val="en-US"/>
        </w:rPr>
        <w:tab/>
        <w:t>Massenspektrometrie</w:t>
      </w:r>
    </w:p>
    <w:p w14:paraId="741E7469" w14:textId="77777777" w:rsidR="00C72E13" w:rsidRPr="00DB0243" w:rsidRDefault="00C72E13" w:rsidP="002F5E9D">
      <w:pPr>
        <w:spacing w:after="100" w:line="276" w:lineRule="auto"/>
        <w:rPr>
          <w:i/>
          <w:szCs w:val="24"/>
          <w:lang w:val="en-US"/>
        </w:rPr>
      </w:pPr>
      <w:r w:rsidRPr="00DB0243">
        <w:rPr>
          <w:szCs w:val="24"/>
          <w:lang w:val="en-US"/>
        </w:rPr>
        <w:t>MWCO</w:t>
      </w:r>
      <w:r w:rsidR="005B5655" w:rsidRPr="00DB0243">
        <w:rPr>
          <w:szCs w:val="24"/>
          <w:lang w:val="en-US"/>
        </w:rPr>
        <w:tab/>
      </w:r>
      <w:r w:rsidR="005B5655" w:rsidRPr="00DB0243">
        <w:rPr>
          <w:i/>
          <w:szCs w:val="24"/>
          <w:lang w:val="en-US"/>
        </w:rPr>
        <w:t>Molecular weight cut-off</w:t>
      </w:r>
    </w:p>
    <w:p w14:paraId="4F64C4FF" w14:textId="77777777" w:rsidR="00DA3C9D" w:rsidRPr="00DB0243" w:rsidRDefault="00DA3C9D" w:rsidP="002F5E9D">
      <w:pPr>
        <w:spacing w:after="100" w:line="276" w:lineRule="auto"/>
        <w:rPr>
          <w:szCs w:val="24"/>
          <w:lang w:val="en-US"/>
        </w:rPr>
      </w:pPr>
      <w:r w:rsidRPr="00DB0243">
        <w:rPr>
          <w:szCs w:val="24"/>
          <w:lang w:val="en-US"/>
        </w:rPr>
        <w:t>NADH</w:t>
      </w:r>
      <w:r w:rsidR="005B5655" w:rsidRPr="00DB0243">
        <w:rPr>
          <w:szCs w:val="24"/>
          <w:lang w:val="en-US"/>
        </w:rPr>
        <w:tab/>
      </w:r>
      <w:r w:rsidR="005B5655" w:rsidRPr="00DB0243">
        <w:rPr>
          <w:szCs w:val="24"/>
          <w:lang w:val="en-US"/>
        </w:rPr>
        <w:tab/>
        <w:t>Nicotinamidadenindinukleotid</w:t>
      </w:r>
    </w:p>
    <w:p w14:paraId="67E6575B" w14:textId="77777777" w:rsidR="00DA3C9D" w:rsidRPr="00DB0243" w:rsidRDefault="00DA3C9D" w:rsidP="002F5E9D">
      <w:pPr>
        <w:spacing w:after="100" w:line="276" w:lineRule="auto"/>
        <w:rPr>
          <w:szCs w:val="24"/>
          <w:lang w:val="en-US"/>
        </w:rPr>
      </w:pPr>
      <w:r w:rsidRPr="00DB0243">
        <w:rPr>
          <w:szCs w:val="24"/>
          <w:lang w:val="en-US"/>
        </w:rPr>
        <w:t>NADPH</w:t>
      </w:r>
      <w:r w:rsidR="00A41534" w:rsidRPr="00DB0243">
        <w:rPr>
          <w:szCs w:val="24"/>
          <w:lang w:val="en-US"/>
        </w:rPr>
        <w:tab/>
        <w:t>Nicotinamidadenindinukleotidphosphat</w:t>
      </w:r>
    </w:p>
    <w:p w14:paraId="0AB22D68" w14:textId="77777777" w:rsidR="00EE41BE" w:rsidRPr="00DB0243" w:rsidRDefault="00EE41BE" w:rsidP="002F5E9D">
      <w:pPr>
        <w:spacing w:after="100" w:line="276" w:lineRule="auto"/>
        <w:rPr>
          <w:szCs w:val="24"/>
          <w:lang w:val="en-US"/>
        </w:rPr>
      </w:pPr>
      <w:r w:rsidRPr="00DB0243">
        <w:rPr>
          <w:szCs w:val="24"/>
          <w:lang w:val="en-US"/>
        </w:rPr>
        <w:t>p.o.</w:t>
      </w:r>
      <w:r w:rsidR="00A41534" w:rsidRPr="00DB0243">
        <w:rPr>
          <w:szCs w:val="24"/>
          <w:lang w:val="en-US"/>
        </w:rPr>
        <w:tab/>
      </w:r>
      <w:r w:rsidR="00A41534" w:rsidRPr="00DB0243">
        <w:rPr>
          <w:szCs w:val="24"/>
          <w:lang w:val="en-US"/>
        </w:rPr>
        <w:tab/>
        <w:t>peroral</w:t>
      </w:r>
    </w:p>
    <w:p w14:paraId="70849F1B" w14:textId="77777777" w:rsidR="00C72E13" w:rsidRPr="00DB0243" w:rsidRDefault="00C72E13" w:rsidP="002F5E9D">
      <w:pPr>
        <w:spacing w:after="100" w:line="276" w:lineRule="auto"/>
        <w:rPr>
          <w:szCs w:val="24"/>
          <w:lang w:val="en-US"/>
        </w:rPr>
      </w:pPr>
      <w:r w:rsidRPr="00DB0243">
        <w:rPr>
          <w:szCs w:val="24"/>
          <w:lang w:val="en-US"/>
        </w:rPr>
        <w:t>PBS</w:t>
      </w:r>
      <w:r w:rsidR="00A41534" w:rsidRPr="00DB0243">
        <w:rPr>
          <w:szCs w:val="24"/>
          <w:lang w:val="en-US"/>
        </w:rPr>
        <w:tab/>
      </w:r>
      <w:r w:rsidR="00A41534" w:rsidRPr="00DB0243">
        <w:rPr>
          <w:szCs w:val="24"/>
          <w:lang w:val="en-US"/>
        </w:rPr>
        <w:tab/>
      </w:r>
      <w:r w:rsidR="00A41534" w:rsidRPr="00DB0243">
        <w:rPr>
          <w:rFonts w:eastAsia="Times New Roman" w:cs="Times New Roman"/>
          <w:i/>
          <w:iCs/>
          <w:lang w:val="en-US"/>
        </w:rPr>
        <w:t>Phosphate buffered saline</w:t>
      </w:r>
      <w:r w:rsidR="00A41534" w:rsidRPr="00DB0243">
        <w:rPr>
          <w:rFonts w:eastAsia="Times New Roman" w:cs="Times New Roman"/>
          <w:iCs/>
          <w:lang w:val="en-US"/>
        </w:rPr>
        <w:t>, isotonische phosphatgepufferte Salzlösung</w:t>
      </w:r>
    </w:p>
    <w:p w14:paraId="2AD8D515" w14:textId="77777777" w:rsidR="00EE41BE" w:rsidRPr="00DB0243" w:rsidRDefault="00EE41BE" w:rsidP="002F5E9D">
      <w:pPr>
        <w:spacing w:after="100" w:line="276" w:lineRule="auto"/>
        <w:rPr>
          <w:szCs w:val="24"/>
          <w:lang w:val="en-US"/>
        </w:rPr>
      </w:pPr>
      <w:r w:rsidRPr="00DB0243">
        <w:rPr>
          <w:szCs w:val="24"/>
          <w:lang w:val="en-US"/>
        </w:rPr>
        <w:t>PCL</w:t>
      </w:r>
      <w:r w:rsidR="00A41534" w:rsidRPr="00DB0243">
        <w:rPr>
          <w:szCs w:val="24"/>
          <w:lang w:val="en-US"/>
        </w:rPr>
        <w:tab/>
      </w:r>
      <w:r w:rsidR="00A41534" w:rsidRPr="00DB0243">
        <w:rPr>
          <w:szCs w:val="24"/>
          <w:lang w:val="en-US"/>
        </w:rPr>
        <w:tab/>
        <w:t>Poly-</w:t>
      </w:r>
      <w:r w:rsidR="00A41534" w:rsidRPr="00A41534">
        <w:rPr>
          <w:szCs w:val="24"/>
        </w:rPr>
        <w:t>ε</w:t>
      </w:r>
      <w:r w:rsidR="00A41534" w:rsidRPr="00DB0243">
        <w:rPr>
          <w:szCs w:val="24"/>
          <w:lang w:val="en-US"/>
        </w:rPr>
        <w:t>-Caprolacton</w:t>
      </w:r>
    </w:p>
    <w:p w14:paraId="5B734D49" w14:textId="77777777" w:rsidR="00DA3C9D" w:rsidRPr="00DB0243" w:rsidRDefault="00DA3C9D" w:rsidP="002F5E9D">
      <w:pPr>
        <w:spacing w:after="100" w:line="276" w:lineRule="auto"/>
        <w:rPr>
          <w:szCs w:val="24"/>
          <w:lang w:val="en-US"/>
        </w:rPr>
      </w:pPr>
      <w:r w:rsidRPr="00DB0243">
        <w:rPr>
          <w:szCs w:val="24"/>
          <w:lang w:val="en-US"/>
        </w:rPr>
        <w:t>PCV</w:t>
      </w:r>
      <w:r w:rsidR="00A41534" w:rsidRPr="00DB0243">
        <w:rPr>
          <w:szCs w:val="24"/>
          <w:lang w:val="en-US"/>
        </w:rPr>
        <w:tab/>
      </w:r>
      <w:r w:rsidR="00A41534" w:rsidRPr="00DB0243">
        <w:rPr>
          <w:szCs w:val="24"/>
          <w:lang w:val="en-US"/>
        </w:rPr>
        <w:tab/>
      </w:r>
      <w:r w:rsidR="00A41534" w:rsidRPr="00DB0243">
        <w:rPr>
          <w:rStyle w:val="Herausstellen"/>
          <w:rFonts w:eastAsia="Times New Roman" w:cs="Times New Roman"/>
          <w:lang w:val="en-US"/>
        </w:rPr>
        <w:t>Pressure control valve</w:t>
      </w:r>
      <w:r w:rsidR="00A41534" w:rsidRPr="00DB0243">
        <w:rPr>
          <w:rStyle w:val="Herausstellen"/>
          <w:rFonts w:eastAsia="Times New Roman" w:cs="Times New Roman"/>
          <w:i w:val="0"/>
          <w:lang w:val="en-US"/>
        </w:rPr>
        <w:t xml:space="preserve">, </w:t>
      </w:r>
      <w:r w:rsidR="006616B0" w:rsidRPr="00DB0243">
        <w:rPr>
          <w:rStyle w:val="Herausstellen"/>
          <w:rFonts w:eastAsia="Times New Roman" w:cs="Times New Roman"/>
          <w:i w:val="0"/>
          <w:lang w:val="en-US"/>
        </w:rPr>
        <w:t>Druckregulierungsventil</w:t>
      </w:r>
    </w:p>
    <w:p w14:paraId="7168CE5F" w14:textId="77777777" w:rsidR="00C72E13" w:rsidRPr="00DB0243" w:rsidRDefault="00C72E13" w:rsidP="002F5E9D">
      <w:pPr>
        <w:spacing w:after="100" w:line="276" w:lineRule="auto"/>
        <w:rPr>
          <w:szCs w:val="24"/>
          <w:lang w:val="en-US"/>
        </w:rPr>
      </w:pPr>
      <w:r w:rsidRPr="00DB0243">
        <w:rPr>
          <w:szCs w:val="24"/>
          <w:lang w:val="en-US"/>
        </w:rPr>
        <w:t>PDI</w:t>
      </w:r>
      <w:r w:rsidRPr="00DB0243">
        <w:rPr>
          <w:szCs w:val="24"/>
          <w:lang w:val="en-US"/>
        </w:rPr>
        <w:tab/>
      </w:r>
      <w:r w:rsidRPr="00DB0243">
        <w:rPr>
          <w:szCs w:val="24"/>
          <w:lang w:val="en-US"/>
        </w:rPr>
        <w:tab/>
        <w:t>Polydispersitätsindex</w:t>
      </w:r>
    </w:p>
    <w:p w14:paraId="5CC1FF15" w14:textId="77777777" w:rsidR="00EE41BE" w:rsidRPr="00DB0243" w:rsidRDefault="00EE41BE" w:rsidP="002F5E9D">
      <w:pPr>
        <w:spacing w:after="100" w:line="276" w:lineRule="auto"/>
        <w:rPr>
          <w:szCs w:val="24"/>
          <w:lang w:val="en-US"/>
        </w:rPr>
      </w:pPr>
      <w:r w:rsidRPr="00DB0243">
        <w:rPr>
          <w:szCs w:val="24"/>
          <w:lang w:val="en-US"/>
        </w:rPr>
        <w:t>PDLA</w:t>
      </w:r>
      <w:r w:rsidR="006616B0" w:rsidRPr="00DB0243">
        <w:rPr>
          <w:szCs w:val="24"/>
          <w:lang w:val="en-US"/>
        </w:rPr>
        <w:tab/>
      </w:r>
      <w:r w:rsidR="006616B0" w:rsidRPr="00DB0243">
        <w:rPr>
          <w:szCs w:val="24"/>
          <w:lang w:val="en-US"/>
        </w:rPr>
        <w:tab/>
        <w:t>Poly(D-lactid)</w:t>
      </w:r>
    </w:p>
    <w:p w14:paraId="1963AA1D" w14:textId="77777777" w:rsidR="00C72E13" w:rsidRPr="00DB0243" w:rsidRDefault="00C72E13" w:rsidP="002F5E9D">
      <w:pPr>
        <w:spacing w:after="100" w:line="276" w:lineRule="auto"/>
        <w:rPr>
          <w:szCs w:val="24"/>
          <w:lang w:val="en-US"/>
        </w:rPr>
      </w:pPr>
      <w:r w:rsidRPr="00DB0243">
        <w:rPr>
          <w:szCs w:val="24"/>
          <w:lang w:val="en-US"/>
        </w:rPr>
        <w:t>PEA</w:t>
      </w:r>
      <w:r w:rsidR="006616B0" w:rsidRPr="00DB0243">
        <w:rPr>
          <w:szCs w:val="24"/>
          <w:lang w:val="en-US"/>
        </w:rPr>
        <w:tab/>
      </w:r>
      <w:r w:rsidR="006616B0" w:rsidRPr="00DB0243">
        <w:rPr>
          <w:szCs w:val="24"/>
          <w:lang w:val="en-US"/>
        </w:rPr>
        <w:tab/>
        <w:t>Polyesteramid</w:t>
      </w:r>
    </w:p>
    <w:p w14:paraId="1F81DA14" w14:textId="77777777" w:rsidR="00C72E13" w:rsidRPr="00DB0243" w:rsidRDefault="00C72E13" w:rsidP="002F5E9D">
      <w:pPr>
        <w:spacing w:after="100" w:line="276" w:lineRule="auto"/>
        <w:rPr>
          <w:szCs w:val="24"/>
          <w:lang w:val="en-US"/>
        </w:rPr>
      </w:pPr>
      <w:r w:rsidRPr="00DB0243">
        <w:rPr>
          <w:szCs w:val="24"/>
          <w:lang w:val="en-US"/>
        </w:rPr>
        <w:t>PEC</w:t>
      </w:r>
      <w:r w:rsidR="006616B0" w:rsidRPr="00DB0243">
        <w:rPr>
          <w:szCs w:val="24"/>
          <w:lang w:val="en-US"/>
        </w:rPr>
        <w:tab/>
      </w:r>
      <w:r w:rsidR="006616B0" w:rsidRPr="00DB0243">
        <w:rPr>
          <w:szCs w:val="24"/>
          <w:lang w:val="en-US"/>
        </w:rPr>
        <w:tab/>
        <w:t>Polyelektrolytkom</w:t>
      </w:r>
      <w:r w:rsidR="00A27F16" w:rsidRPr="00DB0243">
        <w:rPr>
          <w:szCs w:val="24"/>
          <w:lang w:val="en-US"/>
        </w:rPr>
        <w:t>p</w:t>
      </w:r>
      <w:r w:rsidR="006616B0" w:rsidRPr="00DB0243">
        <w:rPr>
          <w:szCs w:val="24"/>
          <w:lang w:val="en-US"/>
        </w:rPr>
        <w:t>lex</w:t>
      </w:r>
    </w:p>
    <w:p w14:paraId="5397E5F0" w14:textId="77777777" w:rsidR="00EE41BE" w:rsidRPr="00DB0243" w:rsidRDefault="00EE41BE" w:rsidP="002F5E9D">
      <w:pPr>
        <w:spacing w:after="100" w:line="276" w:lineRule="auto"/>
        <w:rPr>
          <w:szCs w:val="24"/>
          <w:lang w:val="en-US"/>
        </w:rPr>
      </w:pPr>
      <w:r w:rsidRPr="00DB0243">
        <w:rPr>
          <w:szCs w:val="24"/>
          <w:lang w:val="en-US"/>
        </w:rPr>
        <w:t>PEG</w:t>
      </w:r>
      <w:r w:rsidR="006616B0" w:rsidRPr="00DB0243">
        <w:rPr>
          <w:szCs w:val="24"/>
          <w:lang w:val="en-US"/>
        </w:rPr>
        <w:tab/>
      </w:r>
      <w:r w:rsidR="006616B0" w:rsidRPr="00DB0243">
        <w:rPr>
          <w:szCs w:val="24"/>
          <w:lang w:val="en-US"/>
        </w:rPr>
        <w:tab/>
        <w:t>Polyethylenglycol</w:t>
      </w:r>
    </w:p>
    <w:p w14:paraId="055D1CA1" w14:textId="77777777" w:rsidR="00EE41BE" w:rsidRPr="00DB0243" w:rsidRDefault="00EE41BE" w:rsidP="002F5E9D">
      <w:pPr>
        <w:spacing w:after="100" w:line="276" w:lineRule="auto"/>
        <w:rPr>
          <w:szCs w:val="24"/>
          <w:lang w:val="en-US"/>
        </w:rPr>
      </w:pPr>
      <w:r w:rsidRPr="00DB0243">
        <w:rPr>
          <w:szCs w:val="24"/>
          <w:lang w:val="en-US"/>
        </w:rPr>
        <w:t>PEPT</w:t>
      </w:r>
      <w:r w:rsidR="006616B0" w:rsidRPr="00DB0243">
        <w:rPr>
          <w:szCs w:val="24"/>
          <w:lang w:val="en-US"/>
        </w:rPr>
        <w:tab/>
      </w:r>
      <w:r w:rsidR="006616B0" w:rsidRPr="00DB0243">
        <w:rPr>
          <w:szCs w:val="24"/>
          <w:lang w:val="en-US"/>
        </w:rPr>
        <w:tab/>
        <w:t>Peptid-Transporter</w:t>
      </w:r>
    </w:p>
    <w:p w14:paraId="60200A4D" w14:textId="77777777" w:rsidR="00C72E13" w:rsidRPr="00DB0243" w:rsidRDefault="00C72E13" w:rsidP="002F5E9D">
      <w:pPr>
        <w:spacing w:after="100" w:line="276" w:lineRule="auto"/>
        <w:rPr>
          <w:szCs w:val="24"/>
          <w:lang w:val="en-US"/>
        </w:rPr>
      </w:pPr>
      <w:r w:rsidRPr="00DB0243">
        <w:rPr>
          <w:szCs w:val="24"/>
          <w:lang w:val="en-US"/>
        </w:rPr>
        <w:t>PES</w:t>
      </w:r>
      <w:r w:rsidR="006616B0" w:rsidRPr="00DB0243">
        <w:rPr>
          <w:szCs w:val="24"/>
          <w:lang w:val="en-US"/>
        </w:rPr>
        <w:tab/>
      </w:r>
      <w:r w:rsidR="006616B0" w:rsidRPr="00DB0243">
        <w:rPr>
          <w:szCs w:val="24"/>
          <w:lang w:val="en-US"/>
        </w:rPr>
        <w:tab/>
        <w:t xml:space="preserve">Polyethersulfon, </w:t>
      </w:r>
      <w:r w:rsidR="006616B0" w:rsidRPr="00DB0243">
        <w:rPr>
          <w:rStyle w:val="Herausstellen"/>
          <w:rFonts w:eastAsia="Times New Roman" w:cs="Times New Roman"/>
          <w:lang w:val="en-US"/>
        </w:rPr>
        <w:t>Poly</w:t>
      </w:r>
      <w:r w:rsidR="006616B0" w:rsidRPr="00DB0243">
        <w:rPr>
          <w:rStyle w:val="st"/>
          <w:rFonts w:eastAsia="Times New Roman" w:cs="Times New Roman"/>
          <w:lang w:val="en-US"/>
        </w:rPr>
        <w:t>(oxy-1,4-phenylsulfonyl-1,4-phenyl)</w:t>
      </w:r>
    </w:p>
    <w:p w14:paraId="4838268E" w14:textId="77777777" w:rsidR="00EE41BE" w:rsidRPr="00DB0243" w:rsidRDefault="00EE41BE" w:rsidP="002F5E9D">
      <w:pPr>
        <w:spacing w:after="100" w:line="276" w:lineRule="auto"/>
        <w:rPr>
          <w:szCs w:val="24"/>
          <w:lang w:val="en-US"/>
        </w:rPr>
      </w:pPr>
      <w:r w:rsidRPr="00DB0243">
        <w:rPr>
          <w:szCs w:val="24"/>
          <w:lang w:val="en-US"/>
        </w:rPr>
        <w:t>PLA</w:t>
      </w:r>
      <w:r w:rsidR="006616B0" w:rsidRPr="00DB0243">
        <w:rPr>
          <w:szCs w:val="24"/>
          <w:lang w:val="en-US"/>
        </w:rPr>
        <w:tab/>
      </w:r>
      <w:r w:rsidR="006616B0" w:rsidRPr="00DB0243">
        <w:rPr>
          <w:szCs w:val="24"/>
          <w:lang w:val="en-US"/>
        </w:rPr>
        <w:tab/>
      </w:r>
      <w:r w:rsidR="006616B0" w:rsidRPr="00DB0243">
        <w:rPr>
          <w:i/>
          <w:szCs w:val="24"/>
          <w:lang w:val="en-US"/>
        </w:rPr>
        <w:t>Polylactic acid</w:t>
      </w:r>
      <w:r w:rsidR="006616B0" w:rsidRPr="00DB0243">
        <w:rPr>
          <w:szCs w:val="24"/>
          <w:lang w:val="en-US"/>
        </w:rPr>
        <w:t>, Polylactid / Polymilchsäure</w:t>
      </w:r>
    </w:p>
    <w:p w14:paraId="2D2BF5B8" w14:textId="77777777" w:rsidR="00EE41BE" w:rsidRPr="00DB0243" w:rsidRDefault="00EE41BE" w:rsidP="002F5E9D">
      <w:pPr>
        <w:spacing w:after="100" w:line="276" w:lineRule="auto"/>
        <w:rPr>
          <w:szCs w:val="24"/>
          <w:lang w:val="en-US"/>
        </w:rPr>
      </w:pPr>
      <w:r w:rsidRPr="00DB0243">
        <w:rPr>
          <w:szCs w:val="24"/>
          <w:lang w:val="en-US"/>
        </w:rPr>
        <w:t>PLGA</w:t>
      </w:r>
      <w:r w:rsidR="006616B0" w:rsidRPr="00DB0243">
        <w:rPr>
          <w:szCs w:val="24"/>
          <w:lang w:val="en-US"/>
        </w:rPr>
        <w:tab/>
      </w:r>
      <w:r w:rsidR="006616B0" w:rsidRPr="00DB0243">
        <w:rPr>
          <w:szCs w:val="24"/>
          <w:lang w:val="en-US"/>
        </w:rPr>
        <w:tab/>
        <w:t>Polylactid-co-Glycolid</w:t>
      </w:r>
    </w:p>
    <w:p w14:paraId="0A7E6F69" w14:textId="77777777" w:rsidR="00EE41BE" w:rsidRPr="00DB0243" w:rsidRDefault="00EE41BE" w:rsidP="002F5E9D">
      <w:pPr>
        <w:spacing w:after="100" w:line="276" w:lineRule="auto"/>
        <w:rPr>
          <w:szCs w:val="24"/>
          <w:lang w:val="en-US"/>
        </w:rPr>
      </w:pPr>
      <w:r w:rsidRPr="00DB0243">
        <w:rPr>
          <w:szCs w:val="24"/>
          <w:lang w:val="en-US"/>
        </w:rPr>
        <w:t>PLLA</w:t>
      </w:r>
      <w:r w:rsidR="006616B0" w:rsidRPr="00DB0243">
        <w:rPr>
          <w:szCs w:val="24"/>
          <w:lang w:val="en-US"/>
        </w:rPr>
        <w:tab/>
      </w:r>
      <w:r w:rsidR="006616B0" w:rsidRPr="00DB0243">
        <w:rPr>
          <w:szCs w:val="24"/>
          <w:lang w:val="en-US"/>
        </w:rPr>
        <w:tab/>
        <w:t>Poly(L-lactid)</w:t>
      </w:r>
    </w:p>
    <w:p w14:paraId="2F84C146" w14:textId="77777777" w:rsidR="00EE41BE" w:rsidRPr="00DB0243" w:rsidRDefault="00EE41BE" w:rsidP="002F5E9D">
      <w:pPr>
        <w:spacing w:after="100" w:line="276" w:lineRule="auto"/>
        <w:rPr>
          <w:szCs w:val="24"/>
          <w:lang w:val="en-US"/>
        </w:rPr>
      </w:pPr>
      <w:r w:rsidRPr="00DB0243">
        <w:rPr>
          <w:szCs w:val="24"/>
          <w:lang w:val="en-US"/>
        </w:rPr>
        <w:t>PVA</w:t>
      </w:r>
      <w:r w:rsidR="006616B0" w:rsidRPr="00DB0243">
        <w:rPr>
          <w:szCs w:val="24"/>
          <w:lang w:val="en-US"/>
        </w:rPr>
        <w:tab/>
      </w:r>
      <w:r w:rsidR="006616B0" w:rsidRPr="00DB0243">
        <w:rPr>
          <w:szCs w:val="24"/>
          <w:lang w:val="en-US"/>
        </w:rPr>
        <w:tab/>
        <w:t>Polyv</w:t>
      </w:r>
      <w:r w:rsidR="00A27F16" w:rsidRPr="00DB0243">
        <w:rPr>
          <w:szCs w:val="24"/>
          <w:lang w:val="en-US"/>
        </w:rPr>
        <w:t>i</w:t>
      </w:r>
      <w:r w:rsidR="006616B0" w:rsidRPr="00DB0243">
        <w:rPr>
          <w:szCs w:val="24"/>
          <w:lang w:val="en-US"/>
        </w:rPr>
        <w:t>nylalkohol</w:t>
      </w:r>
    </w:p>
    <w:p w14:paraId="12F761C4" w14:textId="77777777" w:rsidR="00DA3C9D" w:rsidRDefault="00DA3C9D" w:rsidP="002F5E9D">
      <w:pPr>
        <w:spacing w:after="100" w:line="276" w:lineRule="auto"/>
        <w:rPr>
          <w:szCs w:val="24"/>
        </w:rPr>
      </w:pPr>
      <w:r>
        <w:rPr>
          <w:szCs w:val="24"/>
        </w:rPr>
        <w:t>R&amp;I</w:t>
      </w:r>
      <w:r>
        <w:rPr>
          <w:szCs w:val="24"/>
        </w:rPr>
        <w:tab/>
      </w:r>
      <w:r>
        <w:rPr>
          <w:szCs w:val="24"/>
        </w:rPr>
        <w:tab/>
        <w:t>Rohrleitungs- und Instrumentenfließschema</w:t>
      </w:r>
    </w:p>
    <w:p w14:paraId="376E4CAF" w14:textId="77777777" w:rsidR="00C72E13" w:rsidRDefault="00C72E13" w:rsidP="002F5E9D">
      <w:pPr>
        <w:spacing w:after="100" w:line="276" w:lineRule="auto"/>
        <w:rPr>
          <w:szCs w:val="24"/>
        </w:rPr>
      </w:pPr>
      <w:r>
        <w:rPr>
          <w:szCs w:val="24"/>
        </w:rPr>
        <w:t>REM</w:t>
      </w:r>
      <w:r w:rsidR="00A27F16">
        <w:rPr>
          <w:szCs w:val="24"/>
        </w:rPr>
        <w:tab/>
      </w:r>
      <w:r w:rsidR="00A27F16">
        <w:rPr>
          <w:szCs w:val="24"/>
        </w:rPr>
        <w:tab/>
        <w:t>Rasterelektronenmikroskopie, -mikroskop</w:t>
      </w:r>
    </w:p>
    <w:p w14:paraId="1D809D0F" w14:textId="77777777" w:rsidR="00C72E13" w:rsidRPr="00DB0243" w:rsidRDefault="00C72E13" w:rsidP="002F5E9D">
      <w:pPr>
        <w:spacing w:after="100" w:line="276" w:lineRule="auto"/>
        <w:rPr>
          <w:i/>
          <w:szCs w:val="24"/>
          <w:lang w:val="en-US"/>
        </w:rPr>
      </w:pPr>
      <w:r w:rsidRPr="00DB0243">
        <w:rPr>
          <w:szCs w:val="24"/>
          <w:lang w:val="en-US"/>
        </w:rPr>
        <w:t>RESS</w:t>
      </w:r>
      <w:r w:rsidR="00A27F16" w:rsidRPr="00DB0243">
        <w:rPr>
          <w:szCs w:val="24"/>
          <w:lang w:val="en-US"/>
        </w:rPr>
        <w:tab/>
      </w:r>
      <w:r w:rsidR="00A27F16" w:rsidRPr="00DB0243">
        <w:rPr>
          <w:szCs w:val="24"/>
          <w:lang w:val="en-US"/>
        </w:rPr>
        <w:tab/>
      </w:r>
      <w:r w:rsidR="00A27F16" w:rsidRPr="00DB0243">
        <w:rPr>
          <w:i/>
          <w:szCs w:val="24"/>
          <w:lang w:val="en-US"/>
        </w:rPr>
        <w:t>Rapid Expansion of Supercritical Solutions</w:t>
      </w:r>
    </w:p>
    <w:p w14:paraId="6A1606DD" w14:textId="77777777" w:rsidR="00EE41BE" w:rsidRPr="00DB0243" w:rsidRDefault="00EE41BE" w:rsidP="002F5E9D">
      <w:pPr>
        <w:spacing w:after="100" w:line="276" w:lineRule="auto"/>
        <w:rPr>
          <w:szCs w:val="24"/>
          <w:lang w:val="en-US"/>
        </w:rPr>
      </w:pPr>
      <w:r w:rsidRPr="00DB0243">
        <w:rPr>
          <w:szCs w:val="24"/>
          <w:lang w:val="en-US"/>
        </w:rPr>
        <w:t>RNA</w:t>
      </w:r>
      <w:r w:rsidR="00A27F16" w:rsidRPr="00DB0243">
        <w:rPr>
          <w:szCs w:val="24"/>
          <w:lang w:val="en-US"/>
        </w:rPr>
        <w:tab/>
      </w:r>
      <w:r w:rsidR="00A27F16" w:rsidRPr="00DB0243">
        <w:rPr>
          <w:szCs w:val="24"/>
          <w:lang w:val="en-US"/>
        </w:rPr>
        <w:tab/>
        <w:t>Ribonukleinsäure</w:t>
      </w:r>
    </w:p>
    <w:p w14:paraId="6A1231E3" w14:textId="77777777" w:rsidR="00C72E13" w:rsidRPr="00DB0243" w:rsidRDefault="00C72E13" w:rsidP="002F5E9D">
      <w:pPr>
        <w:spacing w:after="100" w:line="276" w:lineRule="auto"/>
        <w:rPr>
          <w:szCs w:val="24"/>
          <w:lang w:val="en-US"/>
        </w:rPr>
      </w:pPr>
      <w:r w:rsidRPr="00DB0243">
        <w:rPr>
          <w:szCs w:val="24"/>
          <w:lang w:val="en-US"/>
        </w:rPr>
        <w:t>s.c.</w:t>
      </w:r>
      <w:r w:rsidR="00A27F16" w:rsidRPr="00DB0243">
        <w:rPr>
          <w:szCs w:val="24"/>
          <w:lang w:val="en-US"/>
        </w:rPr>
        <w:tab/>
      </w:r>
      <w:r w:rsidR="00A27F16" w:rsidRPr="00DB0243">
        <w:rPr>
          <w:szCs w:val="24"/>
          <w:lang w:val="en-US"/>
        </w:rPr>
        <w:tab/>
        <w:t>subkutan</w:t>
      </w:r>
    </w:p>
    <w:p w14:paraId="5710B6FE" w14:textId="77777777" w:rsidR="00C72E13" w:rsidRPr="00DB0243" w:rsidRDefault="00C72E13" w:rsidP="002F5E9D">
      <w:pPr>
        <w:spacing w:after="100" w:line="276" w:lineRule="auto"/>
        <w:rPr>
          <w:szCs w:val="24"/>
          <w:lang w:val="en-US"/>
        </w:rPr>
      </w:pPr>
      <w:r w:rsidRPr="00DB0243">
        <w:rPr>
          <w:szCs w:val="24"/>
          <w:lang w:val="en-US"/>
        </w:rPr>
        <w:t>TFE</w:t>
      </w:r>
      <w:r w:rsidRPr="00DB0243">
        <w:rPr>
          <w:szCs w:val="24"/>
          <w:lang w:val="en-US"/>
        </w:rPr>
        <w:tab/>
      </w:r>
      <w:r w:rsidRPr="00DB0243">
        <w:rPr>
          <w:szCs w:val="24"/>
          <w:lang w:val="en-US"/>
        </w:rPr>
        <w:tab/>
        <w:t>Trifluoressigsäure</w:t>
      </w:r>
    </w:p>
    <w:p w14:paraId="37490CD5" w14:textId="77777777" w:rsidR="00C72E13" w:rsidRPr="00DB0243" w:rsidRDefault="00C72E13" w:rsidP="002F5E9D">
      <w:pPr>
        <w:spacing w:after="100" w:line="276" w:lineRule="auto"/>
        <w:rPr>
          <w:szCs w:val="24"/>
          <w:lang w:val="en-US"/>
        </w:rPr>
      </w:pPr>
      <w:r w:rsidRPr="00DB0243">
        <w:rPr>
          <w:szCs w:val="24"/>
          <w:lang w:val="en-US"/>
        </w:rPr>
        <w:t>THF</w:t>
      </w:r>
      <w:r w:rsidR="00A27F16" w:rsidRPr="00DB0243">
        <w:rPr>
          <w:szCs w:val="24"/>
          <w:lang w:val="en-US"/>
        </w:rPr>
        <w:tab/>
      </w:r>
      <w:r w:rsidR="00A27F16" w:rsidRPr="00DB0243">
        <w:rPr>
          <w:szCs w:val="24"/>
          <w:lang w:val="en-US"/>
        </w:rPr>
        <w:tab/>
        <w:t>Tetrahydrofuran</w:t>
      </w:r>
    </w:p>
    <w:p w14:paraId="087E2A10" w14:textId="77777777" w:rsidR="00EE41BE" w:rsidRPr="00DB0243" w:rsidRDefault="00EE41BE" w:rsidP="002F5E9D">
      <w:pPr>
        <w:spacing w:after="100" w:line="276" w:lineRule="auto"/>
        <w:rPr>
          <w:szCs w:val="24"/>
          <w:lang w:val="en-US"/>
        </w:rPr>
      </w:pPr>
      <w:r w:rsidRPr="00DB0243">
        <w:rPr>
          <w:szCs w:val="24"/>
          <w:lang w:val="en-US"/>
        </w:rPr>
        <w:t>TMC</w:t>
      </w:r>
      <w:r w:rsidRPr="00DB0243">
        <w:rPr>
          <w:szCs w:val="24"/>
          <w:lang w:val="en-US"/>
        </w:rPr>
        <w:tab/>
      </w:r>
      <w:r w:rsidRPr="00DB0243">
        <w:rPr>
          <w:szCs w:val="24"/>
          <w:lang w:val="en-US"/>
        </w:rPr>
        <w:tab/>
        <w:t>N-Trimethylchitosanchlorid</w:t>
      </w:r>
    </w:p>
    <w:p w14:paraId="6B2063C1" w14:textId="77777777" w:rsidR="00C72E13" w:rsidRPr="00DB0243" w:rsidRDefault="00C72E13" w:rsidP="002F5E9D">
      <w:pPr>
        <w:spacing w:after="100" w:line="276" w:lineRule="auto"/>
        <w:rPr>
          <w:szCs w:val="24"/>
          <w:lang w:val="en-US"/>
        </w:rPr>
      </w:pPr>
      <w:r w:rsidRPr="00DB0243">
        <w:rPr>
          <w:szCs w:val="24"/>
          <w:lang w:val="en-US"/>
        </w:rPr>
        <w:t>UpM</w:t>
      </w:r>
      <w:r w:rsidR="00A27F16" w:rsidRPr="00DB0243">
        <w:rPr>
          <w:szCs w:val="24"/>
          <w:lang w:val="en-US"/>
        </w:rPr>
        <w:tab/>
      </w:r>
      <w:r w:rsidR="00A27F16" w:rsidRPr="00DB0243">
        <w:rPr>
          <w:szCs w:val="24"/>
          <w:lang w:val="en-US"/>
        </w:rPr>
        <w:tab/>
        <w:t>Umdrehungen pro Minute [min</w:t>
      </w:r>
      <w:r w:rsidR="00A27F16" w:rsidRPr="00DB0243">
        <w:rPr>
          <w:szCs w:val="24"/>
          <w:vertAlign w:val="superscript"/>
          <w:lang w:val="en-US"/>
        </w:rPr>
        <w:t>-1</w:t>
      </w:r>
      <w:r w:rsidR="00A27F16" w:rsidRPr="00DB0243">
        <w:rPr>
          <w:szCs w:val="24"/>
          <w:lang w:val="en-US"/>
        </w:rPr>
        <w:t>]</w:t>
      </w:r>
    </w:p>
    <w:p w14:paraId="549FC8F1" w14:textId="77777777" w:rsidR="00DA3C9D" w:rsidRPr="00EE41BE" w:rsidRDefault="00DA3C9D" w:rsidP="002F5E9D">
      <w:pPr>
        <w:spacing w:after="100" w:line="276" w:lineRule="auto"/>
        <w:rPr>
          <w:szCs w:val="24"/>
        </w:rPr>
        <w:sectPr w:rsidR="00DA3C9D" w:rsidRPr="00EE41BE" w:rsidSect="000B495F">
          <w:headerReference w:type="default" r:id="rId10"/>
          <w:endnotePr>
            <w:numFmt w:val="decimal"/>
          </w:endnotePr>
          <w:pgSz w:w="11906" w:h="16838"/>
          <w:pgMar w:top="1276" w:right="1417" w:bottom="1276" w:left="1417" w:header="708" w:footer="708" w:gutter="0"/>
          <w:pgNumType w:fmt="upperRoman" w:start="1"/>
          <w:cols w:space="708"/>
          <w:docGrid w:linePitch="360"/>
        </w:sectPr>
      </w:pPr>
      <w:r>
        <w:rPr>
          <w:szCs w:val="24"/>
        </w:rPr>
        <w:t>UT</w:t>
      </w:r>
      <w:r>
        <w:rPr>
          <w:szCs w:val="24"/>
        </w:rPr>
        <w:tab/>
      </w:r>
      <w:r>
        <w:rPr>
          <w:szCs w:val="24"/>
        </w:rPr>
        <w:tab/>
        <w:t>Ultra-Turrax</w:t>
      </w:r>
    </w:p>
    <w:p w14:paraId="10EC99B3" w14:textId="77777777" w:rsidR="00391870" w:rsidRPr="003B37C5" w:rsidRDefault="00FB6354" w:rsidP="00B90911">
      <w:pPr>
        <w:pStyle w:val="berschrift1"/>
      </w:pPr>
      <w:bookmarkStart w:id="0" w:name="_Toc294380146"/>
      <w:r>
        <w:lastRenderedPageBreak/>
        <w:t>Allgemeiner Teil und</w:t>
      </w:r>
      <w:r w:rsidR="00322E64" w:rsidRPr="003B37C5">
        <w:t xml:space="preserve"> Stand der Technik</w:t>
      </w:r>
      <w:bookmarkEnd w:id="0"/>
    </w:p>
    <w:p w14:paraId="5FD11AD4" w14:textId="77777777" w:rsidR="00501895" w:rsidRDefault="00501895" w:rsidP="00B90911">
      <w:pPr>
        <w:pStyle w:val="berschrift2"/>
      </w:pPr>
      <w:r>
        <w:tab/>
      </w:r>
      <w:bookmarkStart w:id="1" w:name="_Toc294380147"/>
      <w:r>
        <w:t>Einleitung</w:t>
      </w:r>
      <w:bookmarkEnd w:id="1"/>
    </w:p>
    <w:p w14:paraId="73FF16B2" w14:textId="77777777" w:rsidR="008E57AD" w:rsidRDefault="00C72AFB" w:rsidP="00045315">
      <w:r>
        <w:t>Die</w:t>
      </w:r>
      <w:r w:rsidR="003C5A37">
        <w:t xml:space="preserve"> Nanotechno</w:t>
      </w:r>
      <w:r>
        <w:t>logie stellt zweifelsfrei einen der großen Megatrends des 21. Jahrhunde</w:t>
      </w:r>
      <w:r w:rsidR="009650F0">
        <w:t>rts dar und gehört zu den w</w:t>
      </w:r>
      <w:r w:rsidR="00D70493">
        <w:t>i</w:t>
      </w:r>
      <w:r w:rsidR="009650F0">
        <w:t>chtigsten</w:t>
      </w:r>
      <w:r>
        <w:t xml:space="preserve"> Wachstums- und Zukunftsmärkten dieser</w:t>
      </w:r>
      <w:r w:rsidR="007E3499">
        <w:t xml:space="preserve"> Zeit. </w:t>
      </w:r>
      <w:r w:rsidR="00E4527D">
        <w:t xml:space="preserve">Zwischen den Jahren 2011 und 2013 ist die </w:t>
      </w:r>
      <w:r w:rsidR="00D70493">
        <w:t>Anz</w:t>
      </w:r>
      <w:r w:rsidR="00E4527D">
        <w:t>ahl der</w:t>
      </w:r>
      <w:r w:rsidR="00D70493">
        <w:t xml:space="preserve"> allein in Deutschland ansässigen</w:t>
      </w:r>
      <w:r w:rsidR="00E4527D">
        <w:t xml:space="preserve"> Institutionen aus Wirtschaft, Forschung und Gesellschaft</w:t>
      </w:r>
      <w:r w:rsidR="00D70493">
        <w:t>, die im Bereich der Nanotechnologie aktiv sind,</w:t>
      </w:r>
      <w:r w:rsidR="00E4527D">
        <w:t xml:space="preserve"> v</w:t>
      </w:r>
      <w:r w:rsidR="00D70493">
        <w:t>on 1.800 auf 2.300 angestiegen</w:t>
      </w:r>
      <w:r w:rsidR="00D70493">
        <w:rPr>
          <w:rStyle w:val="Endnotenzeichen"/>
        </w:rPr>
        <w:endnoteReference w:id="1"/>
      </w:r>
      <w:r w:rsidR="00D70493">
        <w:t xml:space="preserve">. </w:t>
      </w:r>
      <w:r w:rsidR="008E57AD">
        <w:t>D</w:t>
      </w:r>
      <w:r w:rsidR="00D70493">
        <w:t>ie kontinuierliche Forschungsförderung durch die Bundesregierung und die</w:t>
      </w:r>
      <w:r w:rsidR="001C22D7">
        <w:t xml:space="preserve"> Europäische Kommission sind</w:t>
      </w:r>
      <w:r w:rsidR="008E57AD">
        <w:t xml:space="preserve"> gleichermaßen ein Indiz</w:t>
      </w:r>
      <w:r w:rsidR="00D70493">
        <w:t xml:space="preserve"> für das enorme Potential, das dieser Technologie zugeschrieben wird.</w:t>
      </w:r>
    </w:p>
    <w:p w14:paraId="1C16A925" w14:textId="77777777" w:rsidR="00045315" w:rsidRDefault="007E3499" w:rsidP="00045315">
      <w:r>
        <w:t>Nanomaterialien werden bereits sehr erfolgreich in technischen Bereichen eingesetzt und e</w:t>
      </w:r>
      <w:r w:rsidR="009650F0">
        <w:t>röffneten hier bisher unbekannte</w:t>
      </w:r>
      <w:r>
        <w:t xml:space="preserve"> Mögl</w:t>
      </w:r>
      <w:r w:rsidR="000C0E90">
        <w:t xml:space="preserve">ichkeiten. </w:t>
      </w:r>
      <w:r w:rsidR="0072654C">
        <w:t>Der Siegeszug der Nanotechnologie im Bereich der Medizin steht jedoch weiter aus, obwohl hier mit ebenso bahnbrechenden Innovations</w:t>
      </w:r>
      <w:r w:rsidR="00085908">
        <w:t>chancen</w:t>
      </w:r>
      <w:r w:rsidR="00290923">
        <w:t xml:space="preserve"> zu rechnen ist. E</w:t>
      </w:r>
      <w:r w:rsidR="00085908">
        <w:t>inem</w:t>
      </w:r>
      <w:r w:rsidR="00013C7A">
        <w:t xml:space="preserve"> unzureichende</w:t>
      </w:r>
      <w:r w:rsidR="00085908">
        <w:t>n und häufig</w:t>
      </w:r>
      <w:r w:rsidR="00013C7A">
        <w:t xml:space="preserve"> unquali</w:t>
      </w:r>
      <w:r w:rsidR="00085908">
        <w:t>fizierten Informationsstand</w:t>
      </w:r>
      <w:r w:rsidR="00290923">
        <w:t xml:space="preserve"> geschuldet</w:t>
      </w:r>
      <w:r w:rsidR="00085908">
        <w:t xml:space="preserve"> </w:t>
      </w:r>
      <w:r w:rsidR="00433285">
        <w:t>bestehen in der</w:t>
      </w:r>
      <w:r w:rsidR="00085908">
        <w:t xml:space="preserve"> Gesellschaft häu</w:t>
      </w:r>
      <w:r w:rsidR="00433285">
        <w:t>fig</w:t>
      </w:r>
      <w:r w:rsidR="0055782D">
        <w:t xml:space="preserve"> vorwiegend</w:t>
      </w:r>
      <w:r w:rsidR="00085908">
        <w:t xml:space="preserve"> subjektive Sicherheitsbedenken</w:t>
      </w:r>
      <w:r w:rsidR="000C0E90">
        <w:t xml:space="preserve"> gegenüber Nanoprodukten</w:t>
      </w:r>
      <w:r w:rsidR="005A1762">
        <w:rPr>
          <w:rStyle w:val="Endnotenzeichen"/>
        </w:rPr>
        <w:endnoteReference w:id="2"/>
      </w:r>
      <w:r w:rsidR="00126BAA">
        <w:t>. Besonders h</w:t>
      </w:r>
      <w:r w:rsidR="00013C7A">
        <w:t>insichtlich einer Anwendung der Nanotechnologie in der Medizin</w:t>
      </w:r>
      <w:r w:rsidR="00126BAA">
        <w:t xml:space="preserve"> oder im Lebensmittelbereich</w:t>
      </w:r>
      <w:r w:rsidR="000C0E90">
        <w:t xml:space="preserve"> ist die</w:t>
      </w:r>
      <w:r w:rsidR="0072654C">
        <w:t xml:space="preserve"> öffent</w:t>
      </w:r>
      <w:r w:rsidR="00013C7A">
        <w:t>l</w:t>
      </w:r>
      <w:r w:rsidR="000C0E90">
        <w:t>iche Akzeptanz nach wie vor gering</w:t>
      </w:r>
      <w:r w:rsidR="0055782D">
        <w:rPr>
          <w:rStyle w:val="Endnotenzeichen"/>
        </w:rPr>
        <w:endnoteReference w:id="3"/>
      </w:r>
      <w:r w:rsidR="000C0E90">
        <w:t>.</w:t>
      </w:r>
      <w:r w:rsidR="00013C7A">
        <w:t xml:space="preserve"> Aus diesem Grund </w:t>
      </w:r>
      <w:r w:rsidR="0072654C">
        <w:t>ist der Einsatz dieser Schlüssel</w:t>
      </w:r>
      <w:r w:rsidR="006A5525">
        <w:t>-</w:t>
      </w:r>
      <w:r w:rsidR="0072654C">
        <w:t xml:space="preserve">technologie in der Medizin bis heute eher verhalten. Eine offene und verständliche Information und Diskussion seitens der Politik und der pharmazeutischen Industrie ist hier gefragt, um mehr Akzeptanz und Vertrauen </w:t>
      </w:r>
      <w:r w:rsidR="00FD4AD0">
        <w:t xml:space="preserve">sowie ein innovationsfreundliches Klima </w:t>
      </w:r>
      <w:r w:rsidR="0072654C">
        <w:t>zu schaffen.</w:t>
      </w:r>
    </w:p>
    <w:p w14:paraId="2C63BB4C" w14:textId="77777777" w:rsidR="0072654C" w:rsidRDefault="00FD4AD0" w:rsidP="00045315">
      <w:r>
        <w:t>Vor allem im Bereich der</w:t>
      </w:r>
      <w:r w:rsidR="00AA041B">
        <w:t xml:space="preserve"> </w:t>
      </w:r>
      <w:r>
        <w:t xml:space="preserve">pharmazeutischen </w:t>
      </w:r>
      <w:r w:rsidR="00AA041B">
        <w:t>Formulierung von Arzneistoffen</w:t>
      </w:r>
      <w:r w:rsidR="006A5525">
        <w:t xml:space="preserve"> bietet die </w:t>
      </w:r>
      <w:r w:rsidR="0072654C">
        <w:t>Nanotechnol</w:t>
      </w:r>
      <w:r>
        <w:t xml:space="preserve">ogie </w:t>
      </w:r>
      <w:r w:rsidR="009650F0">
        <w:t xml:space="preserve">immense Chancen hinsichtlich innovativer </w:t>
      </w:r>
      <w:r>
        <w:t>mediz</w:t>
      </w:r>
      <w:r w:rsidR="00C04128">
        <w:t>i</w:t>
      </w:r>
      <w:r>
        <w:t>nischer Anwendungen</w:t>
      </w:r>
      <w:r w:rsidR="0072654C">
        <w:t xml:space="preserve">. </w:t>
      </w:r>
      <w:r w:rsidR="00AA041B">
        <w:t>Neue pharmazeutisch</w:t>
      </w:r>
      <w:r>
        <w:t>e Wirkstoffe zur Therapie bedeutender</w:t>
      </w:r>
      <w:r w:rsidR="00AA041B">
        <w:t xml:space="preserve"> Volkskrankheiten wie Diabetes</w:t>
      </w:r>
      <w:r>
        <w:t xml:space="preserve"> mellitus</w:t>
      </w:r>
      <w:r w:rsidR="00AA041B">
        <w:t xml:space="preserve"> oder Krebs können aufgrund i</w:t>
      </w:r>
      <w:r>
        <w:t>hrer schlechten Löslichkeit und geringen</w:t>
      </w:r>
      <w:r w:rsidR="00AA041B">
        <w:t xml:space="preserve"> Resorbierbarkeit über den Magen-Darm-Trakt </w:t>
      </w:r>
      <w:r w:rsidR="00F961C9">
        <w:t xml:space="preserve">häufig </w:t>
      </w:r>
      <w:r w:rsidR="00AA041B">
        <w:t>nicht peroral appliziert werden und müssen</w:t>
      </w:r>
      <w:r>
        <w:t xml:space="preserve"> in aller Regel</w:t>
      </w:r>
      <w:r w:rsidR="00AA041B">
        <w:t xml:space="preserve"> invasiv verabrei</w:t>
      </w:r>
      <w:r>
        <w:t>cht werden. Dieser Weg ist keinesfalls</w:t>
      </w:r>
      <w:r w:rsidR="00AA041B">
        <w:t xml:space="preserve"> patientenfreundlich und verursacht zudem erhöhte Kosten für das Gesundheitssystem. Durch die Verwen</w:t>
      </w:r>
      <w:r w:rsidR="00290923">
        <w:t>dung geeigneter und bioabbaubarer</w:t>
      </w:r>
      <w:r w:rsidR="00AA041B">
        <w:t xml:space="preserve"> N</w:t>
      </w:r>
      <w:r>
        <w:t>anopartikel als Wirkstoffträger</w:t>
      </w:r>
      <w:r w:rsidR="00AA041B">
        <w:t xml:space="preserve"> könn</w:t>
      </w:r>
      <w:r w:rsidR="006A5525">
        <w:t>t</w:t>
      </w:r>
      <w:r w:rsidR="00AA041B">
        <w:t>en</w:t>
      </w:r>
      <w:r w:rsidR="00ED337F">
        <w:t xml:space="preserve"> </w:t>
      </w:r>
      <w:r w:rsidR="00AA041B">
        <w:t xml:space="preserve">neue und innovative Wirkstoffe wie beispielsweise Peptide und Proteine </w:t>
      </w:r>
      <w:r w:rsidR="00ED337F">
        <w:t xml:space="preserve">möglicherweise effizienter </w:t>
      </w:r>
      <w:r w:rsidR="00AA041B">
        <w:t>über physiologische Barrieren hinweg transpo</w:t>
      </w:r>
      <w:r>
        <w:t>rtiert werden, um an den Ort ihrer gewünschten</w:t>
      </w:r>
      <w:r w:rsidR="009650F0">
        <w:t xml:space="preserve"> Wirkung zu gelangen.</w:t>
      </w:r>
      <w:r w:rsidR="00A92304">
        <w:t xml:space="preserve"> Eine Verbesserung der systemischen</w:t>
      </w:r>
      <w:r w:rsidR="00401F03">
        <w:t xml:space="preserve"> Verfügbarkeit von häufig sehr teuren Peptid- oder Proteinwirkstoffen</w:t>
      </w:r>
      <w:r w:rsidR="00A92304">
        <w:t>, die</w:t>
      </w:r>
      <w:r w:rsidR="00401F03">
        <w:t xml:space="preserve"> zum aktuellen Zeitpunkt </w:t>
      </w:r>
      <w:r w:rsidR="00A92304">
        <w:t>ber</w:t>
      </w:r>
      <w:r w:rsidR="00401F03">
        <w:t xml:space="preserve">eits peroral eingesetzt werden, würde zudem durch Reduzierung der einzunehmenden Dosis eine immense </w:t>
      </w:r>
      <w:r w:rsidR="00401F03">
        <w:lastRenderedPageBreak/>
        <w:t>Einsparung von Kosten ermöglichen.</w:t>
      </w:r>
      <w:r w:rsidR="00BC20F8">
        <w:t xml:space="preserve"> Der Einsatz dieser Arzneistoffe</w:t>
      </w:r>
      <w:r w:rsidR="009650F0">
        <w:t xml:space="preserve"> in Form von</w:t>
      </w:r>
      <w:r>
        <w:t xml:space="preserve"> orale</w:t>
      </w:r>
      <w:r w:rsidR="009650F0">
        <w:t>n</w:t>
      </w:r>
      <w:r>
        <w:t xml:space="preserve"> nanopartikuläre</w:t>
      </w:r>
      <w:r w:rsidR="009650F0">
        <w:t>n</w:t>
      </w:r>
      <w:r>
        <w:t xml:space="preserve"> Darreichungsform</w:t>
      </w:r>
      <w:r w:rsidR="00401F03">
        <w:t>en mit ver</w:t>
      </w:r>
      <w:r w:rsidR="00BC20F8">
        <w:t>besserter</w:t>
      </w:r>
      <w:r w:rsidR="00401F03">
        <w:t xml:space="preserve"> Bioverfügbarkeit könnte</w:t>
      </w:r>
      <w:r w:rsidR="009650F0">
        <w:t xml:space="preserve"> somit</w:t>
      </w:r>
      <w:r>
        <w:t xml:space="preserve"> immens zu einer kostengünstigen und gut</w:t>
      </w:r>
      <w:r w:rsidR="00AA041B">
        <w:t xml:space="preserve"> verträglichen Arzneimitteltherapie </w:t>
      </w:r>
      <w:r>
        <w:t>beitragen.</w:t>
      </w:r>
    </w:p>
    <w:p w14:paraId="091517B2" w14:textId="77777777" w:rsidR="009650F0" w:rsidRPr="00045315" w:rsidRDefault="009650F0" w:rsidP="00045315">
      <w:r>
        <w:t>Aufgrund der bereits erwähnten Vorbehalte gegenüber einer medizinischen Anwendung von Nanomaterialien wurde die Forschung in diesem Bereich bislang nicht in dem Maße vorangetrieben</w:t>
      </w:r>
      <w:r w:rsidR="00963FC9">
        <w:t>,</w:t>
      </w:r>
      <w:r>
        <w:t xml:space="preserve"> wie es in ander</w:t>
      </w:r>
      <w:r w:rsidR="00C85848">
        <w:t>en Disziplinen der Fall war. Im Bereich der Entwicklung pharmazeutischer Hilfsstoffe, die sich zur Formulie</w:t>
      </w:r>
      <w:r w:rsidR="00963FC9">
        <w:t>rung nanoskaliger Arzeistoffträger</w:t>
      </w:r>
      <w:r w:rsidR="00C85848">
        <w:t xml:space="preserve"> eignen, besteht gleichermaßen Nachholbedarf wie im Hinblick auf industriell attra</w:t>
      </w:r>
      <w:r w:rsidR="006A5525">
        <w:t xml:space="preserve">ktive Herstellungsverfahren. </w:t>
      </w:r>
      <w:r w:rsidR="00F620C9">
        <w:t>Hieraus ergeben sich auch die wesentlichen Ziele</w:t>
      </w:r>
      <w:r w:rsidR="008E43F9">
        <w:t xml:space="preserve"> der vorliegenden Arbeit:</w:t>
      </w:r>
      <w:r w:rsidR="00F620C9">
        <w:t xml:space="preserve"> die Entwicklung nanoskaliger Arzneiformulierungen unter Verwendung neuer pharmazeutischer Hilfsst</w:t>
      </w:r>
      <w:r w:rsidR="00ED337F">
        <w:t xml:space="preserve">offe mit spezifischen Funktionalitäten sowie die </w:t>
      </w:r>
      <w:r w:rsidR="002B0FD3">
        <w:t>Weitere</w:t>
      </w:r>
      <w:r w:rsidR="00ED337F">
        <w:t>ntwicklung</w:t>
      </w:r>
      <w:r w:rsidR="00F620C9">
        <w:t xml:space="preserve"> von Her</w:t>
      </w:r>
      <w:r w:rsidR="00ED337F">
        <w:t>stellungsmethoden hinsichtlich</w:t>
      </w:r>
      <w:r w:rsidR="00F620C9">
        <w:t xml:space="preserve"> ihrer industriellen Nutzbarkeit. </w:t>
      </w:r>
      <w:r w:rsidR="006B2D67">
        <w:t>Damit</w:t>
      </w:r>
      <w:r w:rsidR="00F620C9">
        <w:t xml:space="preserve"> soll ein entsprechender wissenschaftlicher Beitrag zur Weiterentwicklung der Nanotechnologie für medizinische Anwendungen geleistet werden.</w:t>
      </w:r>
    </w:p>
    <w:p w14:paraId="093ACD47" w14:textId="77777777" w:rsidR="00BA1BF8" w:rsidRDefault="00BA1BF8" w:rsidP="00BA1BF8">
      <w:pPr>
        <w:pStyle w:val="berschrift2"/>
      </w:pPr>
      <w:r>
        <w:t xml:space="preserve"> </w:t>
      </w:r>
      <w:r>
        <w:tab/>
      </w:r>
      <w:bookmarkStart w:id="2" w:name="_Toc294380148"/>
      <w:r>
        <w:t>Peptidarzneistoffe</w:t>
      </w:r>
      <w:bookmarkEnd w:id="2"/>
    </w:p>
    <w:p w14:paraId="2FE1C674" w14:textId="77777777" w:rsidR="00856133" w:rsidRDefault="001D2E4F" w:rsidP="00646392">
      <w:r>
        <w:t>Als Peptide werden organische Verbindungen bezeichnet, die aus mindestens zwei</w:t>
      </w:r>
      <w:r w:rsidR="0064322C">
        <w:t xml:space="preserve"> miteinander verknüpften</w:t>
      </w:r>
      <w:r>
        <w:t xml:space="preserve"> A</w:t>
      </w:r>
      <w:r w:rsidR="008F717A">
        <w:t>minosäuren aufgebaut sind</w:t>
      </w:r>
      <w:r w:rsidR="006959B8">
        <w:t>. Besteht ein Peptid aus bis zu zehn</w:t>
      </w:r>
      <w:r w:rsidR="00E25F0F">
        <w:t xml:space="preserve"> Aminosäuren, wird es auch als Oligope</w:t>
      </w:r>
      <w:r w:rsidR="00FD28C1">
        <w:t>ptid bezeichnet, bei mehr als zehn</w:t>
      </w:r>
      <w:r w:rsidR="00E25F0F">
        <w:t xml:space="preserve"> enthaltenen Aminosäuren spricht man von Polyp</w:t>
      </w:r>
      <w:r w:rsidR="0064322C">
        <w:t xml:space="preserve">eptiden und Polypeptide mit </w:t>
      </w:r>
      <w:r w:rsidR="00E25F0F">
        <w:t>me</w:t>
      </w:r>
      <w:r w:rsidR="0064322C">
        <w:t xml:space="preserve">hr als 100 Aminosäuren werden </w:t>
      </w:r>
      <w:r w:rsidR="00E25F0F">
        <w:t>meist al</w:t>
      </w:r>
      <w:r w:rsidR="0064322C">
        <w:t>s Proteine oder Eiweiße bezeichnet</w:t>
      </w:r>
      <w:r w:rsidR="00E25F0F">
        <w:t>. Die Grundbausteine der Peptide sind in der Regel linear aneinander gereiht und durch Säureamidbindungen, die auch als Peptidbindungen bezeichnet werden, miteinander verknüpft. Diese typische Bindungsart war namensgebend für die</w:t>
      </w:r>
      <w:r w:rsidR="006959B8">
        <w:t xml:space="preserve"> gesamte</w:t>
      </w:r>
      <w:r w:rsidR="00E25F0F">
        <w:t xml:space="preserve"> Substanzk</w:t>
      </w:r>
      <w:r w:rsidR="006959B8">
        <w:t xml:space="preserve">lasse. </w:t>
      </w:r>
      <w:r w:rsidR="008F717A">
        <w:t>Ist d</w:t>
      </w:r>
      <w:r w:rsidR="006959B8">
        <w:t xml:space="preserve">ie </w:t>
      </w:r>
      <w:r w:rsidR="008F717A">
        <w:t>Aminosäurekette</w:t>
      </w:r>
      <w:r w:rsidR="006959B8">
        <w:t xml:space="preserve"> zu einem Ring g</w:t>
      </w:r>
      <w:r w:rsidR="008F717A">
        <w:t>eschlossen, spr</w:t>
      </w:r>
      <w:r w:rsidR="0064322C">
        <w:t>icht man von einem Cyclopeptid.</w:t>
      </w:r>
      <w:r w:rsidR="00E6724A">
        <w:t xml:space="preserve"> Während kleinere Peptide durch ihre Aminosäureseq</w:t>
      </w:r>
      <w:r w:rsidR="00BE492B">
        <w:t>u</w:t>
      </w:r>
      <w:r w:rsidR="00E6724A">
        <w:t xml:space="preserve">enz </w:t>
      </w:r>
      <w:r w:rsidR="006D2292">
        <w:t xml:space="preserve">(Primärstruktur) und einen eventuellen Ringschluss hinreichend charakterisiert sind, stellen sich bei Proteinen aufgrund spezieller Anordnungen und Faltungen der Proteinketten mitunter </w:t>
      </w:r>
      <w:r w:rsidR="004906DA">
        <w:t xml:space="preserve">auch </w:t>
      </w:r>
      <w:r w:rsidR="006D2292">
        <w:t xml:space="preserve">sehr komplexe dreidimensionale Strukturen </w:t>
      </w:r>
      <w:r w:rsidR="00817AD5">
        <w:t>(Sekundärstruktur oder Strukturen höherer Ordnung)</w:t>
      </w:r>
      <w:r w:rsidR="006D2292">
        <w:t xml:space="preserve"> ein</w:t>
      </w:r>
      <w:r w:rsidR="00817AD5">
        <w:t>.</w:t>
      </w:r>
    </w:p>
    <w:p w14:paraId="038729AF" w14:textId="77777777" w:rsidR="008522DA" w:rsidRDefault="008F717A" w:rsidP="00646392">
      <w:r>
        <w:t xml:space="preserve">Peptide und Proteine </w:t>
      </w:r>
      <w:r w:rsidR="00856133">
        <w:t>stellen zusammen mit Desoxyribonukleinsäuren (DNA) und Ribonukleinsäuren (RNA) die zentralen Moleküle des Lebens dar</w:t>
      </w:r>
      <w:r w:rsidR="008E0001">
        <w:t xml:space="preserve"> und finden sich in allen lebenden Zellen. Im menschlichen Organismus nehmen Peptide und Proteine vielfältige Aufgaben als strukturgebende Elemente oder bei physiologischen Stoffwechsel- und Regulationsprozessen wahr</w:t>
      </w:r>
      <w:r w:rsidR="00EB374C">
        <w:rPr>
          <w:rStyle w:val="Endnotenzeichen"/>
        </w:rPr>
        <w:endnoteReference w:id="4"/>
      </w:r>
      <w:r w:rsidR="008E0001">
        <w:t xml:space="preserve">. </w:t>
      </w:r>
      <w:r w:rsidR="00E6724A">
        <w:t xml:space="preserve">So besteht beispielsweise eine Vielzahl </w:t>
      </w:r>
      <w:r w:rsidR="008E43F9">
        <w:t>von</w:t>
      </w:r>
      <w:r w:rsidR="00817AD5">
        <w:t xml:space="preserve"> Hormonen aus Peptiden oder Proteinen (Neuropeptide, Schilddrüsenhormone, Hormone des Magen-Darm</w:t>
      </w:r>
      <w:r w:rsidR="00963FC9">
        <w:t>-T</w:t>
      </w:r>
      <w:r w:rsidR="00817AD5">
        <w:t>raktes, Hormone der pankreatischen Insel</w:t>
      </w:r>
      <w:r w:rsidR="00963FC9">
        <w:t>zellen wie Insulin und Glucagon</w:t>
      </w:r>
      <w:r w:rsidR="00817AD5">
        <w:t xml:space="preserve"> etc.).</w:t>
      </w:r>
      <w:r w:rsidR="00A1718E">
        <w:t xml:space="preserve"> Für die </w:t>
      </w:r>
      <w:r w:rsidR="00A1718E">
        <w:lastRenderedPageBreak/>
        <w:t>korrekte Funktionsweise des menschlichen Immunsystems sind ebenfalls Proteine, die sogenannten Immunoglobuline oder Antikörper</w:t>
      </w:r>
      <w:r w:rsidR="004906DA">
        <w:t>,</w:t>
      </w:r>
      <w:r w:rsidR="00A1718E">
        <w:t xml:space="preserve"> verantwortlich. </w:t>
      </w:r>
      <w:r w:rsidR="005C118C">
        <w:t xml:space="preserve">Weiterhin spielen Proteine bei der Kontrolle der Blutgerinnung in Form von Gerinnungsfaktoren eine wichtige Rolle. </w:t>
      </w:r>
      <w:r w:rsidR="00BF516D">
        <w:t>Die</w:t>
      </w:r>
      <w:r w:rsidR="00982999">
        <w:t xml:space="preserve"> an dieser Stelle nur beispielhaft genannten</w:t>
      </w:r>
      <w:r w:rsidR="00BF516D">
        <w:t xml:space="preserve"> vielfältigen und hoch spezifischen Wirkungen von Peptiden im menschlichen Organismus machen den Einsatz dieser Substanzklasse als pharmazeutische Wirkstoffe hoch attraktiv.</w:t>
      </w:r>
      <w:r w:rsidR="00BE492B">
        <w:t xml:space="preserve"> So wurde bereits</w:t>
      </w:r>
      <w:r w:rsidR="00A15067">
        <w:t xml:space="preserve"> 1923 Rinderinsulin </w:t>
      </w:r>
      <w:r w:rsidR="0021290A">
        <w:t>zur Therapie von Diabetes mellitus eingesetzt, ohne dass zu diesem Zeitpunkt überhaupt bekannt war, dass es sich bei d</w:t>
      </w:r>
      <w:r w:rsidR="00963FC9">
        <w:t>iese</w:t>
      </w:r>
      <w:r w:rsidR="0021290A">
        <w:t>r Substanz um ein Protein handelt.</w:t>
      </w:r>
    </w:p>
    <w:p w14:paraId="7356D45F" w14:textId="77777777" w:rsidR="00CA3BE0" w:rsidRDefault="0021290A" w:rsidP="00646392">
      <w:r>
        <w:t>Die klassischen Extraktionsmethoden aus tierischen Organen (z.B. Insulin aus Bauchspeicheldrüsen von Rindern oder Schweinen) oder aus humanem Plasma (Antikörper, Albumin) sind heute nur noch in Ausnahmefällen von Bedeutung (z.B. bei der Gewinnung von Gerinnungsfaktoren aus humanem Plasma). Heute ist d</w:t>
      </w:r>
      <w:r w:rsidR="005C118C">
        <w:t>ie Herstellung von Peptiden u</w:t>
      </w:r>
      <w:r>
        <w:t>nd kleineren Proteinen</w:t>
      </w:r>
      <w:r w:rsidR="005C118C">
        <w:t xml:space="preserve"> auf synthetischem Wege möglich. Die komplexeren Biopharmazeutika (</w:t>
      </w:r>
      <w:r w:rsidR="005C118C">
        <w:rPr>
          <w:i/>
        </w:rPr>
        <w:t>Biologicals)</w:t>
      </w:r>
      <w:r w:rsidR="00963FC9">
        <w:t xml:space="preserve"> werden biotechnologisch mith</w:t>
      </w:r>
      <w:r w:rsidR="005C118C">
        <w:t xml:space="preserve">ilfe von Mikroorganismen oder mit tierischen oder pflanzlichen Organismen produziert. </w:t>
      </w:r>
    </w:p>
    <w:p w14:paraId="651E2A62" w14:textId="77777777" w:rsidR="006A241B" w:rsidRDefault="00F57A98" w:rsidP="00646392">
      <w:r>
        <w:t>Peptide und Proteine besitzen häufig eine höhere Potenz, eine spezifischere Wirkung und eine bessere Wirksamkeit als konventionelle Arzneistoffe</w:t>
      </w:r>
      <w:r>
        <w:rPr>
          <w:rStyle w:val="Endnotenzeichen"/>
        </w:rPr>
        <w:endnoteReference w:id="5"/>
      </w:r>
      <w:r w:rsidR="00BF516D">
        <w:t xml:space="preserve">, da sie </w:t>
      </w:r>
      <w:r w:rsidR="00A1718E">
        <w:t>aufgrund ihrer klar definierten</w:t>
      </w:r>
      <w:r w:rsidR="00BF516D">
        <w:t xml:space="preserve"> Rezeptorspezifität</w:t>
      </w:r>
      <w:r w:rsidR="00E57D83">
        <w:t xml:space="preserve"> bzw.</w:t>
      </w:r>
      <w:r w:rsidR="00A1718E">
        <w:t xml:space="preserve"> Antigenität</w:t>
      </w:r>
      <w:r w:rsidR="00BF516D">
        <w:t xml:space="preserve"> sehr gezielt in unterschiedlichste physiologische </w:t>
      </w:r>
      <w:r w:rsidR="00A1718E">
        <w:t xml:space="preserve">oder immunologische </w:t>
      </w:r>
      <w:r w:rsidR="00BF516D">
        <w:t>Prozesse</w:t>
      </w:r>
      <w:r w:rsidR="00A1718E">
        <w:t xml:space="preserve"> </w:t>
      </w:r>
      <w:r w:rsidR="00BF516D">
        <w:t xml:space="preserve">eingreifen können. </w:t>
      </w:r>
      <w:r w:rsidR="00A10EFB">
        <w:t>In vielen Fällen eröffnete der Einsat</w:t>
      </w:r>
      <w:r w:rsidR="00A67B51">
        <w:t>z peptidischer Wirkstoffe ganz</w:t>
      </w:r>
      <w:r w:rsidR="00A10EFB">
        <w:t xml:space="preserve"> neue Therapieansätze für eine rationale und gut verträgl</w:t>
      </w:r>
      <w:r w:rsidR="001D2E4F">
        <w:t xml:space="preserve">iche Arzneimitteltherapie. </w:t>
      </w:r>
      <w:r w:rsidR="00E57D83">
        <w:t>Die Ähnlichkeit oder gar exakte Übereinstimmung mit endogenen</w:t>
      </w:r>
      <w:r w:rsidR="00FC5B73">
        <w:t xml:space="preserve"> Substanzen garantiert </w:t>
      </w:r>
      <w:r w:rsidR="00A67B51">
        <w:t>dabei eine</w:t>
      </w:r>
      <w:r w:rsidR="00FC5B73">
        <w:t xml:space="preserve"> gute Verträglichkeit vieler Peptidarzneistoffe.</w:t>
      </w:r>
      <w:r w:rsidR="00E57D83">
        <w:t xml:space="preserve"> </w:t>
      </w:r>
      <w:r w:rsidR="001D2E4F">
        <w:t>Die</w:t>
      </w:r>
      <w:r w:rsidR="00A10EFB">
        <w:t xml:space="preserve"> Erfolgsgeschichte</w:t>
      </w:r>
      <w:r w:rsidR="00FC5B73">
        <w:t xml:space="preserve"> dieser Substanzklasse</w:t>
      </w:r>
      <w:r w:rsidR="001D2E4F">
        <w:t xml:space="preserve"> lässt sich nicht zuletzt auch</w:t>
      </w:r>
      <w:r w:rsidR="00A10EFB">
        <w:t xml:space="preserve"> an der stetig wachsenden </w:t>
      </w:r>
      <w:r w:rsidR="002B3D11">
        <w:t>Anz</w:t>
      </w:r>
      <w:r w:rsidR="00A10EFB">
        <w:t xml:space="preserve">ahl neu zugelassener Substanzen ablesen. </w:t>
      </w:r>
      <w:r w:rsidR="00C067F0">
        <w:t>In 2010 lag die Anzahl zugelassener</w:t>
      </w:r>
      <w:r w:rsidR="008D25E0">
        <w:t xml:space="preserve"> </w:t>
      </w:r>
      <w:r w:rsidR="00621671">
        <w:t>P</w:t>
      </w:r>
      <w:r w:rsidR="00C067F0">
        <w:t>eptidarzneistoffe bei 51</w:t>
      </w:r>
      <w:r w:rsidR="00621671">
        <w:t>,</w:t>
      </w:r>
      <w:r w:rsidR="00C067F0">
        <w:t xml:space="preserve"> während sich</w:t>
      </w:r>
      <w:r w:rsidR="008522DA">
        <w:t xml:space="preserve"> zu dieser Zeit</w:t>
      </w:r>
      <w:r w:rsidR="00C067F0">
        <w:t xml:space="preserve"> 132</w:t>
      </w:r>
      <w:r w:rsidR="008522DA">
        <w:t xml:space="preserve"> weitere</w:t>
      </w:r>
      <w:r w:rsidR="00C067F0">
        <w:t xml:space="preserve"> Kandidaten</w:t>
      </w:r>
      <w:r w:rsidR="00621671">
        <w:t xml:space="preserve"> in der k</w:t>
      </w:r>
      <w:r w:rsidR="008522DA">
        <w:t>linischen Prüfung</w:t>
      </w:r>
      <w:r w:rsidR="00C067F0">
        <w:t xml:space="preserve"> befanden (darunter 15 in Phase III)</w:t>
      </w:r>
      <w:r w:rsidR="00621671">
        <w:rPr>
          <w:rStyle w:val="Endnotenzeichen"/>
        </w:rPr>
        <w:endnoteReference w:id="6"/>
      </w:r>
      <w:r w:rsidR="00621671">
        <w:t>.</w:t>
      </w:r>
      <w:r w:rsidR="008522DA">
        <w:t xml:space="preserve"> Ende 2012 waren be</w:t>
      </w:r>
      <w:r w:rsidR="001D2E4F">
        <w:t>reits über 60 Substanzen</w:t>
      </w:r>
      <w:r w:rsidR="008522DA">
        <w:t xml:space="preserve"> zugelassen</w:t>
      </w:r>
      <w:r w:rsidR="00C067F0">
        <w:t xml:space="preserve"> und 140 befanden sich in der klinischen Erprobung</w:t>
      </w:r>
      <w:r w:rsidR="00C067F0">
        <w:rPr>
          <w:rStyle w:val="Endnotenzeichen"/>
        </w:rPr>
        <w:endnoteReference w:id="7"/>
      </w:r>
      <w:r w:rsidR="00C067F0">
        <w:t>.</w:t>
      </w:r>
      <w:r w:rsidR="00982999">
        <w:t xml:space="preserve"> Die Therapiefelder umfassen beispielsweise die Krebstherapie, die Behandlung von Autoimmunerkrankungen, die Substitutionstherapie fehlender endogener Proteine oder die Therapie chronisch entzündlicher Erkrankungen.</w:t>
      </w:r>
    </w:p>
    <w:p w14:paraId="514CE4C4" w14:textId="77777777" w:rsidR="005C118C" w:rsidRDefault="00D16240" w:rsidP="008479C0">
      <w:pPr>
        <w:spacing w:after="0"/>
      </w:pPr>
      <w:r>
        <w:fldChar w:fldCharType="begin"/>
      </w:r>
      <w:r w:rsidR="00C5094F">
        <w:instrText xml:space="preserve"> REF _Ref277722324 \h </w:instrText>
      </w:r>
      <w:r>
        <w:fldChar w:fldCharType="separate"/>
      </w:r>
      <w:r w:rsidR="00711AB8" w:rsidRPr="00C5094F">
        <w:rPr>
          <w:color w:val="000000" w:themeColor="text1"/>
        </w:rPr>
        <w:t xml:space="preserve">Tabelle </w:t>
      </w:r>
      <w:r w:rsidR="00711AB8">
        <w:rPr>
          <w:noProof/>
          <w:color w:val="000000" w:themeColor="text1"/>
        </w:rPr>
        <w:t>1</w:t>
      </w:r>
      <w:r>
        <w:fldChar w:fldCharType="end"/>
      </w:r>
      <w:r w:rsidR="0021290A">
        <w:t xml:space="preserve"> enthält eine</w:t>
      </w:r>
      <w:r w:rsidR="00CA3BE0">
        <w:t xml:space="preserve"> Auswahl aktuell zugelassener Peptid- </w:t>
      </w:r>
      <w:r w:rsidR="008479C0">
        <w:t>und Proteinarzneimittel, um einen Überblick über die vielfältigen Anwendungsgebiete</w:t>
      </w:r>
      <w:r w:rsidR="005D2429">
        <w:t xml:space="preserve"> zu</w:t>
      </w:r>
      <w:r w:rsidR="008479C0">
        <w:t xml:space="preserve"> geben.</w:t>
      </w:r>
    </w:p>
    <w:p w14:paraId="0DF11404" w14:textId="77777777" w:rsidR="008479C0" w:rsidRDefault="008479C0" w:rsidP="00646392"/>
    <w:p w14:paraId="749984A3" w14:textId="77777777" w:rsidR="006A241B" w:rsidRDefault="006A241B" w:rsidP="00646392"/>
    <w:p w14:paraId="40826158" w14:textId="77777777" w:rsidR="006A241B" w:rsidRDefault="006A241B" w:rsidP="00646392"/>
    <w:p w14:paraId="64DD37D2" w14:textId="77777777" w:rsidR="00C5094F" w:rsidRPr="005D2429" w:rsidRDefault="00C5094F" w:rsidP="00B240B0">
      <w:pPr>
        <w:pStyle w:val="Beschriftung"/>
        <w:ind w:firstLine="0"/>
        <w:rPr>
          <w:b w:val="0"/>
          <w:color w:val="000000" w:themeColor="text1"/>
        </w:rPr>
      </w:pPr>
      <w:bookmarkStart w:id="3" w:name="_Ref277722324"/>
      <w:r w:rsidRPr="00C5094F">
        <w:rPr>
          <w:color w:val="000000" w:themeColor="text1"/>
        </w:rPr>
        <w:lastRenderedPageBreak/>
        <w:t xml:space="preserve">Tabelle </w:t>
      </w:r>
      <w:r w:rsidR="00D16240" w:rsidRPr="00C5094F">
        <w:rPr>
          <w:color w:val="000000" w:themeColor="text1"/>
        </w:rPr>
        <w:fldChar w:fldCharType="begin"/>
      </w:r>
      <w:r w:rsidRPr="00C5094F">
        <w:rPr>
          <w:color w:val="000000" w:themeColor="text1"/>
        </w:rPr>
        <w:instrText xml:space="preserve"> SEQ Tabelle \* ARABIC </w:instrText>
      </w:r>
      <w:r w:rsidR="00D16240" w:rsidRPr="00C5094F">
        <w:rPr>
          <w:color w:val="000000" w:themeColor="text1"/>
        </w:rPr>
        <w:fldChar w:fldCharType="separate"/>
      </w:r>
      <w:r w:rsidR="00711AB8">
        <w:rPr>
          <w:noProof/>
          <w:color w:val="000000" w:themeColor="text1"/>
        </w:rPr>
        <w:t>1</w:t>
      </w:r>
      <w:r w:rsidR="00D16240" w:rsidRPr="00C5094F">
        <w:rPr>
          <w:color w:val="000000" w:themeColor="text1"/>
        </w:rPr>
        <w:fldChar w:fldCharType="end"/>
      </w:r>
      <w:bookmarkEnd w:id="3"/>
      <w:r w:rsidR="005D2429">
        <w:rPr>
          <w:color w:val="000000" w:themeColor="text1"/>
        </w:rPr>
        <w:t xml:space="preserve"> </w:t>
      </w:r>
      <w:r w:rsidR="005D2429">
        <w:rPr>
          <w:b w:val="0"/>
          <w:color w:val="000000" w:themeColor="text1"/>
        </w:rPr>
        <w:t>Auswahl aktuell zugelassener</w:t>
      </w:r>
      <w:r w:rsidR="00006D9C">
        <w:rPr>
          <w:b w:val="0"/>
          <w:color w:val="000000" w:themeColor="text1"/>
        </w:rPr>
        <w:t xml:space="preserve"> Peptid- und Proteinarzneimittel</w:t>
      </w:r>
      <w:r w:rsidR="005D2429">
        <w:rPr>
          <w:b w:val="0"/>
          <w:color w:val="000000" w:themeColor="text1"/>
        </w:rPr>
        <w:t xml:space="preserve"> mit Darreichungsform und Indikationsgebiet</w:t>
      </w:r>
      <w:r w:rsidR="005A1762">
        <w:rPr>
          <w:rStyle w:val="Endnotenzeichen"/>
          <w:b w:val="0"/>
          <w:color w:val="000000" w:themeColor="text1"/>
        </w:rPr>
        <w:endnoteReference w:id="8"/>
      </w:r>
      <w:r w:rsidR="00203349">
        <w:rPr>
          <w:b w:val="0"/>
          <w:color w:val="000000" w:themeColor="text1"/>
        </w:rPr>
        <w:t>.</w:t>
      </w:r>
    </w:p>
    <w:tbl>
      <w:tblPr>
        <w:tblStyle w:val="Tabellenraster"/>
        <w:tblW w:w="0" w:type="auto"/>
        <w:tblLook w:val="04A0" w:firstRow="1" w:lastRow="0" w:firstColumn="1" w:lastColumn="0" w:noHBand="0" w:noVBand="1"/>
      </w:tblPr>
      <w:tblGrid>
        <w:gridCol w:w="2303"/>
        <w:gridCol w:w="2200"/>
        <w:gridCol w:w="2406"/>
        <w:gridCol w:w="2303"/>
      </w:tblGrid>
      <w:tr w:rsidR="00CA3BE0" w14:paraId="5E04415A" w14:textId="77777777" w:rsidTr="00DB350D">
        <w:trPr>
          <w:trHeight w:val="340"/>
        </w:trPr>
        <w:tc>
          <w:tcPr>
            <w:tcW w:w="2303" w:type="dxa"/>
            <w:tcBorders>
              <w:top w:val="single" w:sz="8" w:space="0" w:color="auto"/>
              <w:left w:val="single" w:sz="8" w:space="0" w:color="auto"/>
              <w:bottom w:val="single" w:sz="8" w:space="0" w:color="auto"/>
              <w:right w:val="single" w:sz="8" w:space="0" w:color="auto"/>
            </w:tcBorders>
            <w:shd w:val="clear" w:color="auto" w:fill="E6E6E6"/>
            <w:vAlign w:val="center"/>
          </w:tcPr>
          <w:p w14:paraId="15B35EBD" w14:textId="77777777" w:rsidR="00CA3BE0" w:rsidRPr="00637D32" w:rsidRDefault="00CA3BE0" w:rsidP="00D13063">
            <w:pPr>
              <w:spacing w:line="240" w:lineRule="auto"/>
              <w:jc w:val="center"/>
              <w:rPr>
                <w:b/>
                <w:sz w:val="20"/>
                <w:szCs w:val="20"/>
              </w:rPr>
            </w:pPr>
            <w:r w:rsidRPr="00637D32">
              <w:rPr>
                <w:b/>
                <w:sz w:val="20"/>
                <w:szCs w:val="20"/>
              </w:rPr>
              <w:t>Präparat</w:t>
            </w:r>
          </w:p>
        </w:tc>
        <w:tc>
          <w:tcPr>
            <w:tcW w:w="2200" w:type="dxa"/>
            <w:tcBorders>
              <w:top w:val="single" w:sz="8" w:space="0" w:color="auto"/>
              <w:left w:val="single" w:sz="8" w:space="0" w:color="auto"/>
              <w:bottom w:val="single" w:sz="8" w:space="0" w:color="auto"/>
              <w:right w:val="single" w:sz="8" w:space="0" w:color="auto"/>
            </w:tcBorders>
            <w:shd w:val="clear" w:color="auto" w:fill="E6E6E6"/>
            <w:vAlign w:val="center"/>
          </w:tcPr>
          <w:p w14:paraId="1D463E45" w14:textId="77777777" w:rsidR="00CA3BE0" w:rsidRPr="00637D32" w:rsidRDefault="00CA3BE0" w:rsidP="00D13063">
            <w:pPr>
              <w:spacing w:line="240" w:lineRule="auto"/>
              <w:jc w:val="center"/>
              <w:rPr>
                <w:b/>
                <w:sz w:val="20"/>
                <w:szCs w:val="20"/>
              </w:rPr>
            </w:pPr>
            <w:r w:rsidRPr="00637D32">
              <w:rPr>
                <w:b/>
                <w:sz w:val="20"/>
                <w:szCs w:val="20"/>
              </w:rPr>
              <w:t>Wirkstoff</w:t>
            </w:r>
          </w:p>
        </w:tc>
        <w:tc>
          <w:tcPr>
            <w:tcW w:w="2406" w:type="dxa"/>
            <w:tcBorders>
              <w:top w:val="single" w:sz="8" w:space="0" w:color="auto"/>
              <w:left w:val="single" w:sz="8" w:space="0" w:color="auto"/>
              <w:bottom w:val="single" w:sz="8" w:space="0" w:color="auto"/>
              <w:right w:val="single" w:sz="8" w:space="0" w:color="auto"/>
            </w:tcBorders>
            <w:shd w:val="clear" w:color="auto" w:fill="E6E6E6"/>
            <w:vAlign w:val="center"/>
          </w:tcPr>
          <w:p w14:paraId="2ACFAD17" w14:textId="77777777" w:rsidR="00CA3BE0" w:rsidRPr="00637D32" w:rsidRDefault="00CA3BE0" w:rsidP="00D13063">
            <w:pPr>
              <w:spacing w:line="240" w:lineRule="auto"/>
              <w:jc w:val="center"/>
              <w:rPr>
                <w:b/>
                <w:sz w:val="20"/>
                <w:szCs w:val="20"/>
              </w:rPr>
            </w:pPr>
            <w:r w:rsidRPr="00637D32">
              <w:rPr>
                <w:b/>
                <w:sz w:val="20"/>
                <w:szCs w:val="20"/>
              </w:rPr>
              <w:t>Darreichungsform</w:t>
            </w:r>
            <w:r w:rsidR="00637D32">
              <w:rPr>
                <w:b/>
                <w:sz w:val="20"/>
                <w:szCs w:val="20"/>
              </w:rPr>
              <w:t xml:space="preserve"> / </w:t>
            </w:r>
            <w:r w:rsidR="007F5C68">
              <w:rPr>
                <w:b/>
                <w:sz w:val="20"/>
                <w:szCs w:val="20"/>
              </w:rPr>
              <w:t>Verabreichungsform</w:t>
            </w:r>
          </w:p>
        </w:tc>
        <w:tc>
          <w:tcPr>
            <w:tcW w:w="2303" w:type="dxa"/>
            <w:tcBorders>
              <w:top w:val="single" w:sz="8" w:space="0" w:color="auto"/>
              <w:left w:val="single" w:sz="8" w:space="0" w:color="auto"/>
              <w:bottom w:val="single" w:sz="8" w:space="0" w:color="auto"/>
              <w:right w:val="single" w:sz="8" w:space="0" w:color="auto"/>
            </w:tcBorders>
            <w:shd w:val="clear" w:color="auto" w:fill="E6E6E6"/>
            <w:vAlign w:val="center"/>
          </w:tcPr>
          <w:p w14:paraId="7C3024E4" w14:textId="77777777" w:rsidR="00CA3BE0" w:rsidRPr="00637D32" w:rsidRDefault="00CA3BE0" w:rsidP="00D13063">
            <w:pPr>
              <w:spacing w:line="240" w:lineRule="auto"/>
              <w:jc w:val="center"/>
              <w:rPr>
                <w:b/>
                <w:sz w:val="20"/>
                <w:szCs w:val="20"/>
              </w:rPr>
            </w:pPr>
            <w:r w:rsidRPr="00637D32">
              <w:rPr>
                <w:b/>
                <w:sz w:val="20"/>
                <w:szCs w:val="20"/>
              </w:rPr>
              <w:t>Indikationsgebiet</w:t>
            </w:r>
          </w:p>
        </w:tc>
      </w:tr>
      <w:tr w:rsidR="00CA3BE0" w14:paraId="36A7F840" w14:textId="77777777" w:rsidTr="00DB350D">
        <w:trPr>
          <w:trHeight w:val="340"/>
        </w:trPr>
        <w:tc>
          <w:tcPr>
            <w:tcW w:w="2303" w:type="dxa"/>
            <w:tcBorders>
              <w:top w:val="single" w:sz="8" w:space="0" w:color="auto"/>
              <w:left w:val="single" w:sz="8" w:space="0" w:color="auto"/>
            </w:tcBorders>
            <w:vAlign w:val="center"/>
          </w:tcPr>
          <w:p w14:paraId="644C03B8" w14:textId="77777777" w:rsidR="00CA3BE0" w:rsidRPr="00637D32" w:rsidRDefault="00637D32" w:rsidP="00D13063">
            <w:pPr>
              <w:spacing w:line="240" w:lineRule="auto"/>
              <w:rPr>
                <w:sz w:val="18"/>
                <w:szCs w:val="18"/>
              </w:rPr>
            </w:pPr>
            <w:r>
              <w:rPr>
                <w:sz w:val="18"/>
                <w:szCs w:val="18"/>
              </w:rPr>
              <w:t>Profact</w:t>
            </w:r>
            <w:r w:rsidR="00070B25">
              <w:rPr>
                <w:sz w:val="18"/>
                <w:szCs w:val="18"/>
                <w:vertAlign w:val="superscript"/>
              </w:rPr>
              <w:t>®</w:t>
            </w:r>
          </w:p>
        </w:tc>
        <w:tc>
          <w:tcPr>
            <w:tcW w:w="2200" w:type="dxa"/>
            <w:tcBorders>
              <w:top w:val="single" w:sz="8" w:space="0" w:color="auto"/>
            </w:tcBorders>
            <w:vAlign w:val="center"/>
          </w:tcPr>
          <w:p w14:paraId="53378482" w14:textId="77777777" w:rsidR="00CA3BE0" w:rsidRPr="00637D32" w:rsidRDefault="00637D32" w:rsidP="00D13063">
            <w:pPr>
              <w:spacing w:line="240" w:lineRule="auto"/>
              <w:rPr>
                <w:sz w:val="18"/>
                <w:szCs w:val="18"/>
              </w:rPr>
            </w:pPr>
            <w:r>
              <w:rPr>
                <w:sz w:val="18"/>
                <w:szCs w:val="18"/>
              </w:rPr>
              <w:t>Buserilin</w:t>
            </w:r>
          </w:p>
        </w:tc>
        <w:tc>
          <w:tcPr>
            <w:tcW w:w="2406" w:type="dxa"/>
            <w:tcBorders>
              <w:top w:val="single" w:sz="8" w:space="0" w:color="auto"/>
            </w:tcBorders>
            <w:vAlign w:val="center"/>
          </w:tcPr>
          <w:p w14:paraId="13E340D4" w14:textId="77777777" w:rsidR="00CA3BE0" w:rsidRPr="00637D32" w:rsidRDefault="00637D32" w:rsidP="00D13063">
            <w:pPr>
              <w:spacing w:line="240" w:lineRule="auto"/>
              <w:rPr>
                <w:sz w:val="18"/>
                <w:szCs w:val="18"/>
              </w:rPr>
            </w:pPr>
            <w:r>
              <w:rPr>
                <w:sz w:val="18"/>
                <w:szCs w:val="18"/>
              </w:rPr>
              <w:t>Implantat (Stäbchen) / s.c.</w:t>
            </w:r>
          </w:p>
        </w:tc>
        <w:tc>
          <w:tcPr>
            <w:tcW w:w="2303" w:type="dxa"/>
            <w:tcBorders>
              <w:top w:val="single" w:sz="8" w:space="0" w:color="auto"/>
              <w:right w:val="single" w:sz="8" w:space="0" w:color="auto"/>
            </w:tcBorders>
            <w:vAlign w:val="center"/>
          </w:tcPr>
          <w:p w14:paraId="103AB114" w14:textId="77777777" w:rsidR="00CA3BE0" w:rsidRPr="00637D32" w:rsidRDefault="00637D32" w:rsidP="00D13063">
            <w:pPr>
              <w:spacing w:line="240" w:lineRule="auto"/>
              <w:rPr>
                <w:sz w:val="18"/>
                <w:szCs w:val="18"/>
              </w:rPr>
            </w:pPr>
            <w:r>
              <w:rPr>
                <w:sz w:val="18"/>
                <w:szCs w:val="18"/>
              </w:rPr>
              <w:t>Prostatakarzinom</w:t>
            </w:r>
          </w:p>
        </w:tc>
      </w:tr>
      <w:tr w:rsidR="00CA3BE0" w14:paraId="1FE51D43" w14:textId="77777777" w:rsidTr="00DB350D">
        <w:trPr>
          <w:trHeight w:val="340"/>
        </w:trPr>
        <w:tc>
          <w:tcPr>
            <w:tcW w:w="2303" w:type="dxa"/>
            <w:tcBorders>
              <w:left w:val="single" w:sz="8" w:space="0" w:color="auto"/>
            </w:tcBorders>
            <w:vAlign w:val="center"/>
          </w:tcPr>
          <w:p w14:paraId="64EB7AA0" w14:textId="77777777" w:rsidR="00CA3BE0" w:rsidRPr="00637D32" w:rsidRDefault="00637D32" w:rsidP="00D13063">
            <w:pPr>
              <w:spacing w:line="240" w:lineRule="auto"/>
              <w:rPr>
                <w:sz w:val="18"/>
                <w:szCs w:val="18"/>
              </w:rPr>
            </w:pPr>
            <w:r>
              <w:rPr>
                <w:sz w:val="18"/>
                <w:szCs w:val="18"/>
              </w:rPr>
              <w:t>Sandimmun Optoral</w:t>
            </w:r>
            <w:r w:rsidR="00070B25">
              <w:rPr>
                <w:sz w:val="18"/>
                <w:szCs w:val="18"/>
                <w:vertAlign w:val="superscript"/>
              </w:rPr>
              <w:t>®</w:t>
            </w:r>
          </w:p>
        </w:tc>
        <w:tc>
          <w:tcPr>
            <w:tcW w:w="2200" w:type="dxa"/>
            <w:vAlign w:val="center"/>
          </w:tcPr>
          <w:p w14:paraId="38CC41FD" w14:textId="77777777" w:rsidR="00CA3BE0" w:rsidRPr="00637D32" w:rsidRDefault="00637D32" w:rsidP="00D13063">
            <w:pPr>
              <w:spacing w:line="240" w:lineRule="auto"/>
              <w:rPr>
                <w:sz w:val="18"/>
                <w:szCs w:val="18"/>
              </w:rPr>
            </w:pPr>
            <w:r>
              <w:rPr>
                <w:sz w:val="18"/>
                <w:szCs w:val="18"/>
              </w:rPr>
              <w:t>Ciclosporin A</w:t>
            </w:r>
          </w:p>
        </w:tc>
        <w:tc>
          <w:tcPr>
            <w:tcW w:w="2406" w:type="dxa"/>
            <w:vAlign w:val="center"/>
          </w:tcPr>
          <w:p w14:paraId="0F0C560A" w14:textId="77777777" w:rsidR="00CA3BE0" w:rsidRPr="00637D32" w:rsidRDefault="00637D32" w:rsidP="00D13063">
            <w:pPr>
              <w:spacing w:line="240" w:lineRule="auto"/>
              <w:rPr>
                <w:sz w:val="18"/>
                <w:szCs w:val="18"/>
              </w:rPr>
            </w:pPr>
            <w:r>
              <w:rPr>
                <w:sz w:val="18"/>
                <w:szCs w:val="18"/>
              </w:rPr>
              <w:t>Lösung / p.o.</w:t>
            </w:r>
          </w:p>
        </w:tc>
        <w:tc>
          <w:tcPr>
            <w:tcW w:w="2303" w:type="dxa"/>
            <w:tcBorders>
              <w:right w:val="single" w:sz="8" w:space="0" w:color="auto"/>
            </w:tcBorders>
            <w:vAlign w:val="center"/>
          </w:tcPr>
          <w:p w14:paraId="674D69EA" w14:textId="77777777" w:rsidR="00CA3BE0" w:rsidRPr="00637D32" w:rsidRDefault="007F5C68" w:rsidP="00D13063">
            <w:pPr>
              <w:spacing w:line="240" w:lineRule="auto"/>
              <w:rPr>
                <w:sz w:val="18"/>
                <w:szCs w:val="18"/>
              </w:rPr>
            </w:pPr>
            <w:r>
              <w:rPr>
                <w:sz w:val="18"/>
                <w:szCs w:val="18"/>
              </w:rPr>
              <w:t>Immunsuppressivum</w:t>
            </w:r>
          </w:p>
        </w:tc>
      </w:tr>
      <w:tr w:rsidR="00CA3BE0" w14:paraId="1A0DC54E" w14:textId="77777777" w:rsidTr="00DB350D">
        <w:trPr>
          <w:trHeight w:val="340"/>
        </w:trPr>
        <w:tc>
          <w:tcPr>
            <w:tcW w:w="2303" w:type="dxa"/>
            <w:tcBorders>
              <w:left w:val="single" w:sz="8" w:space="0" w:color="auto"/>
            </w:tcBorders>
            <w:vAlign w:val="center"/>
          </w:tcPr>
          <w:p w14:paraId="33A0525B" w14:textId="77777777" w:rsidR="00CA3BE0" w:rsidRPr="00637D32" w:rsidRDefault="007F5C68" w:rsidP="00D13063">
            <w:pPr>
              <w:spacing w:line="240" w:lineRule="auto"/>
              <w:rPr>
                <w:sz w:val="18"/>
                <w:szCs w:val="18"/>
              </w:rPr>
            </w:pPr>
            <w:r>
              <w:rPr>
                <w:sz w:val="18"/>
                <w:szCs w:val="18"/>
              </w:rPr>
              <w:t>Minirin</w:t>
            </w:r>
            <w:r w:rsidR="00070B25">
              <w:rPr>
                <w:sz w:val="18"/>
                <w:szCs w:val="18"/>
                <w:vertAlign w:val="superscript"/>
              </w:rPr>
              <w:t>®</w:t>
            </w:r>
          </w:p>
        </w:tc>
        <w:tc>
          <w:tcPr>
            <w:tcW w:w="2200" w:type="dxa"/>
            <w:vAlign w:val="center"/>
          </w:tcPr>
          <w:p w14:paraId="28843DAF" w14:textId="77777777" w:rsidR="00CA3BE0" w:rsidRPr="00637D32" w:rsidRDefault="007F5C68" w:rsidP="00D13063">
            <w:pPr>
              <w:spacing w:line="240" w:lineRule="auto"/>
              <w:rPr>
                <w:sz w:val="18"/>
                <w:szCs w:val="18"/>
              </w:rPr>
            </w:pPr>
            <w:r>
              <w:rPr>
                <w:sz w:val="18"/>
                <w:szCs w:val="18"/>
              </w:rPr>
              <w:t>Desmopressin</w:t>
            </w:r>
            <w:r w:rsidR="00630E96">
              <w:rPr>
                <w:sz w:val="18"/>
                <w:szCs w:val="18"/>
              </w:rPr>
              <w:t>acetat</w:t>
            </w:r>
          </w:p>
        </w:tc>
        <w:tc>
          <w:tcPr>
            <w:tcW w:w="2406" w:type="dxa"/>
            <w:vAlign w:val="center"/>
          </w:tcPr>
          <w:p w14:paraId="743F2721" w14:textId="77777777" w:rsidR="00CA3BE0" w:rsidRPr="00637D32" w:rsidRDefault="007F5C68" w:rsidP="00D13063">
            <w:pPr>
              <w:spacing w:line="240" w:lineRule="auto"/>
              <w:rPr>
                <w:sz w:val="18"/>
                <w:szCs w:val="18"/>
              </w:rPr>
            </w:pPr>
            <w:r>
              <w:rPr>
                <w:sz w:val="18"/>
                <w:szCs w:val="18"/>
              </w:rPr>
              <w:t>Tablette / p.o.</w:t>
            </w:r>
          </w:p>
        </w:tc>
        <w:tc>
          <w:tcPr>
            <w:tcW w:w="2303" w:type="dxa"/>
            <w:tcBorders>
              <w:right w:val="single" w:sz="8" w:space="0" w:color="auto"/>
            </w:tcBorders>
            <w:vAlign w:val="center"/>
          </w:tcPr>
          <w:p w14:paraId="35CD24E9" w14:textId="77777777" w:rsidR="00CA3BE0" w:rsidRPr="00637D32" w:rsidRDefault="007F5C68" w:rsidP="00D13063">
            <w:pPr>
              <w:spacing w:line="240" w:lineRule="auto"/>
              <w:rPr>
                <w:sz w:val="18"/>
                <w:szCs w:val="18"/>
              </w:rPr>
            </w:pPr>
            <w:r>
              <w:rPr>
                <w:sz w:val="18"/>
                <w:szCs w:val="18"/>
              </w:rPr>
              <w:t>Diabetes insipidus</w:t>
            </w:r>
          </w:p>
        </w:tc>
      </w:tr>
      <w:tr w:rsidR="00CA3BE0" w14:paraId="612D87C0" w14:textId="77777777" w:rsidTr="00DB350D">
        <w:trPr>
          <w:trHeight w:val="340"/>
        </w:trPr>
        <w:tc>
          <w:tcPr>
            <w:tcW w:w="2303" w:type="dxa"/>
            <w:tcBorders>
              <w:left w:val="single" w:sz="8" w:space="0" w:color="auto"/>
            </w:tcBorders>
            <w:vAlign w:val="center"/>
          </w:tcPr>
          <w:p w14:paraId="1D56FFD4" w14:textId="77777777" w:rsidR="00CA3BE0" w:rsidRPr="00637D32" w:rsidRDefault="007F5C68" w:rsidP="00D13063">
            <w:pPr>
              <w:spacing w:line="240" w:lineRule="auto"/>
              <w:rPr>
                <w:sz w:val="18"/>
                <w:szCs w:val="18"/>
              </w:rPr>
            </w:pPr>
            <w:r>
              <w:rPr>
                <w:sz w:val="18"/>
                <w:szCs w:val="18"/>
              </w:rPr>
              <w:t>Enantone Depot</w:t>
            </w:r>
            <w:r w:rsidR="00070B25">
              <w:rPr>
                <w:sz w:val="18"/>
                <w:szCs w:val="18"/>
                <w:vertAlign w:val="superscript"/>
              </w:rPr>
              <w:t>®</w:t>
            </w:r>
          </w:p>
        </w:tc>
        <w:tc>
          <w:tcPr>
            <w:tcW w:w="2200" w:type="dxa"/>
            <w:vAlign w:val="center"/>
          </w:tcPr>
          <w:p w14:paraId="2DA12E3A" w14:textId="77777777" w:rsidR="00CA3BE0" w:rsidRPr="00637D32" w:rsidRDefault="007F5C68" w:rsidP="00D13063">
            <w:pPr>
              <w:spacing w:line="240" w:lineRule="auto"/>
              <w:rPr>
                <w:sz w:val="18"/>
                <w:szCs w:val="18"/>
              </w:rPr>
            </w:pPr>
            <w:r>
              <w:rPr>
                <w:sz w:val="18"/>
                <w:szCs w:val="18"/>
              </w:rPr>
              <w:t>Leuprorelin</w:t>
            </w:r>
          </w:p>
        </w:tc>
        <w:tc>
          <w:tcPr>
            <w:tcW w:w="2406" w:type="dxa"/>
            <w:vAlign w:val="center"/>
          </w:tcPr>
          <w:p w14:paraId="1B77221E" w14:textId="77777777" w:rsidR="00CA3BE0" w:rsidRPr="00637D32" w:rsidRDefault="007F5C68" w:rsidP="00D13063">
            <w:pPr>
              <w:spacing w:line="240" w:lineRule="auto"/>
              <w:rPr>
                <w:sz w:val="18"/>
                <w:szCs w:val="18"/>
              </w:rPr>
            </w:pPr>
            <w:r>
              <w:rPr>
                <w:sz w:val="18"/>
                <w:szCs w:val="18"/>
              </w:rPr>
              <w:t>Mikropartikel</w:t>
            </w:r>
            <w:r w:rsidR="005736C9">
              <w:rPr>
                <w:sz w:val="18"/>
                <w:szCs w:val="18"/>
              </w:rPr>
              <w:t xml:space="preserve"> (PLGA)</w:t>
            </w:r>
            <w:r>
              <w:rPr>
                <w:sz w:val="18"/>
                <w:szCs w:val="18"/>
              </w:rPr>
              <w:t xml:space="preserve"> / s.c.</w:t>
            </w:r>
          </w:p>
        </w:tc>
        <w:tc>
          <w:tcPr>
            <w:tcW w:w="2303" w:type="dxa"/>
            <w:tcBorders>
              <w:right w:val="single" w:sz="8" w:space="0" w:color="auto"/>
            </w:tcBorders>
            <w:vAlign w:val="center"/>
          </w:tcPr>
          <w:p w14:paraId="44649178" w14:textId="77777777" w:rsidR="00CA3BE0" w:rsidRPr="00637D32" w:rsidRDefault="007F5C68" w:rsidP="00D13063">
            <w:pPr>
              <w:spacing w:line="240" w:lineRule="auto"/>
              <w:rPr>
                <w:sz w:val="18"/>
                <w:szCs w:val="18"/>
              </w:rPr>
            </w:pPr>
            <w:r>
              <w:rPr>
                <w:sz w:val="18"/>
                <w:szCs w:val="18"/>
              </w:rPr>
              <w:t>Prostatakarzinom</w:t>
            </w:r>
          </w:p>
        </w:tc>
      </w:tr>
      <w:tr w:rsidR="00CA3BE0" w14:paraId="2B15C820" w14:textId="77777777" w:rsidTr="00DB350D">
        <w:trPr>
          <w:trHeight w:val="340"/>
        </w:trPr>
        <w:tc>
          <w:tcPr>
            <w:tcW w:w="2303" w:type="dxa"/>
            <w:tcBorders>
              <w:left w:val="single" w:sz="8" w:space="0" w:color="auto"/>
            </w:tcBorders>
            <w:vAlign w:val="center"/>
          </w:tcPr>
          <w:p w14:paraId="2ABDC4D1" w14:textId="77777777" w:rsidR="00CA3BE0" w:rsidRPr="00637D32" w:rsidRDefault="007F5C68" w:rsidP="00D13063">
            <w:pPr>
              <w:spacing w:line="240" w:lineRule="auto"/>
              <w:rPr>
                <w:sz w:val="18"/>
                <w:szCs w:val="18"/>
              </w:rPr>
            </w:pPr>
            <w:r>
              <w:rPr>
                <w:sz w:val="18"/>
                <w:szCs w:val="18"/>
              </w:rPr>
              <w:t>Sandostatin LAR Depot</w:t>
            </w:r>
            <w:r w:rsidR="00070B25">
              <w:rPr>
                <w:sz w:val="18"/>
                <w:szCs w:val="18"/>
                <w:vertAlign w:val="superscript"/>
              </w:rPr>
              <w:t>®</w:t>
            </w:r>
          </w:p>
        </w:tc>
        <w:tc>
          <w:tcPr>
            <w:tcW w:w="2200" w:type="dxa"/>
            <w:vAlign w:val="center"/>
          </w:tcPr>
          <w:p w14:paraId="4D344743" w14:textId="77777777" w:rsidR="00CA3BE0" w:rsidRPr="00637D32" w:rsidRDefault="007F5C68" w:rsidP="00D13063">
            <w:pPr>
              <w:spacing w:line="240" w:lineRule="auto"/>
              <w:rPr>
                <w:sz w:val="18"/>
                <w:szCs w:val="18"/>
              </w:rPr>
            </w:pPr>
            <w:r>
              <w:rPr>
                <w:sz w:val="18"/>
                <w:szCs w:val="18"/>
              </w:rPr>
              <w:t>Octreotid</w:t>
            </w:r>
          </w:p>
        </w:tc>
        <w:tc>
          <w:tcPr>
            <w:tcW w:w="2406" w:type="dxa"/>
            <w:vAlign w:val="center"/>
          </w:tcPr>
          <w:p w14:paraId="699EBE2A" w14:textId="77777777" w:rsidR="00CA3BE0" w:rsidRPr="00637D32" w:rsidRDefault="007F5C68" w:rsidP="00D13063">
            <w:pPr>
              <w:spacing w:line="240" w:lineRule="auto"/>
              <w:rPr>
                <w:sz w:val="18"/>
                <w:szCs w:val="18"/>
              </w:rPr>
            </w:pPr>
            <w:r>
              <w:rPr>
                <w:sz w:val="18"/>
                <w:szCs w:val="18"/>
              </w:rPr>
              <w:t xml:space="preserve">Mikropartikel </w:t>
            </w:r>
            <w:r w:rsidR="005736C9">
              <w:rPr>
                <w:sz w:val="18"/>
                <w:szCs w:val="18"/>
              </w:rPr>
              <w:t xml:space="preserve">(PLGA) </w:t>
            </w:r>
            <w:r>
              <w:rPr>
                <w:sz w:val="18"/>
                <w:szCs w:val="18"/>
              </w:rPr>
              <w:t>/ s.c.</w:t>
            </w:r>
          </w:p>
        </w:tc>
        <w:tc>
          <w:tcPr>
            <w:tcW w:w="2303" w:type="dxa"/>
            <w:tcBorders>
              <w:right w:val="single" w:sz="8" w:space="0" w:color="auto"/>
            </w:tcBorders>
            <w:vAlign w:val="center"/>
          </w:tcPr>
          <w:p w14:paraId="09F22F85" w14:textId="77777777" w:rsidR="00CA3BE0" w:rsidRPr="00637D32" w:rsidRDefault="005736C9" w:rsidP="00D13063">
            <w:pPr>
              <w:spacing w:line="240" w:lineRule="auto"/>
              <w:rPr>
                <w:sz w:val="18"/>
                <w:szCs w:val="18"/>
              </w:rPr>
            </w:pPr>
            <w:r>
              <w:rPr>
                <w:sz w:val="18"/>
                <w:szCs w:val="18"/>
              </w:rPr>
              <w:t>Gastrointestinale Tumore</w:t>
            </w:r>
          </w:p>
        </w:tc>
      </w:tr>
      <w:tr w:rsidR="00CA3BE0" w14:paraId="038940D8" w14:textId="77777777" w:rsidTr="00DB350D">
        <w:trPr>
          <w:trHeight w:val="340"/>
        </w:trPr>
        <w:tc>
          <w:tcPr>
            <w:tcW w:w="2303" w:type="dxa"/>
            <w:tcBorders>
              <w:left w:val="single" w:sz="8" w:space="0" w:color="auto"/>
            </w:tcBorders>
            <w:vAlign w:val="center"/>
          </w:tcPr>
          <w:p w14:paraId="7DAB400C" w14:textId="77777777" w:rsidR="00CA3BE0" w:rsidRPr="00637D32" w:rsidRDefault="005736C9" w:rsidP="00D13063">
            <w:pPr>
              <w:spacing w:line="240" w:lineRule="auto"/>
              <w:rPr>
                <w:sz w:val="18"/>
                <w:szCs w:val="18"/>
              </w:rPr>
            </w:pPr>
            <w:r>
              <w:rPr>
                <w:sz w:val="18"/>
                <w:szCs w:val="18"/>
              </w:rPr>
              <w:t>Zoladex</w:t>
            </w:r>
            <w:r w:rsidR="00070B25">
              <w:rPr>
                <w:sz w:val="18"/>
                <w:szCs w:val="18"/>
                <w:vertAlign w:val="superscript"/>
              </w:rPr>
              <w:t>®</w:t>
            </w:r>
          </w:p>
        </w:tc>
        <w:tc>
          <w:tcPr>
            <w:tcW w:w="2200" w:type="dxa"/>
            <w:vAlign w:val="center"/>
          </w:tcPr>
          <w:p w14:paraId="2DC5170E" w14:textId="77777777" w:rsidR="00CA3BE0" w:rsidRPr="00637D32" w:rsidRDefault="005736C9" w:rsidP="00D13063">
            <w:pPr>
              <w:spacing w:line="240" w:lineRule="auto"/>
              <w:rPr>
                <w:sz w:val="18"/>
                <w:szCs w:val="18"/>
              </w:rPr>
            </w:pPr>
            <w:r>
              <w:rPr>
                <w:sz w:val="18"/>
                <w:szCs w:val="18"/>
              </w:rPr>
              <w:t>Goserelin</w:t>
            </w:r>
          </w:p>
        </w:tc>
        <w:tc>
          <w:tcPr>
            <w:tcW w:w="2406" w:type="dxa"/>
            <w:vAlign w:val="center"/>
          </w:tcPr>
          <w:p w14:paraId="7D122FF3" w14:textId="77777777" w:rsidR="00CA3BE0" w:rsidRPr="00637D32" w:rsidRDefault="005736C9" w:rsidP="00D13063">
            <w:pPr>
              <w:spacing w:line="240" w:lineRule="auto"/>
              <w:rPr>
                <w:sz w:val="18"/>
                <w:szCs w:val="18"/>
              </w:rPr>
            </w:pPr>
            <w:r>
              <w:rPr>
                <w:sz w:val="18"/>
                <w:szCs w:val="18"/>
              </w:rPr>
              <w:t>Implantat (PLGA) / s.c.</w:t>
            </w:r>
          </w:p>
        </w:tc>
        <w:tc>
          <w:tcPr>
            <w:tcW w:w="2303" w:type="dxa"/>
            <w:tcBorders>
              <w:right w:val="single" w:sz="8" w:space="0" w:color="auto"/>
            </w:tcBorders>
            <w:vAlign w:val="center"/>
          </w:tcPr>
          <w:p w14:paraId="3DC68280" w14:textId="77777777" w:rsidR="00CA3BE0" w:rsidRPr="00637D32" w:rsidRDefault="005736C9" w:rsidP="00D13063">
            <w:pPr>
              <w:spacing w:line="240" w:lineRule="auto"/>
              <w:rPr>
                <w:sz w:val="18"/>
                <w:szCs w:val="18"/>
              </w:rPr>
            </w:pPr>
            <w:r>
              <w:rPr>
                <w:sz w:val="18"/>
                <w:szCs w:val="18"/>
              </w:rPr>
              <w:t>Prostata-/Mammakarzinom</w:t>
            </w:r>
          </w:p>
        </w:tc>
      </w:tr>
      <w:tr w:rsidR="005736C9" w14:paraId="764B096A" w14:textId="77777777" w:rsidTr="00DB350D">
        <w:trPr>
          <w:trHeight w:val="340"/>
        </w:trPr>
        <w:tc>
          <w:tcPr>
            <w:tcW w:w="2303" w:type="dxa"/>
            <w:tcBorders>
              <w:left w:val="single" w:sz="8" w:space="0" w:color="auto"/>
            </w:tcBorders>
            <w:vAlign w:val="center"/>
          </w:tcPr>
          <w:p w14:paraId="438957DD" w14:textId="77777777" w:rsidR="005736C9" w:rsidRPr="00CE53BD" w:rsidRDefault="00CE53BD" w:rsidP="00D13063">
            <w:pPr>
              <w:spacing w:line="240" w:lineRule="auto"/>
              <w:rPr>
                <w:sz w:val="18"/>
                <w:szCs w:val="18"/>
              </w:rPr>
            </w:pPr>
            <w:r>
              <w:rPr>
                <w:sz w:val="18"/>
                <w:szCs w:val="18"/>
              </w:rPr>
              <w:t>Decapeptyl</w:t>
            </w:r>
            <w:r w:rsidR="00070B25">
              <w:rPr>
                <w:sz w:val="18"/>
                <w:szCs w:val="18"/>
                <w:vertAlign w:val="superscript"/>
              </w:rPr>
              <w:t>®</w:t>
            </w:r>
            <w:r>
              <w:rPr>
                <w:sz w:val="18"/>
                <w:szCs w:val="18"/>
              </w:rPr>
              <w:t xml:space="preserve"> N</w:t>
            </w:r>
          </w:p>
        </w:tc>
        <w:tc>
          <w:tcPr>
            <w:tcW w:w="2200" w:type="dxa"/>
            <w:vAlign w:val="center"/>
          </w:tcPr>
          <w:p w14:paraId="06FC985F" w14:textId="77777777" w:rsidR="005736C9" w:rsidRDefault="005736C9" w:rsidP="00D13063">
            <w:pPr>
              <w:spacing w:line="240" w:lineRule="auto"/>
              <w:rPr>
                <w:sz w:val="18"/>
                <w:szCs w:val="18"/>
              </w:rPr>
            </w:pPr>
            <w:r>
              <w:rPr>
                <w:sz w:val="18"/>
                <w:szCs w:val="18"/>
              </w:rPr>
              <w:t>Triptorelin</w:t>
            </w:r>
          </w:p>
        </w:tc>
        <w:tc>
          <w:tcPr>
            <w:tcW w:w="2406" w:type="dxa"/>
            <w:vAlign w:val="center"/>
          </w:tcPr>
          <w:p w14:paraId="236E3B3F" w14:textId="77777777" w:rsidR="005736C9" w:rsidRDefault="005736C9" w:rsidP="00D13063">
            <w:pPr>
              <w:spacing w:line="240" w:lineRule="auto"/>
              <w:rPr>
                <w:sz w:val="18"/>
                <w:szCs w:val="18"/>
              </w:rPr>
            </w:pPr>
            <w:r>
              <w:rPr>
                <w:sz w:val="18"/>
                <w:szCs w:val="18"/>
              </w:rPr>
              <w:t>Mikropartikel (PLGA) / s.c.</w:t>
            </w:r>
          </w:p>
        </w:tc>
        <w:tc>
          <w:tcPr>
            <w:tcW w:w="2303" w:type="dxa"/>
            <w:tcBorders>
              <w:right w:val="single" w:sz="8" w:space="0" w:color="auto"/>
            </w:tcBorders>
            <w:vAlign w:val="center"/>
          </w:tcPr>
          <w:p w14:paraId="56E3A558" w14:textId="77777777" w:rsidR="005736C9" w:rsidRDefault="005736C9" w:rsidP="00D13063">
            <w:pPr>
              <w:spacing w:line="240" w:lineRule="auto"/>
              <w:rPr>
                <w:sz w:val="18"/>
                <w:szCs w:val="18"/>
              </w:rPr>
            </w:pPr>
            <w:r>
              <w:rPr>
                <w:sz w:val="18"/>
                <w:szCs w:val="18"/>
              </w:rPr>
              <w:t>Prostatakarzinom</w:t>
            </w:r>
          </w:p>
        </w:tc>
      </w:tr>
      <w:tr w:rsidR="00CE53BD" w14:paraId="21D9719A" w14:textId="77777777" w:rsidTr="00DB350D">
        <w:trPr>
          <w:trHeight w:val="340"/>
        </w:trPr>
        <w:tc>
          <w:tcPr>
            <w:tcW w:w="2303" w:type="dxa"/>
            <w:tcBorders>
              <w:left w:val="single" w:sz="8" w:space="0" w:color="auto"/>
            </w:tcBorders>
            <w:vAlign w:val="center"/>
          </w:tcPr>
          <w:p w14:paraId="37B52FA7" w14:textId="77777777" w:rsidR="00CE53BD" w:rsidRDefault="00EE1098" w:rsidP="00D13063">
            <w:pPr>
              <w:spacing w:line="240" w:lineRule="auto"/>
              <w:rPr>
                <w:sz w:val="18"/>
                <w:szCs w:val="18"/>
              </w:rPr>
            </w:pPr>
            <w:r>
              <w:rPr>
                <w:sz w:val="18"/>
                <w:szCs w:val="18"/>
              </w:rPr>
              <w:t>Orasthin</w:t>
            </w:r>
            <w:r w:rsidR="00070B25">
              <w:rPr>
                <w:sz w:val="18"/>
                <w:szCs w:val="18"/>
                <w:vertAlign w:val="superscript"/>
              </w:rPr>
              <w:t>®</w:t>
            </w:r>
          </w:p>
        </w:tc>
        <w:tc>
          <w:tcPr>
            <w:tcW w:w="2200" w:type="dxa"/>
            <w:vAlign w:val="center"/>
          </w:tcPr>
          <w:p w14:paraId="3CF1F528" w14:textId="77777777" w:rsidR="00CE53BD" w:rsidRDefault="00EE1098" w:rsidP="00D13063">
            <w:pPr>
              <w:spacing w:line="240" w:lineRule="auto"/>
              <w:rPr>
                <w:sz w:val="18"/>
                <w:szCs w:val="18"/>
              </w:rPr>
            </w:pPr>
            <w:r>
              <w:rPr>
                <w:sz w:val="18"/>
                <w:szCs w:val="18"/>
              </w:rPr>
              <w:t>Oxytocin</w:t>
            </w:r>
          </w:p>
        </w:tc>
        <w:tc>
          <w:tcPr>
            <w:tcW w:w="2406" w:type="dxa"/>
            <w:vAlign w:val="center"/>
          </w:tcPr>
          <w:p w14:paraId="2956D10E" w14:textId="77777777" w:rsidR="00CE53BD" w:rsidRDefault="00EE1098" w:rsidP="00D13063">
            <w:pPr>
              <w:spacing w:line="240" w:lineRule="auto"/>
              <w:rPr>
                <w:sz w:val="18"/>
                <w:szCs w:val="18"/>
              </w:rPr>
            </w:pPr>
            <w:r>
              <w:rPr>
                <w:sz w:val="18"/>
                <w:szCs w:val="18"/>
              </w:rPr>
              <w:t>Infusionslösung / i.v.</w:t>
            </w:r>
          </w:p>
        </w:tc>
        <w:tc>
          <w:tcPr>
            <w:tcW w:w="2303" w:type="dxa"/>
            <w:tcBorders>
              <w:right w:val="single" w:sz="8" w:space="0" w:color="auto"/>
            </w:tcBorders>
            <w:vAlign w:val="center"/>
          </w:tcPr>
          <w:p w14:paraId="029ED18B" w14:textId="77777777" w:rsidR="00CE53BD" w:rsidRDefault="00EE1098" w:rsidP="00D13063">
            <w:pPr>
              <w:spacing w:line="240" w:lineRule="auto"/>
              <w:rPr>
                <w:sz w:val="18"/>
                <w:szCs w:val="18"/>
              </w:rPr>
            </w:pPr>
            <w:r>
              <w:rPr>
                <w:sz w:val="18"/>
                <w:szCs w:val="18"/>
              </w:rPr>
              <w:t>Geburtseinleitung</w:t>
            </w:r>
          </w:p>
        </w:tc>
      </w:tr>
      <w:tr w:rsidR="00F255B8" w14:paraId="5A5C86FB" w14:textId="77777777" w:rsidTr="00DB350D">
        <w:trPr>
          <w:trHeight w:val="340"/>
        </w:trPr>
        <w:tc>
          <w:tcPr>
            <w:tcW w:w="2303" w:type="dxa"/>
            <w:tcBorders>
              <w:left w:val="single" w:sz="8" w:space="0" w:color="auto"/>
            </w:tcBorders>
            <w:vAlign w:val="center"/>
          </w:tcPr>
          <w:p w14:paraId="2DE7EBF4" w14:textId="77777777" w:rsidR="00F255B8" w:rsidRDefault="00F255B8" w:rsidP="00D13063">
            <w:pPr>
              <w:spacing w:line="240" w:lineRule="auto"/>
              <w:rPr>
                <w:sz w:val="18"/>
                <w:szCs w:val="18"/>
              </w:rPr>
            </w:pPr>
            <w:r>
              <w:rPr>
                <w:sz w:val="18"/>
                <w:szCs w:val="18"/>
              </w:rPr>
              <w:t>Lantus</w:t>
            </w:r>
            <w:r w:rsidR="00070B25">
              <w:rPr>
                <w:sz w:val="18"/>
                <w:szCs w:val="18"/>
                <w:vertAlign w:val="superscript"/>
              </w:rPr>
              <w:t>®</w:t>
            </w:r>
          </w:p>
        </w:tc>
        <w:tc>
          <w:tcPr>
            <w:tcW w:w="2200" w:type="dxa"/>
            <w:vAlign w:val="center"/>
          </w:tcPr>
          <w:p w14:paraId="3553B34D" w14:textId="77777777" w:rsidR="00F255B8" w:rsidRDefault="00F255B8" w:rsidP="00D13063">
            <w:pPr>
              <w:spacing w:line="240" w:lineRule="auto"/>
              <w:rPr>
                <w:sz w:val="18"/>
                <w:szCs w:val="18"/>
              </w:rPr>
            </w:pPr>
            <w:r>
              <w:rPr>
                <w:sz w:val="18"/>
                <w:szCs w:val="18"/>
              </w:rPr>
              <w:t>Insulin glargin</w:t>
            </w:r>
          </w:p>
        </w:tc>
        <w:tc>
          <w:tcPr>
            <w:tcW w:w="2406" w:type="dxa"/>
            <w:vAlign w:val="center"/>
          </w:tcPr>
          <w:p w14:paraId="67126BA2" w14:textId="77777777" w:rsidR="00F255B8" w:rsidRDefault="00F255B8" w:rsidP="00D13063">
            <w:pPr>
              <w:spacing w:line="240" w:lineRule="auto"/>
              <w:rPr>
                <w:sz w:val="18"/>
                <w:szCs w:val="18"/>
              </w:rPr>
            </w:pPr>
            <w:r>
              <w:rPr>
                <w:sz w:val="18"/>
                <w:szCs w:val="18"/>
              </w:rPr>
              <w:t>Injektionslösung / s.c.</w:t>
            </w:r>
          </w:p>
        </w:tc>
        <w:tc>
          <w:tcPr>
            <w:tcW w:w="2303" w:type="dxa"/>
            <w:tcBorders>
              <w:right w:val="single" w:sz="8" w:space="0" w:color="auto"/>
            </w:tcBorders>
            <w:vAlign w:val="center"/>
          </w:tcPr>
          <w:p w14:paraId="48B81DD0" w14:textId="77777777" w:rsidR="00F255B8" w:rsidRDefault="00F255B8" w:rsidP="00D13063">
            <w:pPr>
              <w:spacing w:line="240" w:lineRule="auto"/>
              <w:rPr>
                <w:sz w:val="18"/>
                <w:szCs w:val="18"/>
              </w:rPr>
            </w:pPr>
            <w:r>
              <w:rPr>
                <w:sz w:val="18"/>
                <w:szCs w:val="18"/>
              </w:rPr>
              <w:t>Diabetes mellitus</w:t>
            </w:r>
          </w:p>
        </w:tc>
      </w:tr>
      <w:tr w:rsidR="00F641E7" w14:paraId="6F158E9F" w14:textId="77777777" w:rsidTr="00DB350D">
        <w:trPr>
          <w:trHeight w:val="340"/>
        </w:trPr>
        <w:tc>
          <w:tcPr>
            <w:tcW w:w="2303" w:type="dxa"/>
            <w:tcBorders>
              <w:left w:val="single" w:sz="8" w:space="0" w:color="auto"/>
            </w:tcBorders>
            <w:vAlign w:val="center"/>
          </w:tcPr>
          <w:p w14:paraId="2AB343E5" w14:textId="77777777" w:rsidR="00F641E7" w:rsidRDefault="00EE1098" w:rsidP="00D13063">
            <w:pPr>
              <w:spacing w:line="240" w:lineRule="auto"/>
              <w:rPr>
                <w:sz w:val="18"/>
                <w:szCs w:val="18"/>
              </w:rPr>
            </w:pPr>
            <w:r>
              <w:rPr>
                <w:sz w:val="18"/>
                <w:szCs w:val="18"/>
              </w:rPr>
              <w:t>Haemoctin</w:t>
            </w:r>
            <w:r w:rsidR="00070B25">
              <w:rPr>
                <w:sz w:val="18"/>
                <w:szCs w:val="18"/>
                <w:vertAlign w:val="superscript"/>
              </w:rPr>
              <w:t>®</w:t>
            </w:r>
            <w:r>
              <w:rPr>
                <w:sz w:val="18"/>
                <w:szCs w:val="18"/>
              </w:rPr>
              <w:t xml:space="preserve"> SDH</w:t>
            </w:r>
          </w:p>
        </w:tc>
        <w:tc>
          <w:tcPr>
            <w:tcW w:w="2200" w:type="dxa"/>
            <w:vAlign w:val="center"/>
          </w:tcPr>
          <w:p w14:paraId="3A407392" w14:textId="77777777" w:rsidR="00F641E7" w:rsidRDefault="00C5094F" w:rsidP="00D13063">
            <w:pPr>
              <w:spacing w:line="240" w:lineRule="auto"/>
              <w:rPr>
                <w:sz w:val="18"/>
                <w:szCs w:val="18"/>
              </w:rPr>
            </w:pPr>
            <w:r>
              <w:rPr>
                <w:sz w:val="18"/>
                <w:szCs w:val="18"/>
              </w:rPr>
              <w:t>Blutgerinnungsfaktor VIII</w:t>
            </w:r>
          </w:p>
        </w:tc>
        <w:tc>
          <w:tcPr>
            <w:tcW w:w="2406" w:type="dxa"/>
            <w:vAlign w:val="center"/>
          </w:tcPr>
          <w:p w14:paraId="559E7789" w14:textId="77777777" w:rsidR="00F641E7" w:rsidRDefault="00C5094F" w:rsidP="00D13063">
            <w:pPr>
              <w:spacing w:line="240" w:lineRule="auto"/>
              <w:rPr>
                <w:sz w:val="18"/>
                <w:szCs w:val="18"/>
              </w:rPr>
            </w:pPr>
            <w:r>
              <w:rPr>
                <w:sz w:val="18"/>
                <w:szCs w:val="18"/>
              </w:rPr>
              <w:t>Pulver zur Herstellung einer Injektionslösung / i.v.</w:t>
            </w:r>
          </w:p>
        </w:tc>
        <w:tc>
          <w:tcPr>
            <w:tcW w:w="2303" w:type="dxa"/>
            <w:tcBorders>
              <w:right w:val="single" w:sz="8" w:space="0" w:color="auto"/>
            </w:tcBorders>
            <w:vAlign w:val="center"/>
          </w:tcPr>
          <w:p w14:paraId="3B5CB842" w14:textId="77777777" w:rsidR="00F641E7" w:rsidRDefault="00C5094F" w:rsidP="00D13063">
            <w:pPr>
              <w:spacing w:line="240" w:lineRule="auto"/>
              <w:rPr>
                <w:sz w:val="18"/>
                <w:szCs w:val="18"/>
              </w:rPr>
            </w:pPr>
            <w:r>
              <w:rPr>
                <w:sz w:val="18"/>
                <w:szCs w:val="18"/>
              </w:rPr>
              <w:t>Blutungsstillung</w:t>
            </w:r>
          </w:p>
        </w:tc>
      </w:tr>
      <w:tr w:rsidR="00C5094F" w14:paraId="53B06C9F" w14:textId="77777777" w:rsidTr="00DB350D">
        <w:trPr>
          <w:trHeight w:val="340"/>
        </w:trPr>
        <w:tc>
          <w:tcPr>
            <w:tcW w:w="2303" w:type="dxa"/>
            <w:tcBorders>
              <w:left w:val="single" w:sz="8" w:space="0" w:color="auto"/>
            </w:tcBorders>
            <w:vAlign w:val="center"/>
          </w:tcPr>
          <w:p w14:paraId="290D5104" w14:textId="77777777" w:rsidR="00C5094F" w:rsidRDefault="00C5094F" w:rsidP="00D13063">
            <w:pPr>
              <w:spacing w:line="240" w:lineRule="auto"/>
              <w:rPr>
                <w:sz w:val="18"/>
                <w:szCs w:val="18"/>
              </w:rPr>
            </w:pPr>
            <w:r>
              <w:rPr>
                <w:sz w:val="18"/>
                <w:szCs w:val="18"/>
              </w:rPr>
              <w:t>PegIntron</w:t>
            </w:r>
            <w:r w:rsidR="00070B25">
              <w:rPr>
                <w:sz w:val="18"/>
                <w:szCs w:val="18"/>
                <w:vertAlign w:val="superscript"/>
              </w:rPr>
              <w:t>®</w:t>
            </w:r>
          </w:p>
        </w:tc>
        <w:tc>
          <w:tcPr>
            <w:tcW w:w="2200" w:type="dxa"/>
            <w:vAlign w:val="center"/>
          </w:tcPr>
          <w:p w14:paraId="7EE9C59D" w14:textId="77777777" w:rsidR="00C5094F" w:rsidRDefault="00C5094F" w:rsidP="00D13063">
            <w:pPr>
              <w:spacing w:line="240" w:lineRule="auto"/>
              <w:rPr>
                <w:sz w:val="18"/>
                <w:szCs w:val="18"/>
              </w:rPr>
            </w:pPr>
            <w:r>
              <w:rPr>
                <w:sz w:val="18"/>
                <w:szCs w:val="18"/>
              </w:rPr>
              <w:t>Peginterferon alfa-2b</w:t>
            </w:r>
          </w:p>
        </w:tc>
        <w:tc>
          <w:tcPr>
            <w:tcW w:w="2406" w:type="dxa"/>
            <w:vAlign w:val="center"/>
          </w:tcPr>
          <w:p w14:paraId="694F1CF5" w14:textId="77777777" w:rsidR="00C5094F" w:rsidRDefault="00C5094F" w:rsidP="00D13063">
            <w:pPr>
              <w:spacing w:line="240" w:lineRule="auto"/>
              <w:rPr>
                <w:sz w:val="18"/>
                <w:szCs w:val="18"/>
              </w:rPr>
            </w:pPr>
            <w:r>
              <w:rPr>
                <w:sz w:val="18"/>
                <w:szCs w:val="18"/>
              </w:rPr>
              <w:t>Pulver zur Herstellung einer Injektionslösung / i.v.</w:t>
            </w:r>
          </w:p>
        </w:tc>
        <w:tc>
          <w:tcPr>
            <w:tcW w:w="2303" w:type="dxa"/>
            <w:tcBorders>
              <w:right w:val="single" w:sz="8" w:space="0" w:color="auto"/>
            </w:tcBorders>
            <w:vAlign w:val="center"/>
          </w:tcPr>
          <w:p w14:paraId="1B16C5D6" w14:textId="77777777" w:rsidR="00C5094F" w:rsidRDefault="00C5094F" w:rsidP="00D13063">
            <w:pPr>
              <w:spacing w:line="240" w:lineRule="auto"/>
              <w:rPr>
                <w:sz w:val="18"/>
                <w:szCs w:val="18"/>
              </w:rPr>
            </w:pPr>
            <w:r>
              <w:rPr>
                <w:sz w:val="18"/>
                <w:szCs w:val="18"/>
              </w:rPr>
              <w:t>Hepatitis C</w:t>
            </w:r>
          </w:p>
        </w:tc>
      </w:tr>
      <w:tr w:rsidR="00C5094F" w14:paraId="386FEBBF" w14:textId="77777777" w:rsidTr="00DB350D">
        <w:trPr>
          <w:trHeight w:val="340"/>
        </w:trPr>
        <w:tc>
          <w:tcPr>
            <w:tcW w:w="2303" w:type="dxa"/>
            <w:tcBorders>
              <w:left w:val="single" w:sz="8" w:space="0" w:color="auto"/>
            </w:tcBorders>
            <w:vAlign w:val="center"/>
          </w:tcPr>
          <w:p w14:paraId="3243ED59" w14:textId="77777777" w:rsidR="00C5094F" w:rsidRDefault="00C5094F" w:rsidP="00D13063">
            <w:pPr>
              <w:spacing w:line="240" w:lineRule="auto"/>
              <w:rPr>
                <w:sz w:val="18"/>
                <w:szCs w:val="18"/>
              </w:rPr>
            </w:pPr>
            <w:r>
              <w:rPr>
                <w:sz w:val="18"/>
                <w:szCs w:val="18"/>
              </w:rPr>
              <w:t>Tysabri</w:t>
            </w:r>
            <w:r w:rsidR="00070B25">
              <w:rPr>
                <w:sz w:val="18"/>
                <w:szCs w:val="18"/>
                <w:vertAlign w:val="superscript"/>
              </w:rPr>
              <w:t>®</w:t>
            </w:r>
          </w:p>
        </w:tc>
        <w:tc>
          <w:tcPr>
            <w:tcW w:w="2200" w:type="dxa"/>
            <w:vAlign w:val="center"/>
          </w:tcPr>
          <w:p w14:paraId="72F54426" w14:textId="77777777" w:rsidR="00C5094F" w:rsidRDefault="00C5094F" w:rsidP="00D13063">
            <w:pPr>
              <w:spacing w:line="240" w:lineRule="auto"/>
              <w:rPr>
                <w:sz w:val="18"/>
                <w:szCs w:val="18"/>
              </w:rPr>
            </w:pPr>
            <w:r>
              <w:rPr>
                <w:sz w:val="18"/>
                <w:szCs w:val="18"/>
              </w:rPr>
              <w:t>Natalizumab</w:t>
            </w:r>
          </w:p>
        </w:tc>
        <w:tc>
          <w:tcPr>
            <w:tcW w:w="2406" w:type="dxa"/>
            <w:vAlign w:val="center"/>
          </w:tcPr>
          <w:p w14:paraId="46445752" w14:textId="77777777" w:rsidR="00C5094F" w:rsidRDefault="00DB350D" w:rsidP="00D13063">
            <w:pPr>
              <w:spacing w:line="240" w:lineRule="auto"/>
              <w:rPr>
                <w:sz w:val="18"/>
                <w:szCs w:val="18"/>
              </w:rPr>
            </w:pPr>
            <w:r>
              <w:rPr>
                <w:sz w:val="18"/>
                <w:szCs w:val="18"/>
              </w:rPr>
              <w:t>Infusionslösung / i.v.</w:t>
            </w:r>
          </w:p>
        </w:tc>
        <w:tc>
          <w:tcPr>
            <w:tcW w:w="2303" w:type="dxa"/>
            <w:tcBorders>
              <w:right w:val="single" w:sz="8" w:space="0" w:color="auto"/>
            </w:tcBorders>
            <w:vAlign w:val="center"/>
          </w:tcPr>
          <w:p w14:paraId="46D6C5D2" w14:textId="77777777" w:rsidR="00C5094F" w:rsidRDefault="00DB350D" w:rsidP="00D13063">
            <w:pPr>
              <w:spacing w:line="240" w:lineRule="auto"/>
              <w:rPr>
                <w:sz w:val="18"/>
                <w:szCs w:val="18"/>
              </w:rPr>
            </w:pPr>
            <w:r>
              <w:rPr>
                <w:sz w:val="18"/>
                <w:szCs w:val="18"/>
              </w:rPr>
              <w:t>Multiple Sklerose (MS)</w:t>
            </w:r>
          </w:p>
        </w:tc>
      </w:tr>
      <w:tr w:rsidR="00DB350D" w14:paraId="0F1B84CD" w14:textId="77777777" w:rsidTr="00DB350D">
        <w:trPr>
          <w:trHeight w:val="340"/>
        </w:trPr>
        <w:tc>
          <w:tcPr>
            <w:tcW w:w="2303" w:type="dxa"/>
            <w:tcBorders>
              <w:left w:val="single" w:sz="8" w:space="0" w:color="auto"/>
            </w:tcBorders>
            <w:vAlign w:val="center"/>
          </w:tcPr>
          <w:p w14:paraId="38B3CBCA" w14:textId="77777777" w:rsidR="00DB350D" w:rsidRDefault="00DB350D" w:rsidP="00D13063">
            <w:pPr>
              <w:spacing w:line="240" w:lineRule="auto"/>
              <w:rPr>
                <w:sz w:val="18"/>
                <w:szCs w:val="18"/>
              </w:rPr>
            </w:pPr>
            <w:r>
              <w:rPr>
                <w:sz w:val="18"/>
                <w:szCs w:val="18"/>
              </w:rPr>
              <w:t>Erbitux</w:t>
            </w:r>
            <w:r w:rsidR="00070B25">
              <w:rPr>
                <w:sz w:val="18"/>
                <w:szCs w:val="18"/>
                <w:vertAlign w:val="superscript"/>
              </w:rPr>
              <w:t>®</w:t>
            </w:r>
          </w:p>
        </w:tc>
        <w:tc>
          <w:tcPr>
            <w:tcW w:w="2200" w:type="dxa"/>
            <w:vAlign w:val="center"/>
          </w:tcPr>
          <w:p w14:paraId="649DD035" w14:textId="77777777" w:rsidR="00DB350D" w:rsidRDefault="00DB350D" w:rsidP="00D13063">
            <w:pPr>
              <w:spacing w:line="240" w:lineRule="auto"/>
              <w:rPr>
                <w:sz w:val="18"/>
                <w:szCs w:val="18"/>
              </w:rPr>
            </w:pPr>
            <w:r>
              <w:rPr>
                <w:sz w:val="18"/>
                <w:szCs w:val="18"/>
              </w:rPr>
              <w:t>Cetuximab</w:t>
            </w:r>
          </w:p>
        </w:tc>
        <w:tc>
          <w:tcPr>
            <w:tcW w:w="2406" w:type="dxa"/>
            <w:vAlign w:val="center"/>
          </w:tcPr>
          <w:p w14:paraId="15497A91" w14:textId="77777777" w:rsidR="00DB350D" w:rsidRDefault="00DB350D" w:rsidP="00D13063">
            <w:pPr>
              <w:spacing w:line="240" w:lineRule="auto"/>
              <w:rPr>
                <w:sz w:val="18"/>
                <w:szCs w:val="18"/>
              </w:rPr>
            </w:pPr>
            <w:r>
              <w:rPr>
                <w:sz w:val="18"/>
                <w:szCs w:val="18"/>
              </w:rPr>
              <w:t>Infusionslösung / i.v.</w:t>
            </w:r>
          </w:p>
        </w:tc>
        <w:tc>
          <w:tcPr>
            <w:tcW w:w="2303" w:type="dxa"/>
            <w:tcBorders>
              <w:right w:val="single" w:sz="8" w:space="0" w:color="auto"/>
            </w:tcBorders>
            <w:vAlign w:val="center"/>
          </w:tcPr>
          <w:p w14:paraId="3EEFC313" w14:textId="77777777" w:rsidR="00DB350D" w:rsidRDefault="00DB350D" w:rsidP="00D13063">
            <w:pPr>
              <w:spacing w:line="240" w:lineRule="auto"/>
              <w:rPr>
                <w:sz w:val="18"/>
                <w:szCs w:val="18"/>
              </w:rPr>
            </w:pPr>
            <w:r>
              <w:rPr>
                <w:sz w:val="18"/>
                <w:szCs w:val="18"/>
              </w:rPr>
              <w:t>Kolonkarzinom</w:t>
            </w:r>
          </w:p>
        </w:tc>
      </w:tr>
      <w:tr w:rsidR="00DB350D" w14:paraId="45C8C214" w14:textId="77777777" w:rsidTr="00DB350D">
        <w:trPr>
          <w:trHeight w:val="340"/>
        </w:trPr>
        <w:tc>
          <w:tcPr>
            <w:tcW w:w="2303" w:type="dxa"/>
            <w:tcBorders>
              <w:left w:val="single" w:sz="8" w:space="0" w:color="auto"/>
            </w:tcBorders>
            <w:vAlign w:val="center"/>
          </w:tcPr>
          <w:p w14:paraId="2DC2583B" w14:textId="77777777" w:rsidR="00DB350D" w:rsidRDefault="00DB350D" w:rsidP="00D13063">
            <w:pPr>
              <w:spacing w:line="240" w:lineRule="auto"/>
              <w:rPr>
                <w:sz w:val="18"/>
                <w:szCs w:val="18"/>
              </w:rPr>
            </w:pPr>
            <w:r>
              <w:rPr>
                <w:sz w:val="18"/>
                <w:szCs w:val="18"/>
              </w:rPr>
              <w:t>Herceptin</w:t>
            </w:r>
            <w:r w:rsidR="00070B25">
              <w:rPr>
                <w:sz w:val="18"/>
                <w:szCs w:val="18"/>
                <w:vertAlign w:val="superscript"/>
              </w:rPr>
              <w:t>®</w:t>
            </w:r>
          </w:p>
        </w:tc>
        <w:tc>
          <w:tcPr>
            <w:tcW w:w="2200" w:type="dxa"/>
            <w:vAlign w:val="center"/>
          </w:tcPr>
          <w:p w14:paraId="13BFAC46" w14:textId="77777777" w:rsidR="00DB350D" w:rsidRDefault="00DB350D" w:rsidP="00D13063">
            <w:pPr>
              <w:spacing w:line="240" w:lineRule="auto"/>
              <w:rPr>
                <w:sz w:val="18"/>
                <w:szCs w:val="18"/>
              </w:rPr>
            </w:pPr>
            <w:r>
              <w:rPr>
                <w:sz w:val="18"/>
                <w:szCs w:val="18"/>
              </w:rPr>
              <w:t>Trastuzumab</w:t>
            </w:r>
          </w:p>
        </w:tc>
        <w:tc>
          <w:tcPr>
            <w:tcW w:w="2406" w:type="dxa"/>
            <w:vAlign w:val="center"/>
          </w:tcPr>
          <w:p w14:paraId="3B40AEEE" w14:textId="77777777" w:rsidR="00DB350D" w:rsidRDefault="00DB350D" w:rsidP="00D13063">
            <w:pPr>
              <w:spacing w:line="240" w:lineRule="auto"/>
              <w:rPr>
                <w:sz w:val="18"/>
                <w:szCs w:val="18"/>
              </w:rPr>
            </w:pPr>
            <w:r>
              <w:rPr>
                <w:sz w:val="18"/>
                <w:szCs w:val="18"/>
              </w:rPr>
              <w:t>Infusionslösung / i.v.</w:t>
            </w:r>
          </w:p>
        </w:tc>
        <w:tc>
          <w:tcPr>
            <w:tcW w:w="2303" w:type="dxa"/>
            <w:tcBorders>
              <w:right w:val="single" w:sz="8" w:space="0" w:color="auto"/>
            </w:tcBorders>
            <w:vAlign w:val="center"/>
          </w:tcPr>
          <w:p w14:paraId="3B83AE76" w14:textId="77777777" w:rsidR="00DB350D" w:rsidRDefault="00DB350D" w:rsidP="00D13063">
            <w:pPr>
              <w:spacing w:line="240" w:lineRule="auto"/>
              <w:rPr>
                <w:sz w:val="18"/>
                <w:szCs w:val="18"/>
              </w:rPr>
            </w:pPr>
            <w:r>
              <w:rPr>
                <w:sz w:val="18"/>
                <w:szCs w:val="18"/>
              </w:rPr>
              <w:t>Brustkrebs</w:t>
            </w:r>
          </w:p>
        </w:tc>
      </w:tr>
      <w:tr w:rsidR="00DB350D" w14:paraId="3241315D" w14:textId="77777777" w:rsidTr="00DB350D">
        <w:trPr>
          <w:trHeight w:val="340"/>
        </w:trPr>
        <w:tc>
          <w:tcPr>
            <w:tcW w:w="2303" w:type="dxa"/>
            <w:tcBorders>
              <w:left w:val="single" w:sz="8" w:space="0" w:color="auto"/>
            </w:tcBorders>
            <w:vAlign w:val="center"/>
          </w:tcPr>
          <w:p w14:paraId="41CA519B" w14:textId="77777777" w:rsidR="00DB350D" w:rsidRDefault="00DB350D" w:rsidP="00D13063">
            <w:pPr>
              <w:spacing w:line="240" w:lineRule="auto"/>
              <w:rPr>
                <w:sz w:val="18"/>
                <w:szCs w:val="18"/>
              </w:rPr>
            </w:pPr>
            <w:r>
              <w:rPr>
                <w:sz w:val="18"/>
                <w:szCs w:val="18"/>
              </w:rPr>
              <w:t>Lucentis</w:t>
            </w:r>
            <w:r w:rsidR="00070B25">
              <w:rPr>
                <w:sz w:val="18"/>
                <w:szCs w:val="18"/>
                <w:vertAlign w:val="superscript"/>
              </w:rPr>
              <w:t>®</w:t>
            </w:r>
          </w:p>
        </w:tc>
        <w:tc>
          <w:tcPr>
            <w:tcW w:w="2200" w:type="dxa"/>
            <w:vAlign w:val="center"/>
          </w:tcPr>
          <w:p w14:paraId="09A98712" w14:textId="77777777" w:rsidR="00DB350D" w:rsidRDefault="00DB350D" w:rsidP="00D13063">
            <w:pPr>
              <w:spacing w:line="240" w:lineRule="auto"/>
              <w:rPr>
                <w:sz w:val="18"/>
                <w:szCs w:val="18"/>
              </w:rPr>
            </w:pPr>
            <w:r>
              <w:rPr>
                <w:sz w:val="18"/>
                <w:szCs w:val="18"/>
              </w:rPr>
              <w:t>Ranibizumab</w:t>
            </w:r>
          </w:p>
        </w:tc>
        <w:tc>
          <w:tcPr>
            <w:tcW w:w="2406" w:type="dxa"/>
            <w:vAlign w:val="center"/>
          </w:tcPr>
          <w:p w14:paraId="47AF7642" w14:textId="77777777" w:rsidR="00DB350D" w:rsidRDefault="00DB350D" w:rsidP="00D13063">
            <w:pPr>
              <w:spacing w:line="240" w:lineRule="auto"/>
              <w:rPr>
                <w:sz w:val="18"/>
                <w:szCs w:val="18"/>
              </w:rPr>
            </w:pPr>
            <w:r>
              <w:rPr>
                <w:sz w:val="18"/>
                <w:szCs w:val="18"/>
              </w:rPr>
              <w:t>Injektionslösung / intravitreal</w:t>
            </w:r>
          </w:p>
        </w:tc>
        <w:tc>
          <w:tcPr>
            <w:tcW w:w="2303" w:type="dxa"/>
            <w:tcBorders>
              <w:right w:val="single" w:sz="8" w:space="0" w:color="auto"/>
            </w:tcBorders>
            <w:vAlign w:val="center"/>
          </w:tcPr>
          <w:p w14:paraId="3158AF13" w14:textId="77777777" w:rsidR="00DB350D" w:rsidRDefault="00DB350D" w:rsidP="00D13063">
            <w:pPr>
              <w:spacing w:line="240" w:lineRule="auto"/>
              <w:rPr>
                <w:sz w:val="18"/>
                <w:szCs w:val="18"/>
              </w:rPr>
            </w:pPr>
            <w:r>
              <w:rPr>
                <w:sz w:val="18"/>
                <w:szCs w:val="18"/>
              </w:rPr>
              <w:t>altersbedingte Makuladegeneration (AMD)</w:t>
            </w:r>
          </w:p>
        </w:tc>
      </w:tr>
      <w:tr w:rsidR="00DB350D" w14:paraId="0B7DF75B" w14:textId="77777777" w:rsidTr="00DB350D">
        <w:trPr>
          <w:trHeight w:val="340"/>
        </w:trPr>
        <w:tc>
          <w:tcPr>
            <w:tcW w:w="2303" w:type="dxa"/>
            <w:tcBorders>
              <w:left w:val="single" w:sz="8" w:space="0" w:color="auto"/>
              <w:bottom w:val="single" w:sz="8" w:space="0" w:color="auto"/>
            </w:tcBorders>
            <w:vAlign w:val="center"/>
          </w:tcPr>
          <w:p w14:paraId="0A0F7EE0" w14:textId="77777777" w:rsidR="00DB350D" w:rsidRDefault="00DB350D" w:rsidP="00D13063">
            <w:pPr>
              <w:spacing w:line="240" w:lineRule="auto"/>
              <w:rPr>
                <w:sz w:val="18"/>
                <w:szCs w:val="18"/>
              </w:rPr>
            </w:pPr>
            <w:r>
              <w:rPr>
                <w:sz w:val="18"/>
                <w:szCs w:val="18"/>
              </w:rPr>
              <w:t>Stelara</w:t>
            </w:r>
            <w:r w:rsidR="00070B25">
              <w:rPr>
                <w:sz w:val="18"/>
                <w:szCs w:val="18"/>
                <w:vertAlign w:val="superscript"/>
              </w:rPr>
              <w:t>®</w:t>
            </w:r>
          </w:p>
        </w:tc>
        <w:tc>
          <w:tcPr>
            <w:tcW w:w="2200" w:type="dxa"/>
            <w:tcBorders>
              <w:bottom w:val="single" w:sz="8" w:space="0" w:color="auto"/>
            </w:tcBorders>
            <w:vAlign w:val="center"/>
          </w:tcPr>
          <w:p w14:paraId="0F8312CC" w14:textId="77777777" w:rsidR="00DB350D" w:rsidRDefault="00DB350D" w:rsidP="00D13063">
            <w:pPr>
              <w:spacing w:line="240" w:lineRule="auto"/>
              <w:rPr>
                <w:sz w:val="18"/>
                <w:szCs w:val="18"/>
              </w:rPr>
            </w:pPr>
            <w:r>
              <w:rPr>
                <w:sz w:val="18"/>
                <w:szCs w:val="18"/>
              </w:rPr>
              <w:t>Ustekinumab</w:t>
            </w:r>
          </w:p>
        </w:tc>
        <w:tc>
          <w:tcPr>
            <w:tcW w:w="2406" w:type="dxa"/>
            <w:tcBorders>
              <w:bottom w:val="single" w:sz="8" w:space="0" w:color="auto"/>
            </w:tcBorders>
            <w:vAlign w:val="center"/>
          </w:tcPr>
          <w:p w14:paraId="3274D129" w14:textId="77777777" w:rsidR="00DB350D" w:rsidRDefault="00F255B8" w:rsidP="00D13063">
            <w:pPr>
              <w:spacing w:line="240" w:lineRule="auto"/>
              <w:rPr>
                <w:sz w:val="18"/>
                <w:szCs w:val="18"/>
              </w:rPr>
            </w:pPr>
            <w:r>
              <w:rPr>
                <w:sz w:val="18"/>
                <w:szCs w:val="18"/>
              </w:rPr>
              <w:t>Injektionslösung / s.c.</w:t>
            </w:r>
          </w:p>
        </w:tc>
        <w:tc>
          <w:tcPr>
            <w:tcW w:w="2303" w:type="dxa"/>
            <w:tcBorders>
              <w:bottom w:val="single" w:sz="8" w:space="0" w:color="auto"/>
              <w:right w:val="single" w:sz="8" w:space="0" w:color="auto"/>
            </w:tcBorders>
            <w:vAlign w:val="center"/>
          </w:tcPr>
          <w:p w14:paraId="4688DC73" w14:textId="77777777" w:rsidR="00DB350D" w:rsidRDefault="00F255B8" w:rsidP="00D13063">
            <w:pPr>
              <w:spacing w:line="240" w:lineRule="auto"/>
              <w:rPr>
                <w:sz w:val="18"/>
                <w:szCs w:val="18"/>
              </w:rPr>
            </w:pPr>
            <w:r>
              <w:rPr>
                <w:sz w:val="18"/>
                <w:szCs w:val="18"/>
              </w:rPr>
              <w:t>Psoriasis</w:t>
            </w:r>
          </w:p>
        </w:tc>
      </w:tr>
    </w:tbl>
    <w:p w14:paraId="7A870DC9" w14:textId="77777777" w:rsidR="00CA3BE0" w:rsidRDefault="00CA3BE0" w:rsidP="00646392"/>
    <w:p w14:paraId="2A28CCE9" w14:textId="77777777" w:rsidR="002A27BB" w:rsidRDefault="00D4337B" w:rsidP="00646392">
      <w:r>
        <w:t xml:space="preserve">Bei der Durchsicht der Beispiele in </w:t>
      </w:r>
      <w:r w:rsidR="00D16240">
        <w:fldChar w:fldCharType="begin"/>
      </w:r>
      <w:r>
        <w:instrText xml:space="preserve"> REF _Ref277722324 \h </w:instrText>
      </w:r>
      <w:r w:rsidR="00D16240">
        <w:fldChar w:fldCharType="separate"/>
      </w:r>
      <w:r w:rsidR="00711AB8" w:rsidRPr="00C5094F">
        <w:rPr>
          <w:color w:val="000000" w:themeColor="text1"/>
        </w:rPr>
        <w:t xml:space="preserve">Tabelle </w:t>
      </w:r>
      <w:r w:rsidR="00711AB8">
        <w:rPr>
          <w:noProof/>
          <w:color w:val="000000" w:themeColor="text1"/>
        </w:rPr>
        <w:t>1</w:t>
      </w:r>
      <w:r w:rsidR="00D16240">
        <w:fldChar w:fldCharType="end"/>
      </w:r>
      <w:r>
        <w:t xml:space="preserve"> fällt auf, dass </w:t>
      </w:r>
      <w:r w:rsidR="003D26A8">
        <w:t xml:space="preserve">bislang </w:t>
      </w:r>
      <w:r w:rsidR="00754C7C">
        <w:t>nur sehr wenige</w:t>
      </w:r>
      <w:r w:rsidR="002E27BB">
        <w:t xml:space="preserve"> Peptidarzneistoffe</w:t>
      </w:r>
      <w:r w:rsidR="00A67B51">
        <w:t xml:space="preserve"> </w:t>
      </w:r>
      <w:r w:rsidR="004115A1">
        <w:t>in oralen Darreichungsformen</w:t>
      </w:r>
      <w:r w:rsidR="003D26A8">
        <w:t xml:space="preserve"> </w:t>
      </w:r>
      <w:r w:rsidR="004115A1">
        <w:t xml:space="preserve">im Handel </w:t>
      </w:r>
      <w:r w:rsidR="006A3A87">
        <w:t>verfügbar</w:t>
      </w:r>
      <w:r w:rsidR="00754C7C">
        <w:t xml:space="preserve"> sind.</w:t>
      </w:r>
      <w:r w:rsidR="002E27BB">
        <w:t xml:space="preserve"> </w:t>
      </w:r>
      <w:r w:rsidR="003D26A8">
        <w:t xml:space="preserve">Der Grund hierfür ist, dass Peptide und Proteine </w:t>
      </w:r>
      <w:r w:rsidR="004115A1">
        <w:t>nach peroraler Einnahme nic</w:t>
      </w:r>
      <w:r w:rsidR="000A0566">
        <w:t>ht oder nur sehr geringfügig im</w:t>
      </w:r>
      <w:r w:rsidR="00AF2E0F">
        <w:t xml:space="preserve"> Verdauungstrakt</w:t>
      </w:r>
      <w:r w:rsidR="004115A1">
        <w:t xml:space="preserve"> aufgenommen werden können</w:t>
      </w:r>
      <w:r w:rsidR="008F2E50">
        <w:rPr>
          <w:rStyle w:val="Endnotenzeichen"/>
        </w:rPr>
        <w:endnoteReference w:id="9"/>
      </w:r>
      <w:r w:rsidR="004115A1">
        <w:t xml:space="preserve">. </w:t>
      </w:r>
      <w:r w:rsidR="001C21EF">
        <w:t>Dies gilt selbst</w:t>
      </w:r>
      <w:r w:rsidR="00AC1B4A">
        <w:t xml:space="preserve"> für die</w:t>
      </w:r>
      <w:r w:rsidR="004115A1">
        <w:t xml:space="preserve"> oral</w:t>
      </w:r>
      <w:r w:rsidR="00292C41">
        <w:t>e Formulierung</w:t>
      </w:r>
      <w:r w:rsidR="00AC1B4A">
        <w:t xml:space="preserve"> von Desmopressin</w:t>
      </w:r>
      <w:r w:rsidR="00070B25">
        <w:t>. D</w:t>
      </w:r>
      <w:r w:rsidR="001C21EF">
        <w:t xml:space="preserve">ie </w:t>
      </w:r>
      <w:r w:rsidR="006B2D67">
        <w:t>absolute Bioverfügbarkeit</w:t>
      </w:r>
      <w:r w:rsidR="001C21EF">
        <w:t xml:space="preserve"> von</w:t>
      </w:r>
      <w:r w:rsidR="006B2D67">
        <w:t xml:space="preserve"> Minirin</w:t>
      </w:r>
      <w:r w:rsidR="00070B25">
        <w:rPr>
          <w:sz w:val="18"/>
          <w:szCs w:val="18"/>
          <w:vertAlign w:val="superscript"/>
        </w:rPr>
        <w:t>®</w:t>
      </w:r>
      <w:r w:rsidR="00AC1B4A">
        <w:t xml:space="preserve"> </w:t>
      </w:r>
      <w:r w:rsidR="006B2D67">
        <w:t>Tablette</w:t>
      </w:r>
      <w:r w:rsidR="002B6776">
        <w:t>n liegt</w:t>
      </w:r>
      <w:r w:rsidR="001C21EF">
        <w:t xml:space="preserve"> laut Herstellerangaben </w:t>
      </w:r>
      <w:r w:rsidR="002B6776">
        <w:t xml:space="preserve">zwischen 0,08 % und </w:t>
      </w:r>
      <w:r w:rsidR="00902C2E">
        <w:t>0,16%</w:t>
      </w:r>
      <w:bookmarkStart w:id="4" w:name="_Ref286268447"/>
      <w:r w:rsidR="00902C2E">
        <w:rPr>
          <w:rStyle w:val="Endnotenzeichen"/>
        </w:rPr>
        <w:endnoteReference w:id="10"/>
      </w:r>
      <w:bookmarkEnd w:id="4"/>
      <w:r w:rsidR="00292C41">
        <w:t>. Dieser</w:t>
      </w:r>
      <w:r w:rsidR="00AC1B4A">
        <w:t xml:space="preserve"> Arzne</w:t>
      </w:r>
      <w:r w:rsidR="001C21EF">
        <w:t>istoff</w:t>
      </w:r>
      <w:r w:rsidR="00292C41">
        <w:t xml:space="preserve"> ist</w:t>
      </w:r>
      <w:r w:rsidR="006B2D67">
        <w:t xml:space="preserve"> allerdings</w:t>
      </w:r>
      <w:r w:rsidR="00AF2E0F">
        <w:t xml:space="preserve"> so hoch wirksam, dass </w:t>
      </w:r>
      <w:r w:rsidR="0039142E">
        <w:t xml:space="preserve">eine Aufnahme dieses </w:t>
      </w:r>
      <w:r w:rsidR="00070B25">
        <w:t>geringen Anteils</w:t>
      </w:r>
      <w:r w:rsidR="00AF2E0F">
        <w:t xml:space="preserve"> der applizierten Dosis bereits für einen Therapieerfolg ausreichend ist. Aus ök</w:t>
      </w:r>
      <w:r w:rsidR="008E43F9">
        <w:t>onomischer Sicht ist dies allerdings</w:t>
      </w:r>
      <w:r w:rsidR="00AF2E0F">
        <w:t xml:space="preserve"> keineswegs befrie</w:t>
      </w:r>
      <w:r w:rsidR="00292C41">
        <w:t>digend, da der größte Anteil</w:t>
      </w:r>
      <w:r w:rsidR="0039142E">
        <w:t xml:space="preserve"> (&gt;99%) des teuren Arzneistoffs </w:t>
      </w:r>
      <w:r w:rsidR="00AF2E0F">
        <w:t>nicht zur Wirkung kommen kann.</w:t>
      </w:r>
    </w:p>
    <w:p w14:paraId="7A49C7E7" w14:textId="77777777" w:rsidR="00AF2E0F" w:rsidRPr="00646392" w:rsidRDefault="002A27BB" w:rsidP="00646392">
      <w:r>
        <w:t>Die Entwicklung</w:t>
      </w:r>
      <w:r w:rsidR="000A0566">
        <w:t xml:space="preserve"> sinnvolle</w:t>
      </w:r>
      <w:r>
        <w:t>r</w:t>
      </w:r>
      <w:r w:rsidR="000A0566">
        <w:t xml:space="preserve"> Ansätze zur Verbesserung dieser unbefr</w:t>
      </w:r>
      <w:r>
        <w:t>iedigenden Situation setzt eine genaue Kenntnis der Gründe für die geringe Resorbierbarkeit dieser Substanzen und der Prinzipien intestinaler Resorptionsprozesse voraus. Im folge</w:t>
      </w:r>
      <w:r w:rsidR="0007516B">
        <w:t>nden Kapitel werden daher zunächst die anatomischen und physiologischen Grundlagen beschrieben, die im Zusammenhang mit der Aufnahme von Peptid- und Proteinarzneistoffen über den Verdauungstrakt von Bedeutung sind.</w:t>
      </w:r>
    </w:p>
    <w:p w14:paraId="7B86F122" w14:textId="77777777" w:rsidR="00567A8F" w:rsidRDefault="000D4D5C" w:rsidP="00567A8F">
      <w:pPr>
        <w:pStyle w:val="berschrift2"/>
      </w:pPr>
      <w:r w:rsidRPr="00501895">
        <w:lastRenderedPageBreak/>
        <w:tab/>
      </w:r>
      <w:bookmarkStart w:id="5" w:name="_Toc294380149"/>
      <w:r w:rsidR="00567A8F">
        <w:t>Der Verdauungstrakt</w:t>
      </w:r>
      <w:r w:rsidRPr="00501895">
        <w:t xml:space="preserve"> – Anatomie und Physiologie</w:t>
      </w:r>
      <w:bookmarkEnd w:id="5"/>
    </w:p>
    <w:p w14:paraId="02DDAE40" w14:textId="77777777" w:rsidR="00A1313E" w:rsidRDefault="00567A8F" w:rsidP="00567A8F">
      <w:r>
        <w:t>Unter dem Begriff Verdauungstrakt (</w:t>
      </w:r>
      <w:r w:rsidRPr="00567A8F">
        <w:t>lat.</w:t>
      </w:r>
      <w:r>
        <w:t>:</w:t>
      </w:r>
      <w:r w:rsidRPr="00567A8F">
        <w:rPr>
          <w:i/>
        </w:rPr>
        <w:t xml:space="preserve"> Apparatus digestorius</w:t>
      </w:r>
      <w:r>
        <w:t>) werden sämtliche Organe zusammengefasst, die der Aufnahme, Zerkleinerung und dem Weit</w:t>
      </w:r>
      <w:r w:rsidR="00047513">
        <w:t>ertransport von Nahrung dienen. Die Aufgabe des Verdauungstraktes ist neben dem Verdau und der Resorption von Nahrung und Wasser auch die Ausscheidung von unverdaulichen Nahrungsbestandteilen.</w:t>
      </w:r>
    </w:p>
    <w:p w14:paraId="0D727B56" w14:textId="77777777" w:rsidR="00047513" w:rsidRPr="00567A8F" w:rsidRDefault="00314B12" w:rsidP="00567A8F">
      <w:r>
        <w:t>Dank seiner</w:t>
      </w:r>
      <w:r w:rsidR="001758C6">
        <w:t xml:space="preserve"> besonders gut ausgeprägten</w:t>
      </w:r>
      <w:r w:rsidR="0077204C">
        <w:t xml:space="preserve"> Reso</w:t>
      </w:r>
      <w:r w:rsidR="00045C9F">
        <w:t xml:space="preserve">rptionsfähigkeit können über den Verdauungstrakt </w:t>
      </w:r>
      <w:r w:rsidR="00786028">
        <w:t xml:space="preserve">bekannter Maßen </w:t>
      </w:r>
      <w:r w:rsidR="00045C9F">
        <w:t xml:space="preserve">auch Arzneistoffe in den systemischen Blutkreislauf aufgenommen werden. Eine effiziente Resorption von Wirkstoffen nach </w:t>
      </w:r>
      <w:r w:rsidR="00C14383">
        <w:t>per</w:t>
      </w:r>
      <w:r w:rsidR="00045C9F">
        <w:t>oraler Applikation ei</w:t>
      </w:r>
      <w:r w:rsidR="00460FB3">
        <w:t>nes Arzneimittels erfolgt allerdings</w:t>
      </w:r>
      <w:r w:rsidR="00045C9F">
        <w:t xml:space="preserve"> nur unter ganz bestimmten Voraussetzungen. </w:t>
      </w:r>
      <w:r w:rsidR="000E4156">
        <w:t>Besonders für Peptida</w:t>
      </w:r>
      <w:r w:rsidR="00A6799C">
        <w:t>rzneistoffe oder andere hochmolekulare hydrophile Arzneistoffe sind zunächst eini</w:t>
      </w:r>
      <w:r w:rsidR="001F000B">
        <w:t>ge Hürden zu überwinden</w:t>
      </w:r>
      <w:bookmarkStart w:id="6" w:name="_Ref286494253"/>
      <w:r w:rsidR="00EB374C">
        <w:rPr>
          <w:rStyle w:val="Endnotenzeichen"/>
        </w:rPr>
        <w:endnoteReference w:id="11"/>
      </w:r>
      <w:bookmarkEnd w:id="6"/>
      <w:r w:rsidR="001F000B">
        <w:t xml:space="preserve">. Zum </w:t>
      </w:r>
      <w:r w:rsidR="00A6799C">
        <w:t>Verständnis dieser beso</w:t>
      </w:r>
      <w:r w:rsidR="001F000B">
        <w:t>nderen Herau</w:t>
      </w:r>
      <w:r w:rsidR="006D2292">
        <w:t>sforderung ist eine genaue</w:t>
      </w:r>
      <w:r w:rsidR="001F000B">
        <w:t xml:space="preserve"> Kenntnis der Anatomie und Physiol</w:t>
      </w:r>
      <w:r w:rsidR="006D2292">
        <w:t>ogie des Verdauungstraktes einschließlich</w:t>
      </w:r>
      <w:r w:rsidR="001F000B">
        <w:t xml:space="preserve"> der Prinzipien des</w:t>
      </w:r>
      <w:r w:rsidR="006D2292">
        <w:t xml:space="preserve"> intestinalen</w:t>
      </w:r>
      <w:r w:rsidR="001F000B">
        <w:t xml:space="preserve"> Stofftrans</w:t>
      </w:r>
      <w:r w:rsidR="006D2292">
        <w:t>portes</w:t>
      </w:r>
      <w:r w:rsidR="001F000B">
        <w:t xml:space="preserve"> unabdingbar.</w:t>
      </w:r>
    </w:p>
    <w:p w14:paraId="7BF23A8D" w14:textId="77777777" w:rsidR="00391870" w:rsidRDefault="000D4D5C" w:rsidP="00584A0D">
      <w:pPr>
        <w:pStyle w:val="berschrift3"/>
      </w:pPr>
      <w:bookmarkStart w:id="7" w:name="_Ref269745039"/>
      <w:bookmarkStart w:id="8" w:name="_Toc294380150"/>
      <w:r w:rsidRPr="00C85A5C">
        <w:t xml:space="preserve">Anatomie des </w:t>
      </w:r>
      <w:r w:rsidR="00567A8F">
        <w:t>Verdauungstraktes</w:t>
      </w:r>
      <w:bookmarkEnd w:id="7"/>
      <w:bookmarkEnd w:id="8"/>
    </w:p>
    <w:p w14:paraId="16BD3FCA" w14:textId="77777777" w:rsidR="00047513" w:rsidRDefault="00047513" w:rsidP="00047513">
      <w:r>
        <w:t>Die Mundhöhle mit Lippen, Zähnen und der Zunge sowie der Rachen gehören zum Kopfteil des Verdauungstraktes. H</w:t>
      </w:r>
      <w:r w:rsidR="00BD7711">
        <w:t>ier erfolgt</w:t>
      </w:r>
      <w:r w:rsidR="001F000B">
        <w:t xml:space="preserve"> im Wesentlichen die</w:t>
      </w:r>
      <w:r>
        <w:t xml:space="preserve"> Aufnahme und mechanische Zerkleinerung der Nahrung. Durch die Speiseröhre, die zum Rumpfteil des Verdauungstraktes gehört, gelangt die Nahrung in den Magen, den ersten Abschnitt des Gastroi</w:t>
      </w:r>
      <w:r w:rsidR="00786028">
        <w:t>ntestinaltraktes. Die Aufgabe des Gastrointestinaltraktes</w:t>
      </w:r>
      <w:r>
        <w:t xml:space="preserve"> ist der enzymatische Aufschluss der Nahrung und die dadurch ermöglichte Resorption von Nährstoffen sowie die Ausscheidung unver</w:t>
      </w:r>
      <w:r w:rsidR="00786028">
        <w:t>daulicher Nahrungsbestandteile.</w:t>
      </w:r>
    </w:p>
    <w:p w14:paraId="7544F8EE" w14:textId="77777777" w:rsidR="00047513" w:rsidRDefault="00047513" w:rsidP="00047513">
      <w:r>
        <w:t>Der Magen dient der Speicherung und kontrollierten Abgabe von Nahrungsbrei in das Duodenum, den ersten Abschnitt des Dünndarms. Außerdem sezerniert der Magen eine Vorstufe des eiw</w:t>
      </w:r>
      <w:r w:rsidR="00E55C02">
        <w:t>eißspaltenden Enzymes Pepsin sowie</w:t>
      </w:r>
      <w:r w:rsidR="001758C6">
        <w:t xml:space="preserve"> Salzsäure. D</w:t>
      </w:r>
      <w:r>
        <w:t>ie Umwandlung der inaktiven Vorstufe Pepsinogen in Pepsin</w:t>
      </w:r>
      <w:r w:rsidR="001758C6">
        <w:t xml:space="preserve"> läuft nur im sauren Milieu ab und das Enzym wird bei pH-Werten oberhalb von 6 irreversibel inaktiviert.</w:t>
      </w:r>
      <w:r w:rsidR="007F58FE">
        <w:t xml:space="preserve"> Durch den Pylorus (Magenpförtner) gelangt der Nahrungsbrei weiter in den Dünndarm.</w:t>
      </w:r>
    </w:p>
    <w:p w14:paraId="720EA66A" w14:textId="77777777" w:rsidR="00045315" w:rsidRDefault="00C70EDE" w:rsidP="00047513">
      <w:r>
        <w:t>Der Dünndarm eines erwachsenen Menschen hat mit seinen drei Darmabschnitten, dem Duodenum, dem Jejunum und dem Ileum, je nach Tonus eine Länge von 3-6 m</w:t>
      </w:r>
      <w:r w:rsidR="008C5264">
        <w:t xml:space="preserve"> </w:t>
      </w:r>
      <w:bookmarkStart w:id="9" w:name="_Ref282471384"/>
      <w:r>
        <w:rPr>
          <w:rStyle w:val="Endnotenzeichen"/>
        </w:rPr>
        <w:endnoteReference w:id="12"/>
      </w:r>
      <w:bookmarkEnd w:id="9"/>
      <w:r>
        <w:t xml:space="preserve">. </w:t>
      </w:r>
      <w:r w:rsidR="00FA713E">
        <w:t xml:space="preserve">Da der Dünndarm gut durchblutet ist und </w:t>
      </w:r>
      <w:r w:rsidR="00F74CCB">
        <w:t>dank einer ganz speziellen Beschaffenheit der inneren Oberfläche eine Resorptionsfläche</w:t>
      </w:r>
      <w:r w:rsidR="00FA713E">
        <w:t xml:space="preserve"> von rund 180 </w:t>
      </w:r>
      <w:r w:rsidR="00FA713E" w:rsidRPr="00FA713E">
        <w:t>m</w:t>
      </w:r>
      <w:r w:rsidR="00FA713E" w:rsidRPr="00FA713E">
        <w:rPr>
          <w:vertAlign w:val="superscript"/>
        </w:rPr>
        <w:t>2</w:t>
      </w:r>
      <w:r w:rsidR="00FA713E">
        <w:t xml:space="preserve"> aufweist, stellt er das Haupt-Resorptionsorgan des Verdauungstrakte</w:t>
      </w:r>
      <w:r w:rsidR="00F74CCB">
        <w:t>s dar. Diese enorme Vergrößerung der Oberfläche wird durch</w:t>
      </w:r>
      <w:r w:rsidR="00FA713E">
        <w:t xml:space="preserve"> Falten (Kerckring-Falten)</w:t>
      </w:r>
      <w:r w:rsidR="009D6990">
        <w:t>,</w:t>
      </w:r>
      <w:r w:rsidR="00FA713E">
        <w:t xml:space="preserve"> </w:t>
      </w:r>
      <w:r w:rsidR="00074C69">
        <w:t>Zotten und Mikrovilli erreicht. Die Oberflächenb</w:t>
      </w:r>
      <w:r w:rsidR="000E4156">
        <w:t>eschaffenheit des Dünndarms ist</w:t>
      </w:r>
      <w:r w:rsidR="00074C69">
        <w:t xml:space="preserve"> in </w:t>
      </w:r>
      <w:r w:rsidR="00D16240">
        <w:fldChar w:fldCharType="begin"/>
      </w:r>
      <w:r w:rsidR="00074C69">
        <w:instrText xml:space="preserve"> REF _Ref269686681 \h </w:instrText>
      </w:r>
      <w:r w:rsidR="00D16240">
        <w:fldChar w:fldCharType="separate"/>
      </w:r>
      <w:r w:rsidR="00711AB8" w:rsidRPr="003E3398">
        <w:t xml:space="preserve">Abbildung </w:t>
      </w:r>
      <w:r w:rsidR="00711AB8">
        <w:rPr>
          <w:noProof/>
        </w:rPr>
        <w:t>1</w:t>
      </w:r>
      <w:r w:rsidR="00D16240">
        <w:fldChar w:fldCharType="end"/>
      </w:r>
      <w:r w:rsidR="000E4156">
        <w:t xml:space="preserve"> schematisch dargestellt</w:t>
      </w:r>
      <w:r w:rsidR="00074C69">
        <w:t>.</w:t>
      </w:r>
    </w:p>
    <w:p w14:paraId="37131656" w14:textId="77777777" w:rsidR="00971DD1" w:rsidRDefault="00971DD1" w:rsidP="00047513"/>
    <w:p w14:paraId="724CB562" w14:textId="77777777" w:rsidR="00DF61E3" w:rsidRDefault="00DF61E3" w:rsidP="003E3398">
      <w:pPr>
        <w:jc w:val="center"/>
      </w:pPr>
      <w:r>
        <w:rPr>
          <w:noProof/>
          <w:lang w:eastAsia="de-DE"/>
        </w:rPr>
        <w:drawing>
          <wp:inline distT="0" distB="0" distL="0" distR="0" wp14:anchorId="66626226" wp14:editId="675C4171">
            <wp:extent cx="4447518" cy="2018777"/>
            <wp:effectExtent l="0" t="0" r="0" b="635"/>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intestine.jpg"/>
                    <pic:cNvPicPr/>
                  </pic:nvPicPr>
                  <pic:blipFill>
                    <a:blip r:embed="rId11">
                      <a:extLst>
                        <a:ext uri="{28A0092B-C50C-407E-A947-70E740481C1C}">
                          <a14:useLocalDpi xmlns:a14="http://schemas.microsoft.com/office/drawing/2010/main" val="0"/>
                        </a:ext>
                      </a:extLst>
                    </a:blip>
                    <a:stretch>
                      <a:fillRect/>
                    </a:stretch>
                  </pic:blipFill>
                  <pic:spPr>
                    <a:xfrm>
                      <a:off x="0" y="0"/>
                      <a:ext cx="4461866" cy="2025290"/>
                    </a:xfrm>
                    <a:prstGeom prst="rect">
                      <a:avLst/>
                    </a:prstGeom>
                  </pic:spPr>
                </pic:pic>
              </a:graphicData>
            </a:graphic>
          </wp:inline>
        </w:drawing>
      </w:r>
    </w:p>
    <w:p w14:paraId="03D77022" w14:textId="77777777" w:rsidR="00971DD1" w:rsidRDefault="003E3398" w:rsidP="00B240B0">
      <w:pPr>
        <w:pStyle w:val="Beschriftung"/>
        <w:ind w:firstLine="0"/>
        <w:rPr>
          <w:b w:val="0"/>
        </w:rPr>
      </w:pPr>
      <w:bookmarkStart w:id="10" w:name="_Ref269686681"/>
      <w:r w:rsidRPr="003E3398">
        <w:t xml:space="preserve">Abbildung </w:t>
      </w:r>
      <w:fldSimple w:instr=" SEQ Abbildung \* ARABIC ">
        <w:r w:rsidR="00711AB8">
          <w:rPr>
            <w:noProof/>
          </w:rPr>
          <w:t>1</w:t>
        </w:r>
      </w:fldSimple>
      <w:bookmarkEnd w:id="10"/>
      <w:r>
        <w:t xml:space="preserve"> </w:t>
      </w:r>
      <w:r w:rsidR="00203349">
        <w:rPr>
          <w:b w:val="0"/>
        </w:rPr>
        <w:t>C</w:t>
      </w:r>
      <w:r w:rsidR="00074C69">
        <w:rPr>
          <w:b w:val="0"/>
        </w:rPr>
        <w:t>a. 600fache Vergrößerung der Darmoberfläche im Dünndarm; Bürstensaum entspricht der Gesamtheit der Mikrovilli;</w:t>
      </w:r>
      <w:r>
        <w:rPr>
          <w:b w:val="0"/>
        </w:rPr>
        <w:t xml:space="preserve"> </w:t>
      </w:r>
      <w:r w:rsidRPr="003E3398">
        <w:rPr>
          <w:b w:val="0"/>
        </w:rPr>
        <w:t>© H. Hinghofer-Szalkay</w:t>
      </w:r>
      <w:r w:rsidR="005907C7">
        <w:rPr>
          <w:rStyle w:val="Endnotenzeichen"/>
          <w:b w:val="0"/>
        </w:rPr>
        <w:endnoteReference w:id="13"/>
      </w:r>
      <w:r w:rsidR="00203349">
        <w:rPr>
          <w:b w:val="0"/>
        </w:rPr>
        <w:t>.</w:t>
      </w:r>
    </w:p>
    <w:p w14:paraId="7AF581D1" w14:textId="77777777" w:rsidR="00D93F98" w:rsidRPr="00D93F98" w:rsidRDefault="00D93F98" w:rsidP="00F74CCB">
      <w:pPr>
        <w:spacing w:after="120"/>
      </w:pPr>
    </w:p>
    <w:p w14:paraId="37823B58" w14:textId="77777777" w:rsidR="00AB344C" w:rsidRDefault="009D6990" w:rsidP="00047513">
      <w:r>
        <w:t>Unmit</w:t>
      </w:r>
      <w:r w:rsidR="004912DC">
        <w:t>telbar nach dem Eintritt in das Duodenum wird die Nahrung</w:t>
      </w:r>
      <w:r>
        <w:t xml:space="preserve"> mit den</w:t>
      </w:r>
      <w:r w:rsidR="000D4C16">
        <w:t xml:space="preserve"> Verdauungssäf</w:t>
      </w:r>
      <w:r w:rsidR="00C70EDE">
        <w:t>te</w:t>
      </w:r>
      <w:r>
        <w:t>n</w:t>
      </w:r>
      <w:r w:rsidR="00786028">
        <w:t xml:space="preserve"> der Leber, </w:t>
      </w:r>
      <w:r w:rsidR="00E9513D">
        <w:t>der Galle</w:t>
      </w:r>
      <w:r w:rsidR="000D4C16">
        <w:t xml:space="preserve"> und der Bauchs</w:t>
      </w:r>
      <w:r w:rsidR="00C70EDE">
        <w:t>peicheldrüse</w:t>
      </w:r>
      <w:r w:rsidR="00A73416">
        <w:t xml:space="preserve"> (Pankreas)</w:t>
      </w:r>
      <w:r w:rsidR="004912DC">
        <w:t xml:space="preserve"> versetzt.</w:t>
      </w:r>
      <w:r>
        <w:t xml:space="preserve"> </w:t>
      </w:r>
      <w:r w:rsidR="004912DC">
        <w:t>Hauptgallengang und Bauchspeicheldrüsengang besitzen eine gemeinsame Mündung in den Dünndarm</w:t>
      </w:r>
      <w:r w:rsidR="00DF61E3">
        <w:t>.</w:t>
      </w:r>
      <w:r w:rsidR="00074C69">
        <w:t xml:space="preserve"> </w:t>
      </w:r>
      <w:r w:rsidR="00E9513D">
        <w:t xml:space="preserve">Durch </w:t>
      </w:r>
      <w:r w:rsidR="00867B73">
        <w:t>Gallensalze werden die Nahrungsfette emulgiert un</w:t>
      </w:r>
      <w:r w:rsidR="00B84F34">
        <w:t>d somit</w:t>
      </w:r>
      <w:r w:rsidR="00867B73">
        <w:t xml:space="preserve"> den fettverdauenden Enzymen zugänglich gemacht. </w:t>
      </w:r>
      <w:r w:rsidR="005D4F7B">
        <w:t>Die im Pankreassekret</w:t>
      </w:r>
      <w:r w:rsidR="00A73416">
        <w:t xml:space="preserve"> enthaltenen Verdauungsenzyme </w:t>
      </w:r>
      <w:r w:rsidR="004912DC">
        <w:t>Trypsinogen, Chymotrypsinogen, Procarboxypeptidase und Proelastase dienen der Eiweißspaltung</w:t>
      </w:r>
      <w:r w:rsidR="00A73416">
        <w:t>,</w:t>
      </w:r>
      <w:r w:rsidR="00E865C6">
        <w:t xml:space="preserve"> die </w:t>
      </w:r>
      <w:r w:rsidR="00E865C6">
        <w:sym w:font="Symbol" w:char="F061"/>
      </w:r>
      <w:r w:rsidR="00E865C6">
        <w:t xml:space="preserve">-Amylase </w:t>
      </w:r>
      <w:r w:rsidR="00A73416">
        <w:t xml:space="preserve">der Stärkespaltung und </w:t>
      </w:r>
      <w:r w:rsidR="00E865C6">
        <w:t xml:space="preserve">die Lipase </w:t>
      </w:r>
      <w:r w:rsidR="00A73416">
        <w:t>der Fettspaltung. Die eiweiß- und</w:t>
      </w:r>
      <w:r w:rsidR="005D4F7B">
        <w:t xml:space="preserve"> fettspaltenden</w:t>
      </w:r>
      <w:r w:rsidR="00140BE2">
        <w:t xml:space="preserve"> Enzyme werden als inaktive Vorstufe</w:t>
      </w:r>
      <w:r w:rsidR="00E865C6">
        <w:t>n</w:t>
      </w:r>
      <w:r w:rsidR="005D4F7B">
        <w:t xml:space="preserve"> sezerniert, um einen Selbstverdau des Organs zu verhindern. </w:t>
      </w:r>
      <w:r w:rsidR="00010404" w:rsidRPr="00010404">
        <w:t>Die im Bürstensaum des Duodenums lokalisierte membrangebundene Enteropeptidase</w:t>
      </w:r>
      <w:r w:rsidR="00E55C02">
        <w:t xml:space="preserve"> aktiviert Trypsinogen durch Abspaltung eines Hexapeptids zu Trypsin, das wiederum</w:t>
      </w:r>
      <w:r w:rsidR="00A31870">
        <w:t xml:space="preserve"> für die Aktivierung</w:t>
      </w:r>
      <w:r w:rsidR="00E55C02">
        <w:t xml:space="preserve"> weitere</w:t>
      </w:r>
      <w:r w:rsidR="00E865C6">
        <w:t>r Pankreasenzyme verantwortlich ist</w:t>
      </w:r>
      <w:r w:rsidR="00A31870">
        <w:t xml:space="preserve">. </w:t>
      </w:r>
      <w:r w:rsidR="00525D2A">
        <w:t>Proteine</w:t>
      </w:r>
      <w:r w:rsidR="00B84F34">
        <w:t xml:space="preserve"> aus der Nahrung</w:t>
      </w:r>
      <w:r w:rsidR="00525D2A">
        <w:t xml:space="preserve"> werden durch die aktivierten Enzyme bevorzugt in Di- und Tripeptide gespalten, die in dieser Form vor allem im Jejunum resorbiert werden.</w:t>
      </w:r>
      <w:r w:rsidR="005E6582">
        <w:t xml:space="preserve"> Größere Peptide oder gar Proteine können nicht ohne weiteres aufgenommen werden</w:t>
      </w:r>
      <w:r w:rsidR="00D16240">
        <w:fldChar w:fldCharType="begin"/>
      </w:r>
      <w:r w:rsidR="005E6582">
        <w:instrText xml:space="preserve"> NOTEREF _Ref286494253 \f \h </w:instrText>
      </w:r>
      <w:r w:rsidR="00D16240">
        <w:fldChar w:fldCharType="separate"/>
      </w:r>
      <w:r w:rsidR="00711AB8" w:rsidRPr="00711AB8">
        <w:rPr>
          <w:rStyle w:val="Endnotenzeichen"/>
        </w:rPr>
        <w:t>11</w:t>
      </w:r>
      <w:r w:rsidR="00D16240">
        <w:fldChar w:fldCharType="end"/>
      </w:r>
      <w:r w:rsidR="005E6582">
        <w:t>.</w:t>
      </w:r>
      <w:r w:rsidR="00525D2A">
        <w:t xml:space="preserve"> </w:t>
      </w:r>
      <w:r w:rsidR="00A31870">
        <w:t>Weitere Funktionen des Duodenums sind die Neutralisation des vom Magen angesäuerten Speisebreis durch Sekretion von Hydrogencarbonaten sowie die Absonderung von</w:t>
      </w:r>
      <w:r w:rsidR="00867B73">
        <w:t xml:space="preserve"> Muzinen.</w:t>
      </w:r>
      <w:r w:rsidR="00AB344C">
        <w:t xml:space="preserve"> Jejunum und Ileum nehmen ca. 95% der Gesamtlänge des Dünndarms ein und stellen damit den größten Teil an resorbierender Oberfläche. Neben einigen immunologischen Aufgaben ist die Resorption von Nahrungsbestandteilen und Wasser</w:t>
      </w:r>
      <w:r w:rsidR="00971DD1">
        <w:t xml:space="preserve"> die wesentliche Funktion dieser</w:t>
      </w:r>
      <w:r w:rsidR="00AB344C">
        <w:t xml:space="preserve"> beiden</w:t>
      </w:r>
      <w:r w:rsidR="00140BE2">
        <w:t xml:space="preserve"> letzten</w:t>
      </w:r>
      <w:r w:rsidR="00AB344C">
        <w:t xml:space="preserve"> Dünndarmabschnitte.</w:t>
      </w:r>
    </w:p>
    <w:p w14:paraId="1A2B61BC" w14:textId="77777777" w:rsidR="00867B73" w:rsidRDefault="00E61827" w:rsidP="00047513">
      <w:r>
        <w:t>Der in etwa 1,5 m lange Dickdarm wird in die drei Abschnitte Blinddarm (</w:t>
      </w:r>
      <w:r w:rsidRPr="007A582F">
        <w:rPr>
          <w:i/>
        </w:rPr>
        <w:t>Caecum</w:t>
      </w:r>
      <w:r>
        <w:t>), Grimmdarm (</w:t>
      </w:r>
      <w:r w:rsidRPr="007A582F">
        <w:rPr>
          <w:i/>
        </w:rPr>
        <w:t>Colon</w:t>
      </w:r>
      <w:r>
        <w:t>) und Mastdarm (</w:t>
      </w:r>
      <w:r w:rsidRPr="007A582F">
        <w:rPr>
          <w:i/>
        </w:rPr>
        <w:t>Rectum</w:t>
      </w:r>
      <w:r>
        <w:t>) eingeteilt. Seine Aufgaben sind im Wesentlichen die Resorption von Wasser und Elektrolyten sowie die Speicherung des Stuhlinhaltes bis zur Entleerung. Der Dickdarm ist mit Bakterien besiedelt</w:t>
      </w:r>
      <w:r w:rsidR="001F1263">
        <w:t xml:space="preserve">, die in ihrer </w:t>
      </w:r>
      <w:r w:rsidR="001F1263">
        <w:lastRenderedPageBreak/>
        <w:t>Gesamtheit die Darmflora bilden. Sie erfüllen wichtige Aufgaben bei der Bildung von essentiellen Aminosäuren und Vitaminen wie beispielsweise Vitamin K.</w:t>
      </w:r>
    </w:p>
    <w:p w14:paraId="0D5116B5" w14:textId="77777777" w:rsidR="0014085F" w:rsidRDefault="00E865C6" w:rsidP="00047513">
      <w:r>
        <w:t>Die gesamte innere Oberfläche des Gastrointestinaltraktes</w:t>
      </w:r>
      <w:r w:rsidR="00E9513D">
        <w:t xml:space="preserve"> ist</w:t>
      </w:r>
      <w:r w:rsidR="0014085F">
        <w:t xml:space="preserve"> mi</w:t>
      </w:r>
      <w:r w:rsidR="00040215">
        <w:t>t einer Schleimhaut (</w:t>
      </w:r>
      <w:r w:rsidR="00040215" w:rsidRPr="00E9513D">
        <w:rPr>
          <w:i/>
        </w:rPr>
        <w:t>Mukosa</w:t>
      </w:r>
      <w:r w:rsidR="00040215">
        <w:t>)</w:t>
      </w:r>
      <w:r w:rsidR="00FF3934">
        <w:t xml:space="preserve"> </w:t>
      </w:r>
      <w:r w:rsidR="0014085F">
        <w:t xml:space="preserve">ausgekleidet. </w:t>
      </w:r>
      <w:r w:rsidR="00147EE0">
        <w:t>Die Darmschleimhaut besitz</w:t>
      </w:r>
      <w:r w:rsidR="00FF3934">
        <w:t>t im Gegensatz zur äußeren Haut</w:t>
      </w:r>
      <w:r w:rsidR="00147EE0">
        <w:t xml:space="preserve"> ke</w:t>
      </w:r>
      <w:r w:rsidR="00A15B41">
        <w:t>ine Hornschicht und keine Haare.</w:t>
      </w:r>
      <w:r w:rsidR="00147EE0">
        <w:t xml:space="preserve"> Sie </w:t>
      </w:r>
      <w:r w:rsidR="00A35DEB">
        <w:t>besteht aus einer einschicht</w:t>
      </w:r>
      <w:r w:rsidR="00FF3934">
        <w:t>igen Epitheldecke, die durch die</w:t>
      </w:r>
      <w:r w:rsidR="00A35DEB">
        <w:t xml:space="preserve"> Enterozyten gebildet wird, einer epithelialen Muskelschicht und einer dazwischenliegenden Bindegewebsschicht. </w:t>
      </w:r>
      <w:r w:rsidR="00A15B41">
        <w:t>Innerhalb des Epithelverbandes befinden sich über die gesamte Darmschleimhaut verteilt becherförmige, Schleim produzierende Zellen, die sogenannten Becherzellen (</w:t>
      </w:r>
      <w:r w:rsidR="00A15B41" w:rsidRPr="00E9513D">
        <w:rPr>
          <w:i/>
        </w:rPr>
        <w:t>Goblet-Zellen</w:t>
      </w:r>
      <w:r w:rsidR="00A15B41">
        <w:t>). Sie sind für d</w:t>
      </w:r>
      <w:r w:rsidR="004164BC">
        <w:t xml:space="preserve">ie Bildung und Sekretion </w:t>
      </w:r>
      <w:r w:rsidR="004942CC">
        <w:t xml:space="preserve">der </w:t>
      </w:r>
      <w:r w:rsidR="00663D19">
        <w:t>Mucine auf die luminale</w:t>
      </w:r>
      <w:r w:rsidR="004164BC">
        <w:t xml:space="preserve"> Darmoberfläche verantwortlich. </w:t>
      </w:r>
      <w:r w:rsidR="004942CC">
        <w:t>Diese quellen nach</w:t>
      </w:r>
      <w:r w:rsidR="004164BC">
        <w:t xml:space="preserve"> Konta</w:t>
      </w:r>
      <w:r w:rsidR="004942CC">
        <w:t>kt mit Wasser</w:t>
      </w:r>
      <w:r w:rsidR="004164BC">
        <w:t xml:space="preserve"> und bilden </w:t>
      </w:r>
      <w:r w:rsidR="004942CC">
        <w:t>einen Schleim (</w:t>
      </w:r>
      <w:r w:rsidR="004942CC" w:rsidRPr="00E9513D">
        <w:rPr>
          <w:i/>
        </w:rPr>
        <w:t>Mukus</w:t>
      </w:r>
      <w:r w:rsidR="004942CC">
        <w:t>), der dem Schutz der Epithelzellen dient. In der Mukosa des Dünndar</w:t>
      </w:r>
      <w:r w:rsidR="00115158">
        <w:t>ms befinden sich außerdem Bereiche aus Gewebe</w:t>
      </w:r>
      <w:r w:rsidR="004942CC">
        <w:t xml:space="preserve"> des lymphatischen Systems, die sogenannten Payer-Plaques. </w:t>
      </w:r>
      <w:r w:rsidR="00223E01">
        <w:t>Sie sind Teil des darmassoziierten lymphatischen Gewebes, kurz GALT (engl.</w:t>
      </w:r>
      <w:r w:rsidR="00FF3934">
        <w:t>:</w:t>
      </w:r>
      <w:r w:rsidR="00223E01">
        <w:t xml:space="preserve"> </w:t>
      </w:r>
      <w:r w:rsidR="00223E01" w:rsidRPr="00223E01">
        <w:rPr>
          <w:i/>
        </w:rPr>
        <w:t>gut associated lymphoid tissue</w:t>
      </w:r>
      <w:r w:rsidR="00223E01">
        <w:t>). Diese</w:t>
      </w:r>
      <w:r w:rsidR="00115158">
        <w:t xml:space="preserve"> etwa 1 cm großen Bereiche stellen eine zusammenhängende Ansammlung von 10 bis</w:t>
      </w:r>
      <w:r w:rsidR="00071D7E">
        <w:t xml:space="preserve"> 15 Lymphfollikeln dar und sind vom sogenannten Follikel-assoziierten Ep</w:t>
      </w:r>
      <w:r w:rsidR="00416793">
        <w:t>i</w:t>
      </w:r>
      <w:r w:rsidR="00071D7E">
        <w:t>thel (FAE) überdec</w:t>
      </w:r>
      <w:r w:rsidR="00FF3934">
        <w:t>kt. Etwa 10 bis 15% des FAE bestehen aus</w:t>
      </w:r>
      <w:r w:rsidR="00071D7E">
        <w:t xml:space="preserve"> spezialisierten Epith</w:t>
      </w:r>
      <w:r w:rsidR="00FF3934">
        <w:t>elzellen, den sogenannten M-Zellen. Sie zeichnen sich dadurch aus, dass sie in besonderem Maße Stoffe oder Partikel a</w:t>
      </w:r>
      <w:r w:rsidR="00E9513D">
        <w:t xml:space="preserve">us der Nahrung aufnehmen </w:t>
      </w:r>
      <w:r w:rsidR="00071D7E">
        <w:t>un</w:t>
      </w:r>
      <w:r w:rsidR="00FF3934">
        <w:t xml:space="preserve">d diese </w:t>
      </w:r>
      <w:r w:rsidR="00FA68E8">
        <w:t>basolateral an Zellen des Immunsystems</w:t>
      </w:r>
      <w:r w:rsidR="00071D7E">
        <w:t xml:space="preserve"> </w:t>
      </w:r>
      <w:r w:rsidR="00FF3934">
        <w:t xml:space="preserve">wieder </w:t>
      </w:r>
      <w:r w:rsidR="00071D7E">
        <w:t>ab</w:t>
      </w:r>
      <w:r w:rsidR="00FF3934">
        <w:t>geben.</w:t>
      </w:r>
      <w:r w:rsidR="00E9513D">
        <w:t xml:space="preserve"> Dieser Vorgang wird als Transzytose bezeichnet.</w:t>
      </w:r>
      <w:r w:rsidR="00FF3934">
        <w:t xml:space="preserve"> Durch Aufnahme von Antigenen</w:t>
      </w:r>
      <w:r w:rsidR="00E9513D">
        <w:t xml:space="preserve"> nehmen sie</w:t>
      </w:r>
      <w:r w:rsidR="00071D7E">
        <w:t xml:space="preserve"> eine wichtige Aufgabe für das Immunsystem wahr.</w:t>
      </w:r>
      <w:r w:rsidR="00FA68E8">
        <w:t xml:space="preserve"> Or</w:t>
      </w:r>
      <w:r w:rsidR="005A2D87">
        <w:t xml:space="preserve">al applizierte Impfstoffe werden </w:t>
      </w:r>
      <w:r w:rsidR="00DD19EF">
        <w:t xml:space="preserve">beispielsweise </w:t>
      </w:r>
      <w:r w:rsidR="005A2D87">
        <w:t>über die M-Zellen</w:t>
      </w:r>
      <w:r w:rsidR="00DD19EF">
        <w:t xml:space="preserve"> aufgenommen und</w:t>
      </w:r>
      <w:r w:rsidR="005A2D87" w:rsidRPr="005A2D87">
        <w:t xml:space="preserve"> </w:t>
      </w:r>
      <w:r w:rsidR="005A2D87">
        <w:t>entfalten ihre Wirkung</w:t>
      </w:r>
      <w:r w:rsidR="00DD19EF">
        <w:t xml:space="preserve"> durch Interaktion mit Immunzellen der Peyer-Plaques</w:t>
      </w:r>
      <w:r w:rsidR="00C80F02">
        <w:rPr>
          <w:rStyle w:val="Endnotenzeichen"/>
        </w:rPr>
        <w:endnoteReference w:id="14"/>
      </w:r>
      <w:r w:rsidR="00FA68E8">
        <w:t>.</w:t>
      </w:r>
    </w:p>
    <w:p w14:paraId="7AE0D413" w14:textId="77777777" w:rsidR="0094583B" w:rsidRDefault="009770C9" w:rsidP="00AA21EE">
      <w:pPr>
        <w:spacing w:after="0"/>
      </w:pPr>
      <w:r>
        <w:t>Eine Voraussetzung für die korrekte Funktionsweise des Verdauungstraktes ist die Aufrechterhaltung eines spezifischen pH-Profils. Je nach Da</w:t>
      </w:r>
      <w:r w:rsidR="00A43F16">
        <w:t>rmabschnitt liegen typischerw</w:t>
      </w:r>
      <w:r>
        <w:t xml:space="preserve">eise sehr unterschiedliche pH-Werte vor. Ein typisches pH-Profil des </w:t>
      </w:r>
      <w:r w:rsidR="000D3F0B">
        <w:t xml:space="preserve">Verdauungstraktes ist </w:t>
      </w:r>
      <w:r w:rsidR="00D16240">
        <w:fldChar w:fldCharType="begin"/>
      </w:r>
      <w:r w:rsidR="000D3F0B">
        <w:instrText xml:space="preserve"> REF _Ref269744635 \h </w:instrText>
      </w:r>
      <w:r w:rsidR="00D16240">
        <w:fldChar w:fldCharType="separate"/>
      </w:r>
      <w:r w:rsidR="00711AB8" w:rsidRPr="000D3F0B">
        <w:t xml:space="preserve">Tabelle </w:t>
      </w:r>
      <w:r w:rsidR="00711AB8">
        <w:rPr>
          <w:noProof/>
        </w:rPr>
        <w:t>2</w:t>
      </w:r>
      <w:r w:rsidR="00D16240">
        <w:fldChar w:fldCharType="end"/>
      </w:r>
      <w:r>
        <w:t xml:space="preserve"> zu entnehmen.</w:t>
      </w:r>
    </w:p>
    <w:p w14:paraId="1E34D132" w14:textId="77777777" w:rsidR="006A241B" w:rsidRDefault="006A241B" w:rsidP="00AA21EE">
      <w:pPr>
        <w:spacing w:after="0"/>
      </w:pPr>
    </w:p>
    <w:p w14:paraId="6B4A1B0A" w14:textId="77777777" w:rsidR="006A241B" w:rsidRDefault="006A241B" w:rsidP="00AA21EE">
      <w:pPr>
        <w:spacing w:after="0"/>
      </w:pPr>
    </w:p>
    <w:p w14:paraId="14FC5176" w14:textId="77777777" w:rsidR="006A241B" w:rsidRDefault="006A241B" w:rsidP="00AA21EE">
      <w:pPr>
        <w:spacing w:after="0"/>
      </w:pPr>
    </w:p>
    <w:p w14:paraId="2ECDD50A" w14:textId="77777777" w:rsidR="006A241B" w:rsidRDefault="006A241B" w:rsidP="00AA21EE">
      <w:pPr>
        <w:spacing w:after="0"/>
      </w:pPr>
    </w:p>
    <w:p w14:paraId="2972AAD0" w14:textId="77777777" w:rsidR="006A241B" w:rsidRDefault="006A241B" w:rsidP="00AA21EE">
      <w:pPr>
        <w:spacing w:after="0"/>
      </w:pPr>
    </w:p>
    <w:p w14:paraId="2F0FC0A9" w14:textId="77777777" w:rsidR="00C80F02" w:rsidRDefault="00C80F02" w:rsidP="00AA21EE">
      <w:pPr>
        <w:spacing w:after="0"/>
      </w:pPr>
    </w:p>
    <w:p w14:paraId="0A5ED7BC" w14:textId="77777777" w:rsidR="00C80F02" w:rsidRDefault="00C80F02" w:rsidP="00AA21EE">
      <w:pPr>
        <w:spacing w:after="0"/>
      </w:pPr>
    </w:p>
    <w:p w14:paraId="7386ED95" w14:textId="77777777" w:rsidR="006A241B" w:rsidRDefault="006A241B" w:rsidP="00AA21EE">
      <w:pPr>
        <w:spacing w:after="0"/>
      </w:pPr>
    </w:p>
    <w:p w14:paraId="1A55665E" w14:textId="77777777" w:rsidR="006A241B" w:rsidRDefault="006A241B" w:rsidP="00AA21EE">
      <w:pPr>
        <w:spacing w:after="0"/>
      </w:pPr>
    </w:p>
    <w:p w14:paraId="5944D3BA" w14:textId="77777777" w:rsidR="00AA21EE" w:rsidRDefault="00AA21EE" w:rsidP="00AA21EE">
      <w:pPr>
        <w:spacing w:after="0"/>
      </w:pPr>
    </w:p>
    <w:p w14:paraId="407B6D86" w14:textId="77777777" w:rsidR="000D3F0B" w:rsidRPr="007E1C56" w:rsidRDefault="000D3F0B" w:rsidP="00B240B0">
      <w:pPr>
        <w:pStyle w:val="Beschriftung"/>
        <w:ind w:firstLine="0"/>
        <w:rPr>
          <w:b w:val="0"/>
        </w:rPr>
      </w:pPr>
      <w:bookmarkStart w:id="11" w:name="_Ref269744635"/>
      <w:r w:rsidRPr="000D3F0B">
        <w:lastRenderedPageBreak/>
        <w:t xml:space="preserve">Tabelle </w:t>
      </w:r>
      <w:fldSimple w:instr=" SEQ Tabelle \* ARABIC ">
        <w:r w:rsidR="00711AB8">
          <w:rPr>
            <w:noProof/>
          </w:rPr>
          <w:t>2</w:t>
        </w:r>
      </w:fldSimple>
      <w:bookmarkEnd w:id="11"/>
      <w:r>
        <w:t xml:space="preserve"> </w:t>
      </w:r>
      <w:r>
        <w:rPr>
          <w:b w:val="0"/>
        </w:rPr>
        <w:t>Typisches pH-Profil des Verdauungstraktes vor</w:t>
      </w:r>
      <w:r w:rsidR="007E1C56">
        <w:rPr>
          <w:b w:val="0"/>
        </w:rPr>
        <w:t xml:space="preserve"> (</w:t>
      </w:r>
      <w:r w:rsidR="007E1C56">
        <w:rPr>
          <w:b w:val="0"/>
          <w:i/>
        </w:rPr>
        <w:t>präprandial</w:t>
      </w:r>
      <w:r w:rsidR="007E1C56">
        <w:rPr>
          <w:b w:val="0"/>
        </w:rPr>
        <w:t>)</w:t>
      </w:r>
      <w:r>
        <w:rPr>
          <w:b w:val="0"/>
        </w:rPr>
        <w:t xml:space="preserve"> und nach Nahrungsaufnahme</w:t>
      </w:r>
      <w:r w:rsidR="007E1C56">
        <w:rPr>
          <w:b w:val="0"/>
        </w:rPr>
        <w:t xml:space="preserve"> (</w:t>
      </w:r>
      <w:r w:rsidR="007E1C56">
        <w:rPr>
          <w:b w:val="0"/>
          <w:i/>
        </w:rPr>
        <w:t>postprandial</w:t>
      </w:r>
      <w:r w:rsidR="007E1C56">
        <w:rPr>
          <w:b w:val="0"/>
        </w:rPr>
        <w:t>)</w:t>
      </w:r>
      <w:r w:rsidR="007202B0">
        <w:rPr>
          <w:rStyle w:val="Endnotenzeichen"/>
          <w:b w:val="0"/>
        </w:rPr>
        <w:endnoteReference w:id="15"/>
      </w:r>
      <w:r w:rsidR="00D073A9">
        <w:rPr>
          <w:b w:val="0"/>
          <w:vertAlign w:val="superscript"/>
        </w:rPr>
        <w:t>,</w:t>
      </w:r>
      <w:r w:rsidR="00D073A9">
        <w:rPr>
          <w:rStyle w:val="Endnotenzeichen"/>
          <w:b w:val="0"/>
        </w:rPr>
        <w:endnoteReference w:id="16"/>
      </w:r>
      <w:r w:rsidR="00203349">
        <w:rPr>
          <w:b w:val="0"/>
        </w:rPr>
        <w:t>.</w:t>
      </w:r>
    </w:p>
    <w:tbl>
      <w:tblPr>
        <w:tblStyle w:val="Tabellenraster"/>
        <w:tblW w:w="0" w:type="auto"/>
        <w:jc w:val="center"/>
        <w:tblLook w:val="04A0" w:firstRow="1" w:lastRow="0" w:firstColumn="1" w:lastColumn="0" w:noHBand="0" w:noVBand="1"/>
      </w:tblPr>
      <w:tblGrid>
        <w:gridCol w:w="2039"/>
        <w:gridCol w:w="2410"/>
        <w:gridCol w:w="2460"/>
        <w:gridCol w:w="1421"/>
      </w:tblGrid>
      <w:tr w:rsidR="009770C9" w:rsidRPr="000D3F0B" w14:paraId="58A70ED6" w14:textId="77777777" w:rsidTr="002A27BB">
        <w:trPr>
          <w:trHeight w:val="454"/>
          <w:jc w:val="center"/>
        </w:trPr>
        <w:tc>
          <w:tcPr>
            <w:tcW w:w="2039" w:type="dxa"/>
            <w:tcBorders>
              <w:top w:val="single" w:sz="8" w:space="0" w:color="auto"/>
              <w:left w:val="single" w:sz="8" w:space="0" w:color="auto"/>
              <w:bottom w:val="single" w:sz="8" w:space="0" w:color="auto"/>
              <w:right w:val="single" w:sz="8" w:space="0" w:color="auto"/>
            </w:tcBorders>
            <w:shd w:val="clear" w:color="auto" w:fill="E6E6E6"/>
            <w:vAlign w:val="center"/>
          </w:tcPr>
          <w:p w14:paraId="5A25772F" w14:textId="77777777" w:rsidR="009770C9" w:rsidRPr="00DA5F05" w:rsidRDefault="00531316" w:rsidP="007E1C56">
            <w:pPr>
              <w:spacing w:line="240" w:lineRule="auto"/>
              <w:jc w:val="center"/>
              <w:rPr>
                <w:b/>
                <w:sz w:val="20"/>
                <w:szCs w:val="20"/>
              </w:rPr>
            </w:pPr>
            <w:r w:rsidRPr="00DA5F05">
              <w:rPr>
                <w:b/>
                <w:sz w:val="20"/>
                <w:szCs w:val="20"/>
              </w:rPr>
              <w:t>Verdauungsorgan</w:t>
            </w:r>
          </w:p>
        </w:tc>
        <w:tc>
          <w:tcPr>
            <w:tcW w:w="2410" w:type="dxa"/>
            <w:tcBorders>
              <w:top w:val="single" w:sz="8" w:space="0" w:color="auto"/>
              <w:left w:val="single" w:sz="8" w:space="0" w:color="auto"/>
              <w:bottom w:val="single" w:sz="8" w:space="0" w:color="auto"/>
              <w:right w:val="single" w:sz="8" w:space="0" w:color="auto"/>
            </w:tcBorders>
            <w:shd w:val="clear" w:color="auto" w:fill="E6E6E6"/>
            <w:vAlign w:val="center"/>
          </w:tcPr>
          <w:p w14:paraId="6A5A272E" w14:textId="77777777" w:rsidR="009770C9" w:rsidRPr="00DA5F05" w:rsidRDefault="00531316" w:rsidP="007E1C56">
            <w:pPr>
              <w:spacing w:line="240" w:lineRule="auto"/>
              <w:jc w:val="center"/>
              <w:rPr>
                <w:b/>
                <w:sz w:val="20"/>
                <w:szCs w:val="20"/>
              </w:rPr>
            </w:pPr>
            <w:r w:rsidRPr="00DA5F05">
              <w:rPr>
                <w:b/>
                <w:sz w:val="20"/>
                <w:szCs w:val="20"/>
              </w:rPr>
              <w:t>Abschnitt</w:t>
            </w:r>
          </w:p>
        </w:tc>
        <w:tc>
          <w:tcPr>
            <w:tcW w:w="2460" w:type="dxa"/>
            <w:tcBorders>
              <w:top w:val="single" w:sz="8" w:space="0" w:color="auto"/>
              <w:left w:val="single" w:sz="8" w:space="0" w:color="auto"/>
              <w:bottom w:val="single" w:sz="8" w:space="0" w:color="auto"/>
              <w:right w:val="single" w:sz="8" w:space="0" w:color="auto"/>
            </w:tcBorders>
            <w:shd w:val="clear" w:color="auto" w:fill="E6E6E6"/>
            <w:vAlign w:val="center"/>
          </w:tcPr>
          <w:p w14:paraId="1F9DF923" w14:textId="77777777" w:rsidR="009770C9" w:rsidRPr="00DA5F05" w:rsidRDefault="00190F2E" w:rsidP="007E1C56">
            <w:pPr>
              <w:spacing w:line="240" w:lineRule="auto"/>
              <w:jc w:val="center"/>
              <w:rPr>
                <w:b/>
                <w:sz w:val="20"/>
                <w:szCs w:val="20"/>
              </w:rPr>
            </w:pPr>
            <w:r w:rsidRPr="00DA5F05">
              <w:rPr>
                <w:b/>
                <w:sz w:val="20"/>
                <w:szCs w:val="20"/>
              </w:rPr>
              <w:t>Zustand</w:t>
            </w:r>
          </w:p>
        </w:tc>
        <w:tc>
          <w:tcPr>
            <w:tcW w:w="1421" w:type="dxa"/>
            <w:tcBorders>
              <w:top w:val="single" w:sz="8" w:space="0" w:color="auto"/>
              <w:left w:val="single" w:sz="8" w:space="0" w:color="auto"/>
              <w:bottom w:val="single" w:sz="8" w:space="0" w:color="auto"/>
              <w:right w:val="single" w:sz="8" w:space="0" w:color="auto"/>
            </w:tcBorders>
            <w:shd w:val="clear" w:color="auto" w:fill="E6E6E6"/>
            <w:vAlign w:val="center"/>
          </w:tcPr>
          <w:p w14:paraId="0A6B7D00" w14:textId="77777777" w:rsidR="009770C9" w:rsidRPr="00DA5F05" w:rsidRDefault="00190F2E" w:rsidP="007E1C56">
            <w:pPr>
              <w:spacing w:line="240" w:lineRule="auto"/>
              <w:jc w:val="center"/>
              <w:rPr>
                <w:b/>
                <w:sz w:val="20"/>
                <w:szCs w:val="20"/>
              </w:rPr>
            </w:pPr>
            <w:r w:rsidRPr="00DA5F05">
              <w:rPr>
                <w:b/>
                <w:sz w:val="20"/>
                <w:szCs w:val="20"/>
              </w:rPr>
              <w:t>pH-Bereich</w:t>
            </w:r>
          </w:p>
        </w:tc>
      </w:tr>
      <w:tr w:rsidR="009770C9" w14:paraId="0533590E" w14:textId="77777777" w:rsidTr="007E1C56">
        <w:trPr>
          <w:trHeight w:val="340"/>
          <w:jc w:val="center"/>
        </w:trPr>
        <w:tc>
          <w:tcPr>
            <w:tcW w:w="2039" w:type="dxa"/>
            <w:tcBorders>
              <w:top w:val="single" w:sz="8" w:space="0" w:color="auto"/>
              <w:left w:val="single" w:sz="8" w:space="0" w:color="auto"/>
              <w:bottom w:val="nil"/>
            </w:tcBorders>
            <w:vAlign w:val="center"/>
          </w:tcPr>
          <w:p w14:paraId="1BF11D88" w14:textId="77777777" w:rsidR="009770C9" w:rsidRPr="00077E38" w:rsidRDefault="00190F2E" w:rsidP="00531316">
            <w:pPr>
              <w:spacing w:line="240" w:lineRule="auto"/>
              <w:rPr>
                <w:sz w:val="18"/>
                <w:szCs w:val="18"/>
              </w:rPr>
            </w:pPr>
            <w:r w:rsidRPr="00077E38">
              <w:rPr>
                <w:sz w:val="18"/>
                <w:szCs w:val="18"/>
              </w:rPr>
              <w:t>Magen</w:t>
            </w:r>
          </w:p>
        </w:tc>
        <w:tc>
          <w:tcPr>
            <w:tcW w:w="2410" w:type="dxa"/>
            <w:tcBorders>
              <w:top w:val="single" w:sz="8" w:space="0" w:color="auto"/>
              <w:bottom w:val="nil"/>
            </w:tcBorders>
            <w:vAlign w:val="center"/>
          </w:tcPr>
          <w:p w14:paraId="0C06B291" w14:textId="77777777" w:rsidR="009770C9" w:rsidRPr="00077E38" w:rsidRDefault="009770C9" w:rsidP="00531316">
            <w:pPr>
              <w:spacing w:line="240" w:lineRule="auto"/>
              <w:rPr>
                <w:sz w:val="18"/>
                <w:szCs w:val="18"/>
              </w:rPr>
            </w:pPr>
          </w:p>
        </w:tc>
        <w:tc>
          <w:tcPr>
            <w:tcW w:w="2460" w:type="dxa"/>
            <w:tcBorders>
              <w:top w:val="single" w:sz="8" w:space="0" w:color="auto"/>
              <w:bottom w:val="nil"/>
            </w:tcBorders>
            <w:vAlign w:val="center"/>
          </w:tcPr>
          <w:p w14:paraId="77FD1514" w14:textId="77777777" w:rsidR="009770C9" w:rsidRPr="00077E38" w:rsidRDefault="00190F2E" w:rsidP="00531316">
            <w:pPr>
              <w:spacing w:line="240" w:lineRule="auto"/>
              <w:rPr>
                <w:sz w:val="18"/>
                <w:szCs w:val="18"/>
              </w:rPr>
            </w:pPr>
            <w:r w:rsidRPr="00077E38">
              <w:rPr>
                <w:sz w:val="18"/>
                <w:szCs w:val="18"/>
              </w:rPr>
              <w:t>präprandial</w:t>
            </w:r>
          </w:p>
        </w:tc>
        <w:tc>
          <w:tcPr>
            <w:tcW w:w="1421" w:type="dxa"/>
            <w:tcBorders>
              <w:top w:val="single" w:sz="8" w:space="0" w:color="auto"/>
              <w:bottom w:val="nil"/>
              <w:right w:val="single" w:sz="8" w:space="0" w:color="auto"/>
            </w:tcBorders>
            <w:vAlign w:val="center"/>
          </w:tcPr>
          <w:p w14:paraId="431E8724" w14:textId="77777777" w:rsidR="009770C9" w:rsidRPr="00077E38" w:rsidRDefault="00190F2E" w:rsidP="00531316">
            <w:pPr>
              <w:spacing w:line="240" w:lineRule="auto"/>
              <w:rPr>
                <w:sz w:val="18"/>
                <w:szCs w:val="18"/>
              </w:rPr>
            </w:pPr>
            <w:r w:rsidRPr="00077E38">
              <w:rPr>
                <w:sz w:val="18"/>
                <w:szCs w:val="18"/>
              </w:rPr>
              <w:t>1,4 – 2,1</w:t>
            </w:r>
          </w:p>
        </w:tc>
      </w:tr>
      <w:tr w:rsidR="009770C9" w14:paraId="618AC2AA" w14:textId="77777777" w:rsidTr="007E1C56">
        <w:trPr>
          <w:trHeight w:val="340"/>
          <w:jc w:val="center"/>
        </w:trPr>
        <w:tc>
          <w:tcPr>
            <w:tcW w:w="2039" w:type="dxa"/>
            <w:tcBorders>
              <w:top w:val="nil"/>
              <w:left w:val="single" w:sz="8" w:space="0" w:color="auto"/>
              <w:bottom w:val="single" w:sz="4" w:space="0" w:color="auto"/>
            </w:tcBorders>
            <w:vAlign w:val="center"/>
          </w:tcPr>
          <w:p w14:paraId="1DEC33EC" w14:textId="77777777" w:rsidR="009770C9" w:rsidRPr="00077E38" w:rsidRDefault="009770C9" w:rsidP="00531316">
            <w:pPr>
              <w:spacing w:line="240" w:lineRule="auto"/>
              <w:rPr>
                <w:sz w:val="18"/>
                <w:szCs w:val="18"/>
              </w:rPr>
            </w:pPr>
          </w:p>
        </w:tc>
        <w:tc>
          <w:tcPr>
            <w:tcW w:w="2410" w:type="dxa"/>
            <w:tcBorders>
              <w:top w:val="nil"/>
              <w:bottom w:val="single" w:sz="4" w:space="0" w:color="auto"/>
            </w:tcBorders>
            <w:vAlign w:val="center"/>
          </w:tcPr>
          <w:p w14:paraId="0990A34E" w14:textId="77777777" w:rsidR="009770C9" w:rsidRPr="00077E38" w:rsidRDefault="009770C9" w:rsidP="00531316">
            <w:pPr>
              <w:spacing w:line="240" w:lineRule="auto"/>
              <w:rPr>
                <w:sz w:val="18"/>
                <w:szCs w:val="18"/>
              </w:rPr>
            </w:pPr>
          </w:p>
        </w:tc>
        <w:tc>
          <w:tcPr>
            <w:tcW w:w="2460" w:type="dxa"/>
            <w:tcBorders>
              <w:top w:val="nil"/>
              <w:bottom w:val="single" w:sz="4" w:space="0" w:color="auto"/>
            </w:tcBorders>
            <w:vAlign w:val="center"/>
          </w:tcPr>
          <w:p w14:paraId="0CD58E27" w14:textId="77777777" w:rsidR="009770C9" w:rsidRPr="00077E38" w:rsidRDefault="00190F2E" w:rsidP="00531316">
            <w:pPr>
              <w:spacing w:line="240" w:lineRule="auto"/>
              <w:rPr>
                <w:sz w:val="18"/>
                <w:szCs w:val="18"/>
              </w:rPr>
            </w:pPr>
            <w:r w:rsidRPr="00077E38">
              <w:rPr>
                <w:sz w:val="18"/>
                <w:szCs w:val="18"/>
              </w:rPr>
              <w:t>postprandial</w:t>
            </w:r>
          </w:p>
        </w:tc>
        <w:tc>
          <w:tcPr>
            <w:tcW w:w="1421" w:type="dxa"/>
            <w:tcBorders>
              <w:top w:val="nil"/>
              <w:bottom w:val="single" w:sz="4" w:space="0" w:color="auto"/>
              <w:right w:val="single" w:sz="8" w:space="0" w:color="auto"/>
            </w:tcBorders>
            <w:vAlign w:val="center"/>
          </w:tcPr>
          <w:p w14:paraId="77BB2516" w14:textId="77777777" w:rsidR="009770C9" w:rsidRPr="00077E38" w:rsidRDefault="00190F2E" w:rsidP="00531316">
            <w:pPr>
              <w:spacing w:line="240" w:lineRule="auto"/>
              <w:rPr>
                <w:sz w:val="18"/>
                <w:szCs w:val="18"/>
              </w:rPr>
            </w:pPr>
            <w:r w:rsidRPr="00077E38">
              <w:rPr>
                <w:sz w:val="18"/>
                <w:szCs w:val="18"/>
              </w:rPr>
              <w:t>4,3 – 5,4</w:t>
            </w:r>
          </w:p>
        </w:tc>
      </w:tr>
      <w:tr w:rsidR="009770C9" w14:paraId="7CE5C855" w14:textId="77777777" w:rsidTr="00DA5F05">
        <w:trPr>
          <w:trHeight w:val="340"/>
          <w:jc w:val="center"/>
        </w:trPr>
        <w:tc>
          <w:tcPr>
            <w:tcW w:w="2039" w:type="dxa"/>
            <w:tcBorders>
              <w:left w:val="single" w:sz="8" w:space="0" w:color="auto"/>
              <w:bottom w:val="nil"/>
            </w:tcBorders>
            <w:vAlign w:val="center"/>
          </w:tcPr>
          <w:p w14:paraId="235ACF66" w14:textId="77777777" w:rsidR="009770C9" w:rsidRPr="00077E38" w:rsidRDefault="00190F2E" w:rsidP="00531316">
            <w:pPr>
              <w:spacing w:line="240" w:lineRule="auto"/>
              <w:rPr>
                <w:sz w:val="18"/>
                <w:szCs w:val="18"/>
              </w:rPr>
            </w:pPr>
            <w:r w:rsidRPr="00077E38">
              <w:rPr>
                <w:sz w:val="18"/>
                <w:szCs w:val="18"/>
              </w:rPr>
              <w:t>Dünndarm</w:t>
            </w:r>
          </w:p>
        </w:tc>
        <w:tc>
          <w:tcPr>
            <w:tcW w:w="2410" w:type="dxa"/>
            <w:tcBorders>
              <w:bottom w:val="nil"/>
            </w:tcBorders>
            <w:vAlign w:val="center"/>
          </w:tcPr>
          <w:p w14:paraId="6DD33526" w14:textId="77777777" w:rsidR="009770C9" w:rsidRPr="00077E38" w:rsidRDefault="00190F2E" w:rsidP="00531316">
            <w:pPr>
              <w:spacing w:line="240" w:lineRule="auto"/>
              <w:rPr>
                <w:sz w:val="18"/>
                <w:szCs w:val="18"/>
              </w:rPr>
            </w:pPr>
            <w:r w:rsidRPr="00077E38">
              <w:rPr>
                <w:sz w:val="18"/>
                <w:szCs w:val="18"/>
              </w:rPr>
              <w:t>Duodenum</w:t>
            </w:r>
          </w:p>
        </w:tc>
        <w:tc>
          <w:tcPr>
            <w:tcW w:w="2460" w:type="dxa"/>
            <w:tcBorders>
              <w:bottom w:val="nil"/>
            </w:tcBorders>
            <w:vAlign w:val="center"/>
          </w:tcPr>
          <w:p w14:paraId="5AAADC61" w14:textId="77777777" w:rsidR="009770C9" w:rsidRPr="00077E38" w:rsidRDefault="00190F2E" w:rsidP="00531316">
            <w:pPr>
              <w:spacing w:line="240" w:lineRule="auto"/>
              <w:rPr>
                <w:sz w:val="18"/>
                <w:szCs w:val="18"/>
              </w:rPr>
            </w:pPr>
            <w:r w:rsidRPr="00077E38">
              <w:rPr>
                <w:sz w:val="18"/>
                <w:szCs w:val="18"/>
              </w:rPr>
              <w:t>präprandial</w:t>
            </w:r>
          </w:p>
        </w:tc>
        <w:tc>
          <w:tcPr>
            <w:tcW w:w="1421" w:type="dxa"/>
            <w:tcBorders>
              <w:bottom w:val="nil"/>
              <w:right w:val="single" w:sz="8" w:space="0" w:color="auto"/>
            </w:tcBorders>
            <w:vAlign w:val="center"/>
          </w:tcPr>
          <w:p w14:paraId="67D54C87" w14:textId="77777777" w:rsidR="009770C9" w:rsidRPr="00077E38" w:rsidRDefault="00190F2E" w:rsidP="00531316">
            <w:pPr>
              <w:spacing w:line="240" w:lineRule="auto"/>
              <w:rPr>
                <w:sz w:val="18"/>
                <w:szCs w:val="18"/>
              </w:rPr>
            </w:pPr>
            <w:r w:rsidRPr="00077E38">
              <w:rPr>
                <w:sz w:val="18"/>
                <w:szCs w:val="18"/>
              </w:rPr>
              <w:t>4,9 – 6,4</w:t>
            </w:r>
          </w:p>
        </w:tc>
      </w:tr>
      <w:tr w:rsidR="00190F2E" w14:paraId="4FD6CC26" w14:textId="77777777" w:rsidTr="00DA5F05">
        <w:trPr>
          <w:trHeight w:val="340"/>
          <w:jc w:val="center"/>
        </w:trPr>
        <w:tc>
          <w:tcPr>
            <w:tcW w:w="2039" w:type="dxa"/>
            <w:tcBorders>
              <w:top w:val="nil"/>
              <w:left w:val="single" w:sz="8" w:space="0" w:color="auto"/>
              <w:bottom w:val="nil"/>
            </w:tcBorders>
            <w:vAlign w:val="center"/>
          </w:tcPr>
          <w:p w14:paraId="1643574C" w14:textId="77777777" w:rsidR="00190F2E" w:rsidRPr="00077E38" w:rsidRDefault="00190F2E" w:rsidP="00531316">
            <w:pPr>
              <w:spacing w:line="240" w:lineRule="auto"/>
              <w:rPr>
                <w:sz w:val="18"/>
                <w:szCs w:val="18"/>
              </w:rPr>
            </w:pPr>
          </w:p>
        </w:tc>
        <w:tc>
          <w:tcPr>
            <w:tcW w:w="2410" w:type="dxa"/>
            <w:tcBorders>
              <w:top w:val="nil"/>
              <w:bottom w:val="nil"/>
            </w:tcBorders>
            <w:vAlign w:val="center"/>
          </w:tcPr>
          <w:p w14:paraId="3078C02C" w14:textId="77777777" w:rsidR="00190F2E" w:rsidRPr="00077E38" w:rsidRDefault="00190F2E" w:rsidP="00531316">
            <w:pPr>
              <w:spacing w:line="240" w:lineRule="auto"/>
              <w:rPr>
                <w:sz w:val="18"/>
                <w:szCs w:val="18"/>
              </w:rPr>
            </w:pPr>
          </w:p>
        </w:tc>
        <w:tc>
          <w:tcPr>
            <w:tcW w:w="2460" w:type="dxa"/>
            <w:tcBorders>
              <w:top w:val="nil"/>
              <w:bottom w:val="nil"/>
            </w:tcBorders>
            <w:vAlign w:val="center"/>
          </w:tcPr>
          <w:p w14:paraId="23712F5A" w14:textId="77777777" w:rsidR="00190F2E" w:rsidRPr="00077E38" w:rsidRDefault="00190F2E" w:rsidP="00531316">
            <w:pPr>
              <w:spacing w:line="240" w:lineRule="auto"/>
              <w:rPr>
                <w:sz w:val="18"/>
                <w:szCs w:val="18"/>
              </w:rPr>
            </w:pPr>
            <w:r w:rsidRPr="00077E38">
              <w:rPr>
                <w:sz w:val="18"/>
                <w:szCs w:val="18"/>
              </w:rPr>
              <w:t>postprandial</w:t>
            </w:r>
          </w:p>
        </w:tc>
        <w:tc>
          <w:tcPr>
            <w:tcW w:w="1421" w:type="dxa"/>
            <w:tcBorders>
              <w:top w:val="nil"/>
              <w:bottom w:val="nil"/>
              <w:right w:val="single" w:sz="8" w:space="0" w:color="auto"/>
            </w:tcBorders>
            <w:vAlign w:val="center"/>
          </w:tcPr>
          <w:p w14:paraId="48326197" w14:textId="77777777" w:rsidR="00190F2E" w:rsidRPr="00077E38" w:rsidRDefault="00190F2E" w:rsidP="00531316">
            <w:pPr>
              <w:spacing w:line="240" w:lineRule="auto"/>
              <w:rPr>
                <w:sz w:val="18"/>
                <w:szCs w:val="18"/>
              </w:rPr>
            </w:pPr>
            <w:r w:rsidRPr="00077E38">
              <w:rPr>
                <w:sz w:val="18"/>
                <w:szCs w:val="18"/>
              </w:rPr>
              <w:t>4,2 – 6,1</w:t>
            </w:r>
          </w:p>
        </w:tc>
      </w:tr>
      <w:tr w:rsidR="00190F2E" w14:paraId="14A0EA09" w14:textId="77777777" w:rsidTr="00DA5F05">
        <w:trPr>
          <w:trHeight w:val="340"/>
          <w:jc w:val="center"/>
        </w:trPr>
        <w:tc>
          <w:tcPr>
            <w:tcW w:w="2039" w:type="dxa"/>
            <w:tcBorders>
              <w:top w:val="nil"/>
              <w:left w:val="single" w:sz="8" w:space="0" w:color="auto"/>
              <w:bottom w:val="nil"/>
            </w:tcBorders>
            <w:vAlign w:val="center"/>
          </w:tcPr>
          <w:p w14:paraId="7E62B607" w14:textId="77777777" w:rsidR="00190F2E" w:rsidRPr="00077E38" w:rsidRDefault="00190F2E" w:rsidP="00531316">
            <w:pPr>
              <w:spacing w:line="240" w:lineRule="auto"/>
              <w:rPr>
                <w:sz w:val="18"/>
                <w:szCs w:val="18"/>
              </w:rPr>
            </w:pPr>
          </w:p>
        </w:tc>
        <w:tc>
          <w:tcPr>
            <w:tcW w:w="2410" w:type="dxa"/>
            <w:tcBorders>
              <w:top w:val="nil"/>
              <w:bottom w:val="nil"/>
            </w:tcBorders>
            <w:vAlign w:val="center"/>
          </w:tcPr>
          <w:p w14:paraId="2BEE1DC9" w14:textId="77777777" w:rsidR="00190F2E" w:rsidRPr="00077E38" w:rsidRDefault="00190F2E" w:rsidP="00531316">
            <w:pPr>
              <w:spacing w:line="240" w:lineRule="auto"/>
              <w:rPr>
                <w:sz w:val="18"/>
                <w:szCs w:val="18"/>
              </w:rPr>
            </w:pPr>
            <w:r w:rsidRPr="00077E38">
              <w:rPr>
                <w:sz w:val="18"/>
                <w:szCs w:val="18"/>
              </w:rPr>
              <w:t>Jejunum</w:t>
            </w:r>
          </w:p>
        </w:tc>
        <w:tc>
          <w:tcPr>
            <w:tcW w:w="2460" w:type="dxa"/>
            <w:tcBorders>
              <w:top w:val="nil"/>
              <w:bottom w:val="nil"/>
            </w:tcBorders>
            <w:vAlign w:val="center"/>
          </w:tcPr>
          <w:p w14:paraId="68F96994" w14:textId="77777777" w:rsidR="00190F2E" w:rsidRPr="00077E38" w:rsidRDefault="00190F2E" w:rsidP="00531316">
            <w:pPr>
              <w:spacing w:line="240" w:lineRule="auto"/>
              <w:rPr>
                <w:sz w:val="18"/>
                <w:szCs w:val="18"/>
              </w:rPr>
            </w:pPr>
            <w:r w:rsidRPr="00077E38">
              <w:rPr>
                <w:sz w:val="18"/>
                <w:szCs w:val="18"/>
              </w:rPr>
              <w:t>präprandial</w:t>
            </w:r>
          </w:p>
        </w:tc>
        <w:tc>
          <w:tcPr>
            <w:tcW w:w="1421" w:type="dxa"/>
            <w:tcBorders>
              <w:top w:val="nil"/>
              <w:bottom w:val="nil"/>
              <w:right w:val="single" w:sz="8" w:space="0" w:color="auto"/>
            </w:tcBorders>
            <w:vAlign w:val="center"/>
          </w:tcPr>
          <w:p w14:paraId="4354507F" w14:textId="77777777" w:rsidR="00190F2E" w:rsidRPr="00077E38" w:rsidRDefault="00190F2E" w:rsidP="00531316">
            <w:pPr>
              <w:spacing w:line="240" w:lineRule="auto"/>
              <w:rPr>
                <w:sz w:val="18"/>
                <w:szCs w:val="18"/>
              </w:rPr>
            </w:pPr>
            <w:r w:rsidRPr="00077E38">
              <w:rPr>
                <w:sz w:val="18"/>
                <w:szCs w:val="18"/>
              </w:rPr>
              <w:t>4,4 – 6,6</w:t>
            </w:r>
          </w:p>
        </w:tc>
      </w:tr>
      <w:tr w:rsidR="00190F2E" w14:paraId="0DEA4743" w14:textId="77777777" w:rsidTr="00DA5F05">
        <w:trPr>
          <w:trHeight w:val="340"/>
          <w:jc w:val="center"/>
        </w:trPr>
        <w:tc>
          <w:tcPr>
            <w:tcW w:w="2039" w:type="dxa"/>
            <w:tcBorders>
              <w:top w:val="nil"/>
              <w:left w:val="single" w:sz="8" w:space="0" w:color="auto"/>
              <w:bottom w:val="nil"/>
            </w:tcBorders>
            <w:vAlign w:val="center"/>
          </w:tcPr>
          <w:p w14:paraId="7C3F2333" w14:textId="77777777" w:rsidR="00190F2E" w:rsidRPr="00077E38" w:rsidRDefault="00190F2E" w:rsidP="00531316">
            <w:pPr>
              <w:spacing w:line="240" w:lineRule="auto"/>
              <w:rPr>
                <w:sz w:val="18"/>
                <w:szCs w:val="18"/>
              </w:rPr>
            </w:pPr>
          </w:p>
        </w:tc>
        <w:tc>
          <w:tcPr>
            <w:tcW w:w="2410" w:type="dxa"/>
            <w:tcBorders>
              <w:top w:val="nil"/>
              <w:bottom w:val="nil"/>
            </w:tcBorders>
            <w:vAlign w:val="center"/>
          </w:tcPr>
          <w:p w14:paraId="1D3643C1" w14:textId="77777777" w:rsidR="00190F2E" w:rsidRPr="00077E38" w:rsidRDefault="00190F2E" w:rsidP="00531316">
            <w:pPr>
              <w:spacing w:line="240" w:lineRule="auto"/>
              <w:rPr>
                <w:sz w:val="18"/>
                <w:szCs w:val="18"/>
              </w:rPr>
            </w:pPr>
          </w:p>
        </w:tc>
        <w:tc>
          <w:tcPr>
            <w:tcW w:w="2460" w:type="dxa"/>
            <w:tcBorders>
              <w:top w:val="nil"/>
              <w:bottom w:val="nil"/>
            </w:tcBorders>
            <w:vAlign w:val="center"/>
          </w:tcPr>
          <w:p w14:paraId="45D21011" w14:textId="77777777" w:rsidR="00190F2E" w:rsidRPr="00077E38" w:rsidRDefault="00190F2E" w:rsidP="00531316">
            <w:pPr>
              <w:spacing w:line="240" w:lineRule="auto"/>
              <w:rPr>
                <w:sz w:val="18"/>
                <w:szCs w:val="18"/>
              </w:rPr>
            </w:pPr>
            <w:r w:rsidRPr="00077E38">
              <w:rPr>
                <w:sz w:val="18"/>
                <w:szCs w:val="18"/>
              </w:rPr>
              <w:t>postprandial</w:t>
            </w:r>
          </w:p>
        </w:tc>
        <w:tc>
          <w:tcPr>
            <w:tcW w:w="1421" w:type="dxa"/>
            <w:tcBorders>
              <w:top w:val="nil"/>
              <w:bottom w:val="nil"/>
              <w:right w:val="single" w:sz="8" w:space="0" w:color="auto"/>
            </w:tcBorders>
            <w:vAlign w:val="center"/>
          </w:tcPr>
          <w:p w14:paraId="26BF248F" w14:textId="77777777" w:rsidR="00190F2E" w:rsidRPr="00077E38" w:rsidRDefault="00190F2E" w:rsidP="00531316">
            <w:pPr>
              <w:spacing w:line="240" w:lineRule="auto"/>
              <w:rPr>
                <w:sz w:val="18"/>
                <w:szCs w:val="18"/>
              </w:rPr>
            </w:pPr>
            <w:r w:rsidRPr="00077E38">
              <w:rPr>
                <w:sz w:val="18"/>
                <w:szCs w:val="18"/>
              </w:rPr>
              <w:t>5,2 – 6,2</w:t>
            </w:r>
          </w:p>
        </w:tc>
      </w:tr>
      <w:tr w:rsidR="00190F2E" w14:paraId="78DA1489" w14:textId="77777777" w:rsidTr="00DA5F05">
        <w:trPr>
          <w:trHeight w:val="340"/>
          <w:jc w:val="center"/>
        </w:trPr>
        <w:tc>
          <w:tcPr>
            <w:tcW w:w="2039" w:type="dxa"/>
            <w:tcBorders>
              <w:top w:val="nil"/>
              <w:left w:val="single" w:sz="8" w:space="0" w:color="auto"/>
              <w:bottom w:val="nil"/>
            </w:tcBorders>
            <w:vAlign w:val="center"/>
          </w:tcPr>
          <w:p w14:paraId="6FBC897D" w14:textId="77777777" w:rsidR="00190F2E" w:rsidRPr="00077E38" w:rsidRDefault="00190F2E" w:rsidP="00531316">
            <w:pPr>
              <w:spacing w:line="240" w:lineRule="auto"/>
              <w:rPr>
                <w:sz w:val="18"/>
                <w:szCs w:val="18"/>
              </w:rPr>
            </w:pPr>
          </w:p>
        </w:tc>
        <w:tc>
          <w:tcPr>
            <w:tcW w:w="2410" w:type="dxa"/>
            <w:tcBorders>
              <w:top w:val="nil"/>
              <w:bottom w:val="nil"/>
            </w:tcBorders>
            <w:vAlign w:val="center"/>
          </w:tcPr>
          <w:p w14:paraId="2EF36A6F" w14:textId="77777777" w:rsidR="00190F2E" w:rsidRPr="00077E38" w:rsidRDefault="00190F2E" w:rsidP="00531316">
            <w:pPr>
              <w:spacing w:line="240" w:lineRule="auto"/>
              <w:rPr>
                <w:sz w:val="18"/>
                <w:szCs w:val="18"/>
              </w:rPr>
            </w:pPr>
            <w:r w:rsidRPr="00077E38">
              <w:rPr>
                <w:sz w:val="18"/>
                <w:szCs w:val="18"/>
              </w:rPr>
              <w:t>Ileum</w:t>
            </w:r>
          </w:p>
        </w:tc>
        <w:tc>
          <w:tcPr>
            <w:tcW w:w="2460" w:type="dxa"/>
            <w:tcBorders>
              <w:top w:val="nil"/>
              <w:bottom w:val="nil"/>
            </w:tcBorders>
            <w:vAlign w:val="center"/>
          </w:tcPr>
          <w:p w14:paraId="4B46FF10" w14:textId="77777777" w:rsidR="00190F2E" w:rsidRPr="00077E38" w:rsidRDefault="00190F2E" w:rsidP="00531316">
            <w:pPr>
              <w:spacing w:line="240" w:lineRule="auto"/>
              <w:rPr>
                <w:sz w:val="18"/>
                <w:szCs w:val="18"/>
              </w:rPr>
            </w:pPr>
            <w:r w:rsidRPr="00077E38">
              <w:rPr>
                <w:sz w:val="18"/>
                <w:szCs w:val="18"/>
              </w:rPr>
              <w:t>präprandial</w:t>
            </w:r>
          </w:p>
        </w:tc>
        <w:tc>
          <w:tcPr>
            <w:tcW w:w="1421" w:type="dxa"/>
            <w:tcBorders>
              <w:top w:val="nil"/>
              <w:bottom w:val="nil"/>
              <w:right w:val="single" w:sz="8" w:space="0" w:color="auto"/>
            </w:tcBorders>
            <w:vAlign w:val="center"/>
          </w:tcPr>
          <w:p w14:paraId="7DB3E160" w14:textId="77777777" w:rsidR="00190F2E" w:rsidRPr="00077E38" w:rsidRDefault="00190F2E" w:rsidP="00531316">
            <w:pPr>
              <w:spacing w:line="240" w:lineRule="auto"/>
              <w:rPr>
                <w:sz w:val="18"/>
                <w:szCs w:val="18"/>
              </w:rPr>
            </w:pPr>
            <w:r w:rsidRPr="00077E38">
              <w:rPr>
                <w:sz w:val="18"/>
                <w:szCs w:val="18"/>
              </w:rPr>
              <w:t>6,5 – 7,4</w:t>
            </w:r>
          </w:p>
        </w:tc>
      </w:tr>
      <w:tr w:rsidR="00190F2E" w14:paraId="4CDB3F93" w14:textId="77777777" w:rsidTr="00DA5F05">
        <w:trPr>
          <w:trHeight w:val="340"/>
          <w:jc w:val="center"/>
        </w:trPr>
        <w:tc>
          <w:tcPr>
            <w:tcW w:w="2039" w:type="dxa"/>
            <w:tcBorders>
              <w:top w:val="nil"/>
              <w:left w:val="single" w:sz="8" w:space="0" w:color="auto"/>
              <w:bottom w:val="single" w:sz="4" w:space="0" w:color="auto"/>
            </w:tcBorders>
            <w:vAlign w:val="center"/>
          </w:tcPr>
          <w:p w14:paraId="6152C4ED" w14:textId="77777777" w:rsidR="00190F2E" w:rsidRPr="00077E38" w:rsidRDefault="00190F2E" w:rsidP="00531316">
            <w:pPr>
              <w:spacing w:line="240" w:lineRule="auto"/>
              <w:rPr>
                <w:sz w:val="18"/>
                <w:szCs w:val="18"/>
              </w:rPr>
            </w:pPr>
          </w:p>
        </w:tc>
        <w:tc>
          <w:tcPr>
            <w:tcW w:w="2410" w:type="dxa"/>
            <w:tcBorders>
              <w:top w:val="nil"/>
              <w:bottom w:val="single" w:sz="4" w:space="0" w:color="auto"/>
            </w:tcBorders>
            <w:vAlign w:val="center"/>
          </w:tcPr>
          <w:p w14:paraId="3F59AD5C" w14:textId="77777777" w:rsidR="00190F2E" w:rsidRPr="00077E38" w:rsidRDefault="00190F2E" w:rsidP="00531316">
            <w:pPr>
              <w:spacing w:line="240" w:lineRule="auto"/>
              <w:rPr>
                <w:sz w:val="18"/>
                <w:szCs w:val="18"/>
              </w:rPr>
            </w:pPr>
          </w:p>
        </w:tc>
        <w:tc>
          <w:tcPr>
            <w:tcW w:w="2460" w:type="dxa"/>
            <w:tcBorders>
              <w:top w:val="nil"/>
              <w:bottom w:val="single" w:sz="4" w:space="0" w:color="auto"/>
            </w:tcBorders>
            <w:vAlign w:val="center"/>
          </w:tcPr>
          <w:p w14:paraId="6E5C8686" w14:textId="77777777" w:rsidR="00190F2E" w:rsidRPr="00077E38" w:rsidRDefault="00190F2E" w:rsidP="00531316">
            <w:pPr>
              <w:spacing w:line="240" w:lineRule="auto"/>
              <w:rPr>
                <w:sz w:val="18"/>
                <w:szCs w:val="18"/>
              </w:rPr>
            </w:pPr>
            <w:r w:rsidRPr="00077E38">
              <w:rPr>
                <w:sz w:val="18"/>
                <w:szCs w:val="18"/>
              </w:rPr>
              <w:t>postprandial</w:t>
            </w:r>
          </w:p>
        </w:tc>
        <w:tc>
          <w:tcPr>
            <w:tcW w:w="1421" w:type="dxa"/>
            <w:tcBorders>
              <w:top w:val="nil"/>
              <w:bottom w:val="single" w:sz="4" w:space="0" w:color="auto"/>
              <w:right w:val="single" w:sz="8" w:space="0" w:color="auto"/>
            </w:tcBorders>
            <w:vAlign w:val="center"/>
          </w:tcPr>
          <w:p w14:paraId="6EA1B64B" w14:textId="77777777" w:rsidR="00190F2E" w:rsidRPr="00077E38" w:rsidRDefault="00190F2E" w:rsidP="00531316">
            <w:pPr>
              <w:spacing w:line="240" w:lineRule="auto"/>
              <w:rPr>
                <w:sz w:val="18"/>
                <w:szCs w:val="18"/>
              </w:rPr>
            </w:pPr>
            <w:r w:rsidRPr="00077E38">
              <w:rPr>
                <w:sz w:val="18"/>
                <w:szCs w:val="18"/>
              </w:rPr>
              <w:t>6,8 – 7,5</w:t>
            </w:r>
          </w:p>
        </w:tc>
      </w:tr>
      <w:tr w:rsidR="00190F2E" w14:paraId="48C9B0A4" w14:textId="77777777" w:rsidTr="00DA5F05">
        <w:trPr>
          <w:trHeight w:val="340"/>
          <w:jc w:val="center"/>
        </w:trPr>
        <w:tc>
          <w:tcPr>
            <w:tcW w:w="2039" w:type="dxa"/>
            <w:tcBorders>
              <w:left w:val="single" w:sz="8" w:space="0" w:color="auto"/>
              <w:bottom w:val="nil"/>
            </w:tcBorders>
            <w:vAlign w:val="center"/>
          </w:tcPr>
          <w:p w14:paraId="1222CCA3" w14:textId="77777777" w:rsidR="00190F2E" w:rsidRPr="00077E38" w:rsidRDefault="00190F2E" w:rsidP="00531316">
            <w:pPr>
              <w:spacing w:line="240" w:lineRule="auto"/>
              <w:rPr>
                <w:sz w:val="18"/>
                <w:szCs w:val="18"/>
              </w:rPr>
            </w:pPr>
            <w:r w:rsidRPr="00077E38">
              <w:rPr>
                <w:sz w:val="18"/>
                <w:szCs w:val="18"/>
              </w:rPr>
              <w:t>Dickdarm</w:t>
            </w:r>
          </w:p>
        </w:tc>
        <w:tc>
          <w:tcPr>
            <w:tcW w:w="2410" w:type="dxa"/>
            <w:tcBorders>
              <w:bottom w:val="nil"/>
            </w:tcBorders>
            <w:vAlign w:val="center"/>
          </w:tcPr>
          <w:p w14:paraId="5C1141B6" w14:textId="77777777" w:rsidR="00190F2E" w:rsidRPr="00077E38" w:rsidRDefault="00190F2E" w:rsidP="00531316">
            <w:pPr>
              <w:spacing w:line="240" w:lineRule="auto"/>
              <w:rPr>
                <w:sz w:val="18"/>
                <w:szCs w:val="18"/>
              </w:rPr>
            </w:pPr>
            <w:r w:rsidRPr="00077E38">
              <w:rPr>
                <w:sz w:val="18"/>
                <w:szCs w:val="18"/>
              </w:rPr>
              <w:t>Caecum</w:t>
            </w:r>
          </w:p>
        </w:tc>
        <w:tc>
          <w:tcPr>
            <w:tcW w:w="2460" w:type="dxa"/>
            <w:tcBorders>
              <w:bottom w:val="nil"/>
            </w:tcBorders>
            <w:vAlign w:val="center"/>
          </w:tcPr>
          <w:p w14:paraId="1D12BB4F" w14:textId="77777777" w:rsidR="00190F2E" w:rsidRPr="00077E38" w:rsidRDefault="00190F2E" w:rsidP="00531316">
            <w:pPr>
              <w:spacing w:line="240" w:lineRule="auto"/>
              <w:rPr>
                <w:sz w:val="18"/>
                <w:szCs w:val="18"/>
              </w:rPr>
            </w:pPr>
          </w:p>
        </w:tc>
        <w:tc>
          <w:tcPr>
            <w:tcW w:w="1421" w:type="dxa"/>
            <w:tcBorders>
              <w:bottom w:val="nil"/>
              <w:right w:val="single" w:sz="8" w:space="0" w:color="auto"/>
            </w:tcBorders>
            <w:vAlign w:val="center"/>
          </w:tcPr>
          <w:p w14:paraId="72A89785" w14:textId="77777777" w:rsidR="00190F2E" w:rsidRPr="00077E38" w:rsidRDefault="00190F2E" w:rsidP="00531316">
            <w:pPr>
              <w:spacing w:line="240" w:lineRule="auto"/>
              <w:rPr>
                <w:sz w:val="18"/>
                <w:szCs w:val="18"/>
              </w:rPr>
            </w:pPr>
            <w:r w:rsidRPr="00077E38">
              <w:rPr>
                <w:sz w:val="18"/>
                <w:szCs w:val="18"/>
              </w:rPr>
              <w:t>6,4</w:t>
            </w:r>
          </w:p>
        </w:tc>
      </w:tr>
      <w:tr w:rsidR="00190F2E" w14:paraId="2C1E1759" w14:textId="77777777" w:rsidTr="00DA5F05">
        <w:trPr>
          <w:trHeight w:val="340"/>
          <w:jc w:val="center"/>
        </w:trPr>
        <w:tc>
          <w:tcPr>
            <w:tcW w:w="2039" w:type="dxa"/>
            <w:tcBorders>
              <w:top w:val="nil"/>
              <w:left w:val="single" w:sz="8" w:space="0" w:color="auto"/>
              <w:bottom w:val="nil"/>
            </w:tcBorders>
            <w:vAlign w:val="center"/>
          </w:tcPr>
          <w:p w14:paraId="7C8A6FFF" w14:textId="77777777" w:rsidR="00190F2E" w:rsidRPr="00077E38" w:rsidRDefault="00190F2E" w:rsidP="00531316">
            <w:pPr>
              <w:spacing w:line="240" w:lineRule="auto"/>
              <w:rPr>
                <w:sz w:val="18"/>
                <w:szCs w:val="18"/>
              </w:rPr>
            </w:pPr>
          </w:p>
        </w:tc>
        <w:tc>
          <w:tcPr>
            <w:tcW w:w="2410" w:type="dxa"/>
            <w:tcBorders>
              <w:top w:val="nil"/>
              <w:bottom w:val="nil"/>
            </w:tcBorders>
            <w:vAlign w:val="center"/>
          </w:tcPr>
          <w:p w14:paraId="65F78378" w14:textId="77777777" w:rsidR="00190F2E" w:rsidRPr="00077E38" w:rsidRDefault="000D3F0B" w:rsidP="00531316">
            <w:pPr>
              <w:spacing w:line="240" w:lineRule="auto"/>
              <w:rPr>
                <w:sz w:val="18"/>
                <w:szCs w:val="18"/>
              </w:rPr>
            </w:pPr>
            <w:r w:rsidRPr="00077E38">
              <w:rPr>
                <w:sz w:val="18"/>
                <w:szCs w:val="18"/>
              </w:rPr>
              <w:t>Colon (oberer Abschnitt</w:t>
            </w:r>
            <w:r w:rsidR="00190F2E" w:rsidRPr="00077E38">
              <w:rPr>
                <w:sz w:val="18"/>
                <w:szCs w:val="18"/>
              </w:rPr>
              <w:t>)</w:t>
            </w:r>
          </w:p>
        </w:tc>
        <w:tc>
          <w:tcPr>
            <w:tcW w:w="2460" w:type="dxa"/>
            <w:tcBorders>
              <w:top w:val="nil"/>
              <w:bottom w:val="nil"/>
            </w:tcBorders>
            <w:vAlign w:val="center"/>
          </w:tcPr>
          <w:p w14:paraId="637B79EB" w14:textId="77777777" w:rsidR="00190F2E" w:rsidRPr="00077E38" w:rsidRDefault="00190F2E" w:rsidP="00531316">
            <w:pPr>
              <w:spacing w:line="240" w:lineRule="auto"/>
              <w:rPr>
                <w:sz w:val="18"/>
                <w:szCs w:val="18"/>
              </w:rPr>
            </w:pPr>
          </w:p>
        </w:tc>
        <w:tc>
          <w:tcPr>
            <w:tcW w:w="1421" w:type="dxa"/>
            <w:tcBorders>
              <w:top w:val="nil"/>
              <w:bottom w:val="nil"/>
              <w:right w:val="single" w:sz="8" w:space="0" w:color="auto"/>
            </w:tcBorders>
            <w:vAlign w:val="center"/>
          </w:tcPr>
          <w:p w14:paraId="130118B8" w14:textId="77777777" w:rsidR="00190F2E" w:rsidRPr="00077E38" w:rsidRDefault="000D3F0B" w:rsidP="00531316">
            <w:pPr>
              <w:spacing w:line="240" w:lineRule="auto"/>
              <w:rPr>
                <w:sz w:val="18"/>
                <w:szCs w:val="18"/>
              </w:rPr>
            </w:pPr>
            <w:r w:rsidRPr="00077E38">
              <w:rPr>
                <w:sz w:val="18"/>
                <w:szCs w:val="18"/>
              </w:rPr>
              <w:t>6,0</w:t>
            </w:r>
          </w:p>
        </w:tc>
      </w:tr>
      <w:tr w:rsidR="000D3F0B" w14:paraId="5F0BE9AB" w14:textId="77777777" w:rsidTr="00DA5F05">
        <w:trPr>
          <w:trHeight w:val="340"/>
          <w:jc w:val="center"/>
        </w:trPr>
        <w:tc>
          <w:tcPr>
            <w:tcW w:w="2039" w:type="dxa"/>
            <w:tcBorders>
              <w:top w:val="nil"/>
              <w:left w:val="single" w:sz="8" w:space="0" w:color="auto"/>
              <w:bottom w:val="nil"/>
            </w:tcBorders>
            <w:vAlign w:val="center"/>
          </w:tcPr>
          <w:p w14:paraId="19727645" w14:textId="77777777" w:rsidR="000D3F0B" w:rsidRPr="00077E38" w:rsidRDefault="000D3F0B" w:rsidP="00531316">
            <w:pPr>
              <w:spacing w:line="240" w:lineRule="auto"/>
              <w:rPr>
                <w:sz w:val="18"/>
                <w:szCs w:val="18"/>
              </w:rPr>
            </w:pPr>
          </w:p>
        </w:tc>
        <w:tc>
          <w:tcPr>
            <w:tcW w:w="2410" w:type="dxa"/>
            <w:tcBorders>
              <w:top w:val="nil"/>
              <w:bottom w:val="nil"/>
            </w:tcBorders>
            <w:vAlign w:val="center"/>
          </w:tcPr>
          <w:p w14:paraId="572FECBD" w14:textId="77777777" w:rsidR="000D3F0B" w:rsidRPr="00077E38" w:rsidRDefault="000D3F0B" w:rsidP="00531316">
            <w:pPr>
              <w:spacing w:line="240" w:lineRule="auto"/>
              <w:rPr>
                <w:sz w:val="18"/>
                <w:szCs w:val="18"/>
              </w:rPr>
            </w:pPr>
            <w:r w:rsidRPr="00077E38">
              <w:rPr>
                <w:sz w:val="18"/>
                <w:szCs w:val="18"/>
              </w:rPr>
              <w:t>Colon (unterer Abschnitt)</w:t>
            </w:r>
          </w:p>
        </w:tc>
        <w:tc>
          <w:tcPr>
            <w:tcW w:w="2460" w:type="dxa"/>
            <w:tcBorders>
              <w:top w:val="nil"/>
              <w:bottom w:val="nil"/>
            </w:tcBorders>
            <w:vAlign w:val="center"/>
          </w:tcPr>
          <w:p w14:paraId="6499E6EC" w14:textId="77777777" w:rsidR="000D3F0B" w:rsidRPr="00077E38" w:rsidRDefault="000D3F0B" w:rsidP="00531316">
            <w:pPr>
              <w:spacing w:line="240" w:lineRule="auto"/>
              <w:rPr>
                <w:sz w:val="18"/>
                <w:szCs w:val="18"/>
              </w:rPr>
            </w:pPr>
          </w:p>
        </w:tc>
        <w:tc>
          <w:tcPr>
            <w:tcW w:w="1421" w:type="dxa"/>
            <w:tcBorders>
              <w:top w:val="nil"/>
              <w:bottom w:val="nil"/>
              <w:right w:val="single" w:sz="8" w:space="0" w:color="auto"/>
            </w:tcBorders>
            <w:vAlign w:val="center"/>
          </w:tcPr>
          <w:p w14:paraId="7F3CEAE2" w14:textId="77777777" w:rsidR="000D3F0B" w:rsidRPr="00077E38" w:rsidRDefault="000D3F0B" w:rsidP="00531316">
            <w:pPr>
              <w:spacing w:line="240" w:lineRule="auto"/>
              <w:rPr>
                <w:sz w:val="18"/>
                <w:szCs w:val="18"/>
              </w:rPr>
            </w:pPr>
            <w:r w:rsidRPr="00077E38">
              <w:rPr>
                <w:sz w:val="18"/>
                <w:szCs w:val="18"/>
              </w:rPr>
              <w:t>7,5</w:t>
            </w:r>
          </w:p>
        </w:tc>
      </w:tr>
      <w:tr w:rsidR="000D3F0B" w14:paraId="31097064" w14:textId="77777777" w:rsidTr="00DA5F05">
        <w:trPr>
          <w:trHeight w:val="340"/>
          <w:jc w:val="center"/>
        </w:trPr>
        <w:tc>
          <w:tcPr>
            <w:tcW w:w="2039" w:type="dxa"/>
            <w:tcBorders>
              <w:top w:val="nil"/>
              <w:left w:val="single" w:sz="8" w:space="0" w:color="auto"/>
              <w:bottom w:val="single" w:sz="8" w:space="0" w:color="auto"/>
            </w:tcBorders>
            <w:vAlign w:val="center"/>
          </w:tcPr>
          <w:p w14:paraId="671031D7" w14:textId="77777777" w:rsidR="000D3F0B" w:rsidRPr="00077E38" w:rsidRDefault="000D3F0B" w:rsidP="00531316">
            <w:pPr>
              <w:spacing w:line="240" w:lineRule="auto"/>
              <w:rPr>
                <w:sz w:val="18"/>
                <w:szCs w:val="18"/>
              </w:rPr>
            </w:pPr>
          </w:p>
        </w:tc>
        <w:tc>
          <w:tcPr>
            <w:tcW w:w="2410" w:type="dxa"/>
            <w:tcBorders>
              <w:top w:val="nil"/>
              <w:bottom w:val="single" w:sz="8" w:space="0" w:color="auto"/>
            </w:tcBorders>
            <w:vAlign w:val="center"/>
          </w:tcPr>
          <w:p w14:paraId="7354F472" w14:textId="77777777" w:rsidR="000D3F0B" w:rsidRPr="00077E38" w:rsidRDefault="000D3F0B" w:rsidP="00531316">
            <w:pPr>
              <w:spacing w:line="240" w:lineRule="auto"/>
              <w:rPr>
                <w:sz w:val="18"/>
                <w:szCs w:val="18"/>
              </w:rPr>
            </w:pPr>
            <w:r w:rsidRPr="00077E38">
              <w:rPr>
                <w:sz w:val="18"/>
                <w:szCs w:val="18"/>
              </w:rPr>
              <w:t>Rektum</w:t>
            </w:r>
          </w:p>
        </w:tc>
        <w:tc>
          <w:tcPr>
            <w:tcW w:w="2460" w:type="dxa"/>
            <w:tcBorders>
              <w:top w:val="nil"/>
              <w:bottom w:val="single" w:sz="8" w:space="0" w:color="auto"/>
            </w:tcBorders>
            <w:vAlign w:val="center"/>
          </w:tcPr>
          <w:p w14:paraId="1D32B679" w14:textId="77777777" w:rsidR="000D3F0B" w:rsidRPr="00077E38" w:rsidRDefault="000D3F0B" w:rsidP="00531316">
            <w:pPr>
              <w:spacing w:line="240" w:lineRule="auto"/>
              <w:rPr>
                <w:sz w:val="18"/>
                <w:szCs w:val="18"/>
              </w:rPr>
            </w:pPr>
          </w:p>
        </w:tc>
        <w:tc>
          <w:tcPr>
            <w:tcW w:w="1421" w:type="dxa"/>
            <w:tcBorders>
              <w:top w:val="nil"/>
              <w:bottom w:val="single" w:sz="8" w:space="0" w:color="auto"/>
              <w:right w:val="single" w:sz="8" w:space="0" w:color="auto"/>
            </w:tcBorders>
            <w:vAlign w:val="center"/>
          </w:tcPr>
          <w:p w14:paraId="3D8EF994" w14:textId="77777777" w:rsidR="000D3F0B" w:rsidRPr="00077E38" w:rsidRDefault="000D3F0B" w:rsidP="00531316">
            <w:pPr>
              <w:spacing w:line="240" w:lineRule="auto"/>
              <w:rPr>
                <w:sz w:val="18"/>
                <w:szCs w:val="18"/>
              </w:rPr>
            </w:pPr>
            <w:r w:rsidRPr="00077E38">
              <w:rPr>
                <w:sz w:val="18"/>
                <w:szCs w:val="18"/>
              </w:rPr>
              <w:sym w:font="Symbol" w:char="F0BB"/>
            </w:r>
            <w:r w:rsidRPr="00077E38">
              <w:rPr>
                <w:sz w:val="18"/>
                <w:szCs w:val="18"/>
              </w:rPr>
              <w:t xml:space="preserve"> 7</w:t>
            </w:r>
          </w:p>
        </w:tc>
      </w:tr>
    </w:tbl>
    <w:p w14:paraId="52298D0F" w14:textId="77777777" w:rsidR="000D3F0B" w:rsidRPr="00047513" w:rsidRDefault="000D3F0B" w:rsidP="00047513"/>
    <w:p w14:paraId="1F156566" w14:textId="77777777" w:rsidR="00391870" w:rsidRDefault="00C85A5C" w:rsidP="00584A0D">
      <w:pPr>
        <w:pStyle w:val="berschrift3"/>
      </w:pPr>
      <w:bookmarkStart w:id="12" w:name="_Ref276583959"/>
      <w:bookmarkStart w:id="13" w:name="_Toc294380151"/>
      <w:r>
        <w:t>Barrieren der intestinalen Stoffaufnahme</w:t>
      </w:r>
      <w:bookmarkEnd w:id="12"/>
      <w:bookmarkEnd w:id="13"/>
    </w:p>
    <w:p w14:paraId="12DFB194" w14:textId="77777777" w:rsidR="0094583B" w:rsidRDefault="005640D8" w:rsidP="0094583B">
      <w:r>
        <w:t>Aus der in Abschnitt</w:t>
      </w:r>
      <w:r w:rsidR="005D6747">
        <w:t xml:space="preserve"> </w:t>
      </w:r>
      <w:r w:rsidR="00D16240">
        <w:fldChar w:fldCharType="begin"/>
      </w:r>
      <w:r w:rsidR="005D6747">
        <w:instrText xml:space="preserve"> REF _Ref269745039 \r \h </w:instrText>
      </w:r>
      <w:r w:rsidR="00D16240">
        <w:fldChar w:fldCharType="separate"/>
      </w:r>
      <w:r w:rsidR="00711AB8">
        <w:t>1.3.1</w:t>
      </w:r>
      <w:r w:rsidR="00D16240">
        <w:fldChar w:fldCharType="end"/>
      </w:r>
      <w:r w:rsidR="005D6747">
        <w:t xml:space="preserve"> beschriebenen Anatomie des Verdauungstraktes </w:t>
      </w:r>
      <w:r w:rsidR="00E71EC8">
        <w:t>ergeben sich neben</w:t>
      </w:r>
      <w:r w:rsidR="005D6747">
        <w:t xml:space="preserve"> </w:t>
      </w:r>
      <w:r>
        <w:t>hervorragende</w:t>
      </w:r>
      <w:r w:rsidR="00E71EC8">
        <w:t>n</w:t>
      </w:r>
      <w:r>
        <w:t xml:space="preserve"> </w:t>
      </w:r>
      <w:r w:rsidR="005D6747">
        <w:t>Aufnahmemöglichkeiten für perora</w:t>
      </w:r>
      <w:r w:rsidR="00E71EC8">
        <w:t>l applizierte Arzneistoffe</w:t>
      </w:r>
      <w:r>
        <w:t xml:space="preserve"> auch einige</w:t>
      </w:r>
      <w:r w:rsidR="00E71EC8">
        <w:t xml:space="preserve"> Hindernisse</w:t>
      </w:r>
      <w:r w:rsidR="002A27BB">
        <w:t>, die von den Substanzen zunächst zu überwinden sind</w:t>
      </w:r>
      <w:r w:rsidR="005D6747">
        <w:t>.</w:t>
      </w:r>
      <w:r>
        <w:t xml:space="preserve"> </w:t>
      </w:r>
      <w:r w:rsidR="00821CD6">
        <w:t>Im folgenden Abs</w:t>
      </w:r>
      <w:r w:rsidR="00E71EC8">
        <w:t>chnitt werden</w:t>
      </w:r>
      <w:r w:rsidR="00CC4E4F">
        <w:t xml:space="preserve"> diese Barrieren vor allem spezifisch für P</w:t>
      </w:r>
      <w:r w:rsidR="002B3D11">
        <w:t>eptid- und Proteina</w:t>
      </w:r>
      <w:r w:rsidR="00E71EC8">
        <w:t>rzneistoffe genauer beschrieben</w:t>
      </w:r>
      <w:r w:rsidR="00CC4E4F">
        <w:t>.</w:t>
      </w:r>
      <w:r w:rsidR="0082138A">
        <w:t xml:space="preserve"> </w:t>
      </w:r>
      <w:r w:rsidR="00F0284E">
        <w:t xml:space="preserve">Dabei ist stets zu bedenken, dass der Verdauungstrakt geradezu darauf spezialisiert ist, Peptide im Zuge der Verdauung zu zersetzen. </w:t>
      </w:r>
      <w:r w:rsidR="0082138A">
        <w:t>Peroral applizierte pharmazeutische Proteine</w:t>
      </w:r>
      <w:r w:rsidR="003E32A5">
        <w:t xml:space="preserve"> erwartet</w:t>
      </w:r>
      <w:r w:rsidR="0082138A">
        <w:t xml:space="preserve"> im Verdauungstrakt das gleiche Schicksal wie mit der Nahrung aufgenommene Eiweiße.</w:t>
      </w:r>
      <w:r w:rsidR="00F0284E">
        <w:t xml:space="preserve"> Prozesse, die im Folgenden eher vor</w:t>
      </w:r>
      <w:r w:rsidR="003E32A5">
        <w:t xml:space="preserve"> dem Hintergrund der Verdauung von Nahrungseiweißen beschrieben werden</w:t>
      </w:r>
      <w:r w:rsidR="00F0284E">
        <w:t>, gelten daher selbstverständlich in gleicher Weise</w:t>
      </w:r>
      <w:r w:rsidR="003E32A5">
        <w:t xml:space="preserve"> für </w:t>
      </w:r>
      <w:r w:rsidR="00F0284E">
        <w:t>Proteinarzneistoffe.</w:t>
      </w:r>
    </w:p>
    <w:p w14:paraId="2AAC4519" w14:textId="77777777" w:rsidR="00CC4E4F" w:rsidRDefault="00E71EC8" w:rsidP="0094583B">
      <w:r>
        <w:t>Um beurteilen zu können, welchen Einflüssen</w:t>
      </w:r>
      <w:r w:rsidR="00F06720">
        <w:t xml:space="preserve"> ei</w:t>
      </w:r>
      <w:r w:rsidR="00E03127">
        <w:t>n Arzneistoff nach peroraler Gabe</w:t>
      </w:r>
      <w:r>
        <w:t xml:space="preserve"> ausgesetzt ist, muss</w:t>
      </w:r>
      <w:r w:rsidR="00F06720">
        <w:t xml:space="preserve"> </w:t>
      </w:r>
      <w:r w:rsidR="00437C76">
        <w:t xml:space="preserve">zunächst </w:t>
      </w:r>
      <w:r w:rsidR="00F06720">
        <w:t xml:space="preserve">ein Augenmerk auf den Weg des Arzneimittels durch den </w:t>
      </w:r>
      <w:r>
        <w:t>Verdauungstrakt unter Berücksichtigung des Milieus und der</w:t>
      </w:r>
      <w:r w:rsidR="00E03127">
        <w:t xml:space="preserve"> Verweilzeit in den jeweil</w:t>
      </w:r>
      <w:r w:rsidR="00F35589">
        <w:t>igen Abschnitten gelegt werden.</w:t>
      </w:r>
    </w:p>
    <w:p w14:paraId="2DE38AC1" w14:textId="77777777" w:rsidR="00E03127" w:rsidRDefault="00F97E18" w:rsidP="00E9513D">
      <w:r>
        <w:t>10 ml Flüssigkeit</w:t>
      </w:r>
      <w:r w:rsidR="00E03127">
        <w:t xml:space="preserve"> passieren die Speiseröhre</w:t>
      </w:r>
      <w:r w:rsidR="00460FB3">
        <w:t xml:space="preserve"> eines gesunden e</w:t>
      </w:r>
      <w:r>
        <w:t>rwachsenen</w:t>
      </w:r>
      <w:r w:rsidR="00437C76">
        <w:t xml:space="preserve"> Menschen</w:t>
      </w:r>
      <w:r>
        <w:t xml:space="preserve"> in sitzender Position innerhalb von ca. 20 s. In stehender Position ist der Zeitraum kürzer. Eine feste Arzneiform benötigt dafür maximal 2 min. Die anschließen</w:t>
      </w:r>
      <w:r w:rsidR="00F35589">
        <w:t>de Verweilzeit des Arzneistoffes</w:t>
      </w:r>
      <w:r>
        <w:t xml:space="preserve"> im Magen ist sehr unterschiedlich und hängt vo</w:t>
      </w:r>
      <w:r w:rsidR="00F35589">
        <w:t xml:space="preserve">n vielzähligen Faktoren wie beispielsweise der Arzneiform oder einer </w:t>
      </w:r>
      <w:r w:rsidR="00DD19EF">
        <w:t xml:space="preserve">zuvor </w:t>
      </w:r>
      <w:r w:rsidR="002A27BB">
        <w:t xml:space="preserve">oder gleichzeitig </w:t>
      </w:r>
      <w:r w:rsidR="00F35589">
        <w:t>eingenomm</w:t>
      </w:r>
      <w:r w:rsidR="00CA54AA">
        <w:t xml:space="preserve">enen Mahlzeit ab. In den 1980er </w:t>
      </w:r>
      <w:r w:rsidR="00F35589">
        <w:t xml:space="preserve">Jahren wurde eine Studie zur Verweilzeit von Arzneimitteln im Magen </w:t>
      </w:r>
      <w:r w:rsidR="00F35589">
        <w:lastRenderedPageBreak/>
        <w:t>durchgeführt</w:t>
      </w:r>
      <w:bookmarkStart w:id="14" w:name="_Ref282471387"/>
      <w:r w:rsidR="0097340C">
        <w:rPr>
          <w:rStyle w:val="Endnotenzeichen"/>
        </w:rPr>
        <w:endnoteReference w:id="17"/>
      </w:r>
      <w:bookmarkEnd w:id="14"/>
      <w:r w:rsidR="00F35589">
        <w:t xml:space="preserve">. Die Ergebnisse </w:t>
      </w:r>
      <w:r w:rsidR="005544C8">
        <w:t>dieser</w:t>
      </w:r>
      <w:r w:rsidR="0055773B">
        <w:t xml:space="preserve"> Studie bezüglich</w:t>
      </w:r>
      <w:r w:rsidR="0097340C">
        <w:t xml:space="preserve"> Lösungen und Suspensionen </w:t>
      </w:r>
      <w:r w:rsidR="0055773B">
        <w:t xml:space="preserve">sind in </w:t>
      </w:r>
      <w:r w:rsidR="00D16240">
        <w:fldChar w:fldCharType="begin"/>
      </w:r>
      <w:r w:rsidR="0055773B">
        <w:instrText xml:space="preserve"> REF _Ref269755141 \h </w:instrText>
      </w:r>
      <w:r w:rsidR="00D16240">
        <w:fldChar w:fldCharType="separate"/>
      </w:r>
      <w:r w:rsidR="00711AB8" w:rsidRPr="00441473">
        <w:t xml:space="preserve">Tabelle </w:t>
      </w:r>
      <w:r w:rsidR="00711AB8">
        <w:rPr>
          <w:noProof/>
        </w:rPr>
        <w:t>3</w:t>
      </w:r>
      <w:r w:rsidR="00D16240">
        <w:fldChar w:fldCharType="end"/>
      </w:r>
      <w:r w:rsidR="00F35589">
        <w:t xml:space="preserve"> zusammengefasst.</w:t>
      </w:r>
    </w:p>
    <w:p w14:paraId="0D4ECA36" w14:textId="77777777" w:rsidR="00AA21EE" w:rsidRDefault="00AA21EE" w:rsidP="00AA21EE">
      <w:pPr>
        <w:spacing w:after="0"/>
      </w:pPr>
    </w:p>
    <w:p w14:paraId="22B020A8" w14:textId="77777777" w:rsidR="00441473" w:rsidRPr="00441473" w:rsidRDefault="00441473" w:rsidP="00B240B0">
      <w:pPr>
        <w:pStyle w:val="Beschriftung"/>
        <w:ind w:firstLine="0"/>
        <w:rPr>
          <w:b w:val="0"/>
        </w:rPr>
      </w:pPr>
      <w:bookmarkStart w:id="15" w:name="_Ref269755141"/>
      <w:r w:rsidRPr="00441473">
        <w:t xml:space="preserve">Tabelle </w:t>
      </w:r>
      <w:fldSimple w:instr=" SEQ Tabelle \* ARABIC ">
        <w:r w:rsidR="00711AB8">
          <w:rPr>
            <w:noProof/>
          </w:rPr>
          <w:t>3</w:t>
        </w:r>
      </w:fldSimple>
      <w:bookmarkEnd w:id="15"/>
      <w:r>
        <w:t xml:space="preserve"> </w:t>
      </w:r>
      <w:r>
        <w:rPr>
          <w:b w:val="0"/>
        </w:rPr>
        <w:t>Mittlere Verweilzeiten unterschiedlicher Arzneiformen in den jeweiligen Darmabschnitten</w:t>
      </w:r>
      <w:r w:rsidR="00057BAF">
        <w:fldChar w:fldCharType="begin"/>
      </w:r>
      <w:r w:rsidR="00057BAF">
        <w:instrText xml:space="preserve"> NOTEREF _Ref282471384 \f \h  \* MERGEFORMAT </w:instrText>
      </w:r>
      <w:r w:rsidR="00057BAF">
        <w:fldChar w:fldCharType="separate"/>
      </w:r>
      <w:r w:rsidR="00711AB8" w:rsidRPr="00711AB8">
        <w:rPr>
          <w:rStyle w:val="Endnotenzeichen"/>
          <w:b w:val="0"/>
        </w:rPr>
        <w:t>12</w:t>
      </w:r>
      <w:r w:rsidR="00057BAF">
        <w:fldChar w:fldCharType="end"/>
      </w:r>
      <w:r w:rsidR="007F58FE" w:rsidRPr="002243E9">
        <w:rPr>
          <w:b w:val="0"/>
          <w:vertAlign w:val="superscript"/>
        </w:rPr>
        <w:t>,</w:t>
      </w:r>
      <w:r w:rsidR="00057BAF">
        <w:fldChar w:fldCharType="begin"/>
      </w:r>
      <w:r w:rsidR="00057BAF">
        <w:instrText xml:space="preserve"> NOTEREF _Ref282471387 \f \h  \* MERGEFORMAT </w:instrText>
      </w:r>
      <w:r w:rsidR="00057BAF">
        <w:fldChar w:fldCharType="separate"/>
      </w:r>
      <w:r w:rsidR="00711AB8" w:rsidRPr="00711AB8">
        <w:rPr>
          <w:rStyle w:val="Endnotenzeichen"/>
          <w:b w:val="0"/>
        </w:rPr>
        <w:t>17</w:t>
      </w:r>
      <w:r w:rsidR="00057BAF">
        <w:fldChar w:fldCharType="end"/>
      </w:r>
      <w:r w:rsidR="007F58FE">
        <w:rPr>
          <w:b w:val="0"/>
        </w:rPr>
        <w:t xml:space="preserve">. </w:t>
      </w:r>
      <w:r w:rsidR="007F58FE" w:rsidRPr="007F58FE">
        <w:rPr>
          <w:b w:val="0"/>
        </w:rPr>
        <w:t>Die Daten für Pellets und Tabletten wurden einer Veröffentlichung von S. Klein et al. entnommen</w:t>
      </w:r>
      <w:r w:rsidR="007F58FE" w:rsidRPr="00115A6A">
        <w:rPr>
          <w:b w:val="0"/>
          <w:vertAlign w:val="superscript"/>
        </w:rPr>
        <w:endnoteReference w:id="18"/>
      </w:r>
      <w:r w:rsidR="007F58FE" w:rsidRPr="007F58FE">
        <w:rPr>
          <w:b w:val="0"/>
        </w:rPr>
        <w:t>.</w:t>
      </w:r>
    </w:p>
    <w:tbl>
      <w:tblPr>
        <w:tblStyle w:val="Tabellenraster"/>
        <w:tblW w:w="0" w:type="auto"/>
        <w:jc w:val="center"/>
        <w:tblLook w:val="04A0" w:firstRow="1" w:lastRow="0" w:firstColumn="1" w:lastColumn="0" w:noHBand="0" w:noVBand="1"/>
      </w:tblPr>
      <w:tblGrid>
        <w:gridCol w:w="1949"/>
        <w:gridCol w:w="2251"/>
        <w:gridCol w:w="2199"/>
        <w:gridCol w:w="2330"/>
      </w:tblGrid>
      <w:tr w:rsidR="001E12E7" w:rsidRPr="002812FC" w14:paraId="2793F1C2" w14:textId="77777777" w:rsidTr="002B3D11">
        <w:trPr>
          <w:trHeight w:val="567"/>
          <w:jc w:val="center"/>
        </w:trPr>
        <w:tc>
          <w:tcPr>
            <w:tcW w:w="1949" w:type="dxa"/>
            <w:tcBorders>
              <w:top w:val="single" w:sz="8" w:space="0" w:color="auto"/>
              <w:left w:val="single" w:sz="8" w:space="0" w:color="auto"/>
              <w:bottom w:val="single" w:sz="8" w:space="0" w:color="auto"/>
              <w:right w:val="single" w:sz="8" w:space="0" w:color="auto"/>
            </w:tcBorders>
            <w:shd w:val="clear" w:color="auto" w:fill="E6E6E6"/>
            <w:vAlign w:val="center"/>
          </w:tcPr>
          <w:p w14:paraId="59E198DC" w14:textId="77777777" w:rsidR="001E12E7" w:rsidRPr="002B3D11" w:rsidRDefault="001E12E7" w:rsidP="00477A22">
            <w:pPr>
              <w:spacing w:line="240" w:lineRule="auto"/>
              <w:rPr>
                <w:b/>
                <w:sz w:val="20"/>
                <w:szCs w:val="20"/>
              </w:rPr>
            </w:pPr>
            <w:r w:rsidRPr="002B3D11">
              <w:rPr>
                <w:b/>
                <w:sz w:val="20"/>
                <w:szCs w:val="20"/>
              </w:rPr>
              <w:t>Arzneiform</w:t>
            </w:r>
          </w:p>
        </w:tc>
        <w:tc>
          <w:tcPr>
            <w:tcW w:w="2251" w:type="dxa"/>
            <w:tcBorders>
              <w:top w:val="single" w:sz="8" w:space="0" w:color="auto"/>
              <w:left w:val="single" w:sz="8" w:space="0" w:color="auto"/>
              <w:bottom w:val="single" w:sz="8" w:space="0" w:color="auto"/>
              <w:right w:val="single" w:sz="8" w:space="0" w:color="auto"/>
            </w:tcBorders>
            <w:shd w:val="clear" w:color="auto" w:fill="E6E6E6"/>
            <w:vAlign w:val="center"/>
          </w:tcPr>
          <w:p w14:paraId="3EB202DE" w14:textId="77777777" w:rsidR="001E12E7" w:rsidRPr="002B3D11" w:rsidRDefault="001E12E7" w:rsidP="00477A22">
            <w:pPr>
              <w:spacing w:line="240" w:lineRule="auto"/>
              <w:rPr>
                <w:b/>
                <w:sz w:val="20"/>
                <w:szCs w:val="20"/>
              </w:rPr>
            </w:pPr>
            <w:r w:rsidRPr="002B3D11">
              <w:rPr>
                <w:b/>
                <w:sz w:val="20"/>
                <w:szCs w:val="20"/>
              </w:rPr>
              <w:t>Darmabschnitt</w:t>
            </w:r>
          </w:p>
        </w:tc>
        <w:tc>
          <w:tcPr>
            <w:tcW w:w="2199" w:type="dxa"/>
            <w:tcBorders>
              <w:top w:val="single" w:sz="8" w:space="0" w:color="auto"/>
              <w:left w:val="single" w:sz="8" w:space="0" w:color="auto"/>
              <w:bottom w:val="single" w:sz="8" w:space="0" w:color="auto"/>
              <w:right w:val="single" w:sz="8" w:space="0" w:color="auto"/>
            </w:tcBorders>
            <w:shd w:val="clear" w:color="auto" w:fill="E6E6E6"/>
            <w:vAlign w:val="center"/>
          </w:tcPr>
          <w:p w14:paraId="4E24DB69" w14:textId="77777777" w:rsidR="001E12E7" w:rsidRPr="002B3D11" w:rsidRDefault="001E12E7" w:rsidP="00477A22">
            <w:pPr>
              <w:spacing w:line="240" w:lineRule="auto"/>
              <w:rPr>
                <w:b/>
                <w:sz w:val="20"/>
                <w:szCs w:val="20"/>
              </w:rPr>
            </w:pPr>
            <w:r w:rsidRPr="002B3D11">
              <w:rPr>
                <w:b/>
                <w:sz w:val="20"/>
                <w:szCs w:val="20"/>
              </w:rPr>
              <w:t>Präprandiale mittlere Verweilzeit</w:t>
            </w:r>
          </w:p>
        </w:tc>
        <w:tc>
          <w:tcPr>
            <w:tcW w:w="2330" w:type="dxa"/>
            <w:tcBorders>
              <w:top w:val="single" w:sz="8" w:space="0" w:color="auto"/>
              <w:left w:val="single" w:sz="8" w:space="0" w:color="auto"/>
              <w:bottom w:val="single" w:sz="8" w:space="0" w:color="auto"/>
              <w:right w:val="single" w:sz="8" w:space="0" w:color="auto"/>
            </w:tcBorders>
            <w:shd w:val="clear" w:color="auto" w:fill="E6E6E6"/>
            <w:vAlign w:val="center"/>
          </w:tcPr>
          <w:p w14:paraId="77022009" w14:textId="77777777" w:rsidR="001E12E7" w:rsidRPr="002B3D11" w:rsidRDefault="001E12E7" w:rsidP="002812FC">
            <w:pPr>
              <w:spacing w:line="240" w:lineRule="auto"/>
              <w:rPr>
                <w:b/>
                <w:sz w:val="20"/>
                <w:szCs w:val="20"/>
              </w:rPr>
            </w:pPr>
            <w:r w:rsidRPr="002B3D11">
              <w:rPr>
                <w:b/>
                <w:sz w:val="20"/>
                <w:szCs w:val="20"/>
              </w:rPr>
              <w:t>Postprandiale mittlere Verweilzeit</w:t>
            </w:r>
          </w:p>
        </w:tc>
      </w:tr>
      <w:tr w:rsidR="001E12E7" w14:paraId="3134AE71" w14:textId="77777777" w:rsidTr="007E1C56">
        <w:trPr>
          <w:trHeight w:val="340"/>
          <w:jc w:val="center"/>
        </w:trPr>
        <w:tc>
          <w:tcPr>
            <w:tcW w:w="1949" w:type="dxa"/>
            <w:tcBorders>
              <w:top w:val="single" w:sz="8" w:space="0" w:color="auto"/>
              <w:left w:val="single" w:sz="8" w:space="0" w:color="auto"/>
              <w:bottom w:val="single" w:sz="4" w:space="0" w:color="auto"/>
            </w:tcBorders>
            <w:vAlign w:val="center"/>
          </w:tcPr>
          <w:p w14:paraId="71AE55F2" w14:textId="77777777" w:rsidR="001E12E7" w:rsidRPr="00077E38" w:rsidRDefault="001E12E7" w:rsidP="002812FC">
            <w:pPr>
              <w:spacing w:line="240" w:lineRule="auto"/>
              <w:rPr>
                <w:sz w:val="18"/>
                <w:szCs w:val="18"/>
              </w:rPr>
            </w:pPr>
            <w:r w:rsidRPr="00077E38">
              <w:rPr>
                <w:sz w:val="18"/>
                <w:szCs w:val="18"/>
              </w:rPr>
              <w:t>Wässrige Lösung</w:t>
            </w:r>
          </w:p>
        </w:tc>
        <w:tc>
          <w:tcPr>
            <w:tcW w:w="2251" w:type="dxa"/>
            <w:tcBorders>
              <w:top w:val="single" w:sz="8" w:space="0" w:color="auto"/>
              <w:bottom w:val="single" w:sz="4" w:space="0" w:color="auto"/>
            </w:tcBorders>
            <w:vAlign w:val="center"/>
          </w:tcPr>
          <w:p w14:paraId="48242724" w14:textId="77777777" w:rsidR="001E12E7" w:rsidRPr="00077E38" w:rsidRDefault="001E12E7" w:rsidP="002812FC">
            <w:pPr>
              <w:spacing w:line="240" w:lineRule="auto"/>
              <w:rPr>
                <w:sz w:val="18"/>
                <w:szCs w:val="18"/>
              </w:rPr>
            </w:pPr>
            <w:r w:rsidRPr="00077E38">
              <w:rPr>
                <w:sz w:val="18"/>
                <w:szCs w:val="18"/>
              </w:rPr>
              <w:t>Magen</w:t>
            </w:r>
          </w:p>
        </w:tc>
        <w:tc>
          <w:tcPr>
            <w:tcW w:w="2199" w:type="dxa"/>
            <w:tcBorders>
              <w:top w:val="single" w:sz="8" w:space="0" w:color="auto"/>
              <w:bottom w:val="single" w:sz="4" w:space="0" w:color="auto"/>
            </w:tcBorders>
            <w:vAlign w:val="center"/>
          </w:tcPr>
          <w:p w14:paraId="2DFE5E3B" w14:textId="77777777" w:rsidR="001E12E7" w:rsidRPr="00077E38" w:rsidRDefault="001E12E7" w:rsidP="002812FC">
            <w:pPr>
              <w:spacing w:line="240" w:lineRule="auto"/>
              <w:rPr>
                <w:sz w:val="18"/>
                <w:szCs w:val="18"/>
              </w:rPr>
            </w:pPr>
            <w:r w:rsidRPr="00077E38">
              <w:rPr>
                <w:sz w:val="18"/>
                <w:szCs w:val="18"/>
              </w:rPr>
              <w:t>8 min</w:t>
            </w:r>
          </w:p>
        </w:tc>
        <w:tc>
          <w:tcPr>
            <w:tcW w:w="2330" w:type="dxa"/>
            <w:tcBorders>
              <w:top w:val="single" w:sz="8" w:space="0" w:color="auto"/>
              <w:bottom w:val="single" w:sz="4" w:space="0" w:color="auto"/>
              <w:right w:val="single" w:sz="8" w:space="0" w:color="auto"/>
            </w:tcBorders>
            <w:vAlign w:val="center"/>
          </w:tcPr>
          <w:p w14:paraId="1271C239" w14:textId="77777777" w:rsidR="001E12E7" w:rsidRPr="00077E38" w:rsidRDefault="001E12E7" w:rsidP="002812FC">
            <w:pPr>
              <w:spacing w:line="240" w:lineRule="auto"/>
              <w:rPr>
                <w:sz w:val="18"/>
                <w:szCs w:val="18"/>
              </w:rPr>
            </w:pPr>
            <w:r w:rsidRPr="00077E38">
              <w:rPr>
                <w:sz w:val="18"/>
                <w:szCs w:val="18"/>
              </w:rPr>
              <w:t>40 min</w:t>
            </w:r>
          </w:p>
        </w:tc>
      </w:tr>
      <w:tr w:rsidR="001E12E7" w14:paraId="7D7102AD" w14:textId="77777777" w:rsidTr="00DA5F05">
        <w:trPr>
          <w:trHeight w:val="340"/>
          <w:jc w:val="center"/>
        </w:trPr>
        <w:tc>
          <w:tcPr>
            <w:tcW w:w="1949" w:type="dxa"/>
            <w:tcBorders>
              <w:left w:val="single" w:sz="8" w:space="0" w:color="auto"/>
              <w:bottom w:val="single" w:sz="4" w:space="0" w:color="auto"/>
            </w:tcBorders>
            <w:vAlign w:val="center"/>
          </w:tcPr>
          <w:p w14:paraId="4D15058F" w14:textId="77777777" w:rsidR="001E12E7" w:rsidRPr="00077E38" w:rsidRDefault="001E12E7" w:rsidP="002812FC">
            <w:pPr>
              <w:spacing w:line="240" w:lineRule="auto"/>
              <w:rPr>
                <w:sz w:val="18"/>
                <w:szCs w:val="18"/>
              </w:rPr>
            </w:pPr>
            <w:r w:rsidRPr="00077E38">
              <w:rPr>
                <w:sz w:val="18"/>
                <w:szCs w:val="18"/>
              </w:rPr>
              <w:t>Suspension (Mikropartikel)</w:t>
            </w:r>
          </w:p>
        </w:tc>
        <w:tc>
          <w:tcPr>
            <w:tcW w:w="2251" w:type="dxa"/>
            <w:tcBorders>
              <w:bottom w:val="single" w:sz="4" w:space="0" w:color="auto"/>
            </w:tcBorders>
            <w:vAlign w:val="center"/>
          </w:tcPr>
          <w:p w14:paraId="3A8316FE" w14:textId="77777777" w:rsidR="001E12E7" w:rsidRPr="00077E38" w:rsidRDefault="001E12E7" w:rsidP="002812FC">
            <w:pPr>
              <w:spacing w:line="240" w:lineRule="auto"/>
              <w:rPr>
                <w:sz w:val="18"/>
                <w:szCs w:val="18"/>
              </w:rPr>
            </w:pPr>
            <w:r w:rsidRPr="00077E38">
              <w:rPr>
                <w:sz w:val="18"/>
                <w:szCs w:val="18"/>
              </w:rPr>
              <w:t>Magen</w:t>
            </w:r>
          </w:p>
        </w:tc>
        <w:tc>
          <w:tcPr>
            <w:tcW w:w="2199" w:type="dxa"/>
            <w:tcBorders>
              <w:bottom w:val="single" w:sz="4" w:space="0" w:color="auto"/>
            </w:tcBorders>
            <w:vAlign w:val="center"/>
          </w:tcPr>
          <w:p w14:paraId="5215D228" w14:textId="77777777" w:rsidR="001E12E7" w:rsidRPr="00077E38" w:rsidRDefault="001E12E7" w:rsidP="002812FC">
            <w:pPr>
              <w:spacing w:line="240" w:lineRule="auto"/>
              <w:rPr>
                <w:sz w:val="18"/>
                <w:szCs w:val="18"/>
              </w:rPr>
            </w:pPr>
            <w:r w:rsidRPr="00077E38">
              <w:rPr>
                <w:sz w:val="18"/>
                <w:szCs w:val="18"/>
              </w:rPr>
              <w:t>48 min</w:t>
            </w:r>
          </w:p>
        </w:tc>
        <w:tc>
          <w:tcPr>
            <w:tcW w:w="2330" w:type="dxa"/>
            <w:tcBorders>
              <w:bottom w:val="single" w:sz="4" w:space="0" w:color="auto"/>
              <w:right w:val="single" w:sz="8" w:space="0" w:color="auto"/>
            </w:tcBorders>
            <w:vAlign w:val="center"/>
          </w:tcPr>
          <w:p w14:paraId="2A2C381A" w14:textId="77777777" w:rsidR="001E12E7" w:rsidRPr="00077E38" w:rsidRDefault="001E12E7" w:rsidP="002812FC">
            <w:pPr>
              <w:spacing w:line="240" w:lineRule="auto"/>
              <w:rPr>
                <w:sz w:val="18"/>
                <w:szCs w:val="18"/>
              </w:rPr>
            </w:pPr>
            <w:r w:rsidRPr="00077E38">
              <w:rPr>
                <w:sz w:val="18"/>
                <w:szCs w:val="18"/>
              </w:rPr>
              <w:t>58 min</w:t>
            </w:r>
          </w:p>
        </w:tc>
      </w:tr>
      <w:tr w:rsidR="001E12E7" w14:paraId="147EFA69" w14:textId="77777777" w:rsidTr="00DA5F05">
        <w:trPr>
          <w:trHeight w:val="340"/>
          <w:jc w:val="center"/>
        </w:trPr>
        <w:tc>
          <w:tcPr>
            <w:tcW w:w="1949" w:type="dxa"/>
            <w:tcBorders>
              <w:left w:val="single" w:sz="8" w:space="0" w:color="auto"/>
              <w:bottom w:val="nil"/>
            </w:tcBorders>
            <w:vAlign w:val="center"/>
          </w:tcPr>
          <w:p w14:paraId="7380A0C1" w14:textId="77777777" w:rsidR="001E12E7" w:rsidRPr="00077E38" w:rsidRDefault="001E12E7" w:rsidP="002812FC">
            <w:pPr>
              <w:spacing w:line="240" w:lineRule="auto"/>
              <w:rPr>
                <w:sz w:val="18"/>
                <w:szCs w:val="18"/>
              </w:rPr>
            </w:pPr>
            <w:r w:rsidRPr="00077E38">
              <w:rPr>
                <w:sz w:val="18"/>
                <w:szCs w:val="18"/>
              </w:rPr>
              <w:t>Pellets (&lt; 2 mm)</w:t>
            </w:r>
          </w:p>
        </w:tc>
        <w:tc>
          <w:tcPr>
            <w:tcW w:w="2251" w:type="dxa"/>
            <w:tcBorders>
              <w:bottom w:val="nil"/>
            </w:tcBorders>
            <w:vAlign w:val="center"/>
          </w:tcPr>
          <w:p w14:paraId="28A3FA56" w14:textId="77777777" w:rsidR="001E12E7" w:rsidRPr="00077E38" w:rsidRDefault="001E12E7" w:rsidP="002812FC">
            <w:pPr>
              <w:spacing w:line="240" w:lineRule="auto"/>
              <w:rPr>
                <w:sz w:val="18"/>
                <w:szCs w:val="18"/>
              </w:rPr>
            </w:pPr>
            <w:r w:rsidRPr="00077E38">
              <w:rPr>
                <w:sz w:val="18"/>
                <w:szCs w:val="18"/>
              </w:rPr>
              <w:t>Magen</w:t>
            </w:r>
          </w:p>
        </w:tc>
        <w:tc>
          <w:tcPr>
            <w:tcW w:w="2199" w:type="dxa"/>
            <w:tcBorders>
              <w:bottom w:val="nil"/>
            </w:tcBorders>
            <w:vAlign w:val="center"/>
          </w:tcPr>
          <w:p w14:paraId="35C77036" w14:textId="77777777" w:rsidR="001E12E7" w:rsidRPr="00077E38" w:rsidRDefault="001E12E7" w:rsidP="002812FC">
            <w:pPr>
              <w:spacing w:line="240" w:lineRule="auto"/>
              <w:rPr>
                <w:sz w:val="18"/>
                <w:szCs w:val="18"/>
              </w:rPr>
            </w:pPr>
            <w:r w:rsidRPr="00077E38">
              <w:rPr>
                <w:sz w:val="18"/>
                <w:szCs w:val="18"/>
              </w:rPr>
              <w:t>30 min</w:t>
            </w:r>
          </w:p>
        </w:tc>
        <w:tc>
          <w:tcPr>
            <w:tcW w:w="2330" w:type="dxa"/>
            <w:tcBorders>
              <w:bottom w:val="nil"/>
              <w:right w:val="single" w:sz="8" w:space="0" w:color="auto"/>
            </w:tcBorders>
            <w:vAlign w:val="center"/>
          </w:tcPr>
          <w:p w14:paraId="3F289F95" w14:textId="77777777" w:rsidR="001E12E7" w:rsidRPr="00077E38" w:rsidRDefault="00294AB2" w:rsidP="002812FC">
            <w:pPr>
              <w:spacing w:line="240" w:lineRule="auto"/>
              <w:rPr>
                <w:sz w:val="18"/>
                <w:szCs w:val="18"/>
              </w:rPr>
            </w:pPr>
            <w:r w:rsidRPr="00077E38">
              <w:rPr>
                <w:sz w:val="18"/>
                <w:szCs w:val="18"/>
              </w:rPr>
              <w:t>2 – 4 h</w:t>
            </w:r>
          </w:p>
        </w:tc>
      </w:tr>
      <w:tr w:rsidR="001E12E7" w14:paraId="72BC18CF" w14:textId="77777777" w:rsidTr="00DA5F05">
        <w:trPr>
          <w:trHeight w:val="340"/>
          <w:jc w:val="center"/>
        </w:trPr>
        <w:tc>
          <w:tcPr>
            <w:tcW w:w="1949" w:type="dxa"/>
            <w:tcBorders>
              <w:top w:val="nil"/>
              <w:left w:val="single" w:sz="8" w:space="0" w:color="auto"/>
              <w:bottom w:val="nil"/>
            </w:tcBorders>
            <w:vAlign w:val="center"/>
          </w:tcPr>
          <w:p w14:paraId="66595B78" w14:textId="77777777" w:rsidR="001E12E7" w:rsidRPr="00077E38" w:rsidRDefault="001E12E7" w:rsidP="002812FC">
            <w:pPr>
              <w:spacing w:line="240" w:lineRule="auto"/>
              <w:rPr>
                <w:sz w:val="18"/>
                <w:szCs w:val="18"/>
              </w:rPr>
            </w:pPr>
          </w:p>
        </w:tc>
        <w:tc>
          <w:tcPr>
            <w:tcW w:w="2251" w:type="dxa"/>
            <w:tcBorders>
              <w:top w:val="nil"/>
              <w:bottom w:val="nil"/>
            </w:tcBorders>
            <w:vAlign w:val="center"/>
          </w:tcPr>
          <w:p w14:paraId="0D16F5D2" w14:textId="77777777" w:rsidR="001E12E7" w:rsidRPr="00077E38" w:rsidRDefault="001E12E7" w:rsidP="002812FC">
            <w:pPr>
              <w:spacing w:line="240" w:lineRule="auto"/>
              <w:rPr>
                <w:sz w:val="18"/>
                <w:szCs w:val="18"/>
              </w:rPr>
            </w:pPr>
            <w:r w:rsidRPr="00077E38">
              <w:rPr>
                <w:sz w:val="18"/>
                <w:szCs w:val="18"/>
              </w:rPr>
              <w:t>Duodenum</w:t>
            </w:r>
          </w:p>
        </w:tc>
        <w:tc>
          <w:tcPr>
            <w:tcW w:w="2199" w:type="dxa"/>
            <w:tcBorders>
              <w:top w:val="nil"/>
              <w:bottom w:val="nil"/>
            </w:tcBorders>
            <w:vAlign w:val="center"/>
          </w:tcPr>
          <w:p w14:paraId="44E129FE" w14:textId="77777777" w:rsidR="001E12E7" w:rsidRPr="00077E38" w:rsidRDefault="001E12E7" w:rsidP="002812FC">
            <w:pPr>
              <w:spacing w:line="240" w:lineRule="auto"/>
              <w:rPr>
                <w:sz w:val="18"/>
                <w:szCs w:val="18"/>
              </w:rPr>
            </w:pPr>
            <w:r w:rsidRPr="00077E38">
              <w:rPr>
                <w:sz w:val="18"/>
                <w:szCs w:val="18"/>
              </w:rPr>
              <w:t>&lt; 10 min</w:t>
            </w:r>
          </w:p>
        </w:tc>
        <w:tc>
          <w:tcPr>
            <w:tcW w:w="2330" w:type="dxa"/>
            <w:tcBorders>
              <w:top w:val="nil"/>
              <w:bottom w:val="nil"/>
              <w:right w:val="single" w:sz="8" w:space="0" w:color="auto"/>
            </w:tcBorders>
            <w:vAlign w:val="center"/>
          </w:tcPr>
          <w:p w14:paraId="0D14D1AA" w14:textId="77777777" w:rsidR="001E12E7" w:rsidRPr="00077E38" w:rsidRDefault="00294AB2" w:rsidP="002812FC">
            <w:pPr>
              <w:spacing w:line="240" w:lineRule="auto"/>
              <w:rPr>
                <w:sz w:val="18"/>
                <w:szCs w:val="18"/>
              </w:rPr>
            </w:pPr>
            <w:r w:rsidRPr="00077E38">
              <w:rPr>
                <w:sz w:val="18"/>
                <w:szCs w:val="18"/>
              </w:rPr>
              <w:t>&lt; 10 min</w:t>
            </w:r>
          </w:p>
        </w:tc>
      </w:tr>
      <w:tr w:rsidR="001E12E7" w14:paraId="6D41A788" w14:textId="77777777" w:rsidTr="00DA5F05">
        <w:trPr>
          <w:trHeight w:val="340"/>
          <w:jc w:val="center"/>
        </w:trPr>
        <w:tc>
          <w:tcPr>
            <w:tcW w:w="1949" w:type="dxa"/>
            <w:tcBorders>
              <w:top w:val="nil"/>
              <w:left w:val="single" w:sz="8" w:space="0" w:color="auto"/>
              <w:bottom w:val="nil"/>
            </w:tcBorders>
            <w:vAlign w:val="center"/>
          </w:tcPr>
          <w:p w14:paraId="3510A3ED" w14:textId="77777777" w:rsidR="001E12E7" w:rsidRPr="00077E38" w:rsidRDefault="001E12E7" w:rsidP="002812FC">
            <w:pPr>
              <w:spacing w:line="240" w:lineRule="auto"/>
              <w:rPr>
                <w:sz w:val="18"/>
                <w:szCs w:val="18"/>
              </w:rPr>
            </w:pPr>
          </w:p>
        </w:tc>
        <w:tc>
          <w:tcPr>
            <w:tcW w:w="2251" w:type="dxa"/>
            <w:tcBorders>
              <w:top w:val="nil"/>
              <w:bottom w:val="nil"/>
            </w:tcBorders>
            <w:vAlign w:val="center"/>
          </w:tcPr>
          <w:p w14:paraId="5A6D9622" w14:textId="77777777" w:rsidR="001E12E7" w:rsidRPr="00077E38" w:rsidRDefault="001E12E7" w:rsidP="002812FC">
            <w:pPr>
              <w:spacing w:line="240" w:lineRule="auto"/>
              <w:rPr>
                <w:sz w:val="18"/>
                <w:szCs w:val="18"/>
              </w:rPr>
            </w:pPr>
            <w:r w:rsidRPr="00077E38">
              <w:rPr>
                <w:sz w:val="18"/>
                <w:szCs w:val="18"/>
              </w:rPr>
              <w:t>Jejunum</w:t>
            </w:r>
          </w:p>
        </w:tc>
        <w:tc>
          <w:tcPr>
            <w:tcW w:w="2199" w:type="dxa"/>
            <w:tcBorders>
              <w:top w:val="nil"/>
              <w:bottom w:val="nil"/>
            </w:tcBorders>
            <w:vAlign w:val="center"/>
          </w:tcPr>
          <w:p w14:paraId="39258ACA" w14:textId="77777777" w:rsidR="001E12E7" w:rsidRPr="00077E38" w:rsidRDefault="00294AB2" w:rsidP="002812FC">
            <w:pPr>
              <w:spacing w:line="240" w:lineRule="auto"/>
              <w:rPr>
                <w:sz w:val="18"/>
                <w:szCs w:val="18"/>
              </w:rPr>
            </w:pPr>
            <w:r w:rsidRPr="00077E38">
              <w:rPr>
                <w:sz w:val="18"/>
                <w:szCs w:val="18"/>
              </w:rPr>
              <w:t>2 h</w:t>
            </w:r>
          </w:p>
        </w:tc>
        <w:tc>
          <w:tcPr>
            <w:tcW w:w="2330" w:type="dxa"/>
            <w:tcBorders>
              <w:top w:val="nil"/>
              <w:bottom w:val="nil"/>
              <w:right w:val="single" w:sz="8" w:space="0" w:color="auto"/>
            </w:tcBorders>
            <w:vAlign w:val="center"/>
          </w:tcPr>
          <w:p w14:paraId="704A4B8F" w14:textId="77777777" w:rsidR="001E12E7" w:rsidRPr="00077E38" w:rsidRDefault="00294AB2" w:rsidP="002812FC">
            <w:pPr>
              <w:spacing w:line="240" w:lineRule="auto"/>
              <w:rPr>
                <w:sz w:val="18"/>
                <w:szCs w:val="18"/>
              </w:rPr>
            </w:pPr>
            <w:r w:rsidRPr="00077E38">
              <w:rPr>
                <w:sz w:val="18"/>
                <w:szCs w:val="18"/>
              </w:rPr>
              <w:t>2 h</w:t>
            </w:r>
          </w:p>
        </w:tc>
      </w:tr>
      <w:tr w:rsidR="001E12E7" w14:paraId="232A9C55" w14:textId="77777777" w:rsidTr="00DA5F05">
        <w:trPr>
          <w:trHeight w:val="340"/>
          <w:jc w:val="center"/>
        </w:trPr>
        <w:tc>
          <w:tcPr>
            <w:tcW w:w="1949" w:type="dxa"/>
            <w:tcBorders>
              <w:top w:val="nil"/>
              <w:left w:val="single" w:sz="8" w:space="0" w:color="auto"/>
              <w:bottom w:val="nil"/>
            </w:tcBorders>
            <w:vAlign w:val="center"/>
          </w:tcPr>
          <w:p w14:paraId="0AC4EC8B" w14:textId="77777777" w:rsidR="001E12E7" w:rsidRPr="00077E38" w:rsidRDefault="001E12E7" w:rsidP="002812FC">
            <w:pPr>
              <w:spacing w:line="240" w:lineRule="auto"/>
              <w:rPr>
                <w:sz w:val="18"/>
                <w:szCs w:val="18"/>
              </w:rPr>
            </w:pPr>
          </w:p>
        </w:tc>
        <w:tc>
          <w:tcPr>
            <w:tcW w:w="2251" w:type="dxa"/>
            <w:tcBorders>
              <w:top w:val="nil"/>
              <w:bottom w:val="nil"/>
            </w:tcBorders>
            <w:vAlign w:val="center"/>
          </w:tcPr>
          <w:p w14:paraId="3FB345C5" w14:textId="77777777" w:rsidR="001E12E7" w:rsidRPr="00077E38" w:rsidRDefault="001E12E7" w:rsidP="002812FC">
            <w:pPr>
              <w:spacing w:line="240" w:lineRule="auto"/>
              <w:rPr>
                <w:sz w:val="18"/>
                <w:szCs w:val="18"/>
              </w:rPr>
            </w:pPr>
            <w:r w:rsidRPr="00077E38">
              <w:rPr>
                <w:sz w:val="18"/>
                <w:szCs w:val="18"/>
              </w:rPr>
              <w:t>Ileum</w:t>
            </w:r>
          </w:p>
        </w:tc>
        <w:tc>
          <w:tcPr>
            <w:tcW w:w="2199" w:type="dxa"/>
            <w:tcBorders>
              <w:top w:val="nil"/>
              <w:bottom w:val="nil"/>
            </w:tcBorders>
            <w:vAlign w:val="center"/>
          </w:tcPr>
          <w:p w14:paraId="5B887606" w14:textId="77777777" w:rsidR="001E12E7" w:rsidRPr="00077E38" w:rsidRDefault="00294AB2" w:rsidP="002812FC">
            <w:pPr>
              <w:spacing w:line="240" w:lineRule="auto"/>
              <w:rPr>
                <w:sz w:val="18"/>
                <w:szCs w:val="18"/>
              </w:rPr>
            </w:pPr>
            <w:r w:rsidRPr="00077E38">
              <w:rPr>
                <w:sz w:val="18"/>
                <w:szCs w:val="18"/>
              </w:rPr>
              <w:t>2 h</w:t>
            </w:r>
          </w:p>
        </w:tc>
        <w:tc>
          <w:tcPr>
            <w:tcW w:w="2330" w:type="dxa"/>
            <w:tcBorders>
              <w:top w:val="nil"/>
              <w:bottom w:val="nil"/>
              <w:right w:val="single" w:sz="8" w:space="0" w:color="auto"/>
            </w:tcBorders>
            <w:vAlign w:val="center"/>
          </w:tcPr>
          <w:p w14:paraId="1D24ADC2" w14:textId="77777777" w:rsidR="001E12E7" w:rsidRPr="00077E38" w:rsidRDefault="00294AB2" w:rsidP="002812FC">
            <w:pPr>
              <w:spacing w:line="240" w:lineRule="auto"/>
              <w:rPr>
                <w:sz w:val="18"/>
                <w:szCs w:val="18"/>
              </w:rPr>
            </w:pPr>
            <w:r w:rsidRPr="00077E38">
              <w:rPr>
                <w:sz w:val="18"/>
                <w:szCs w:val="18"/>
              </w:rPr>
              <w:t>2 h</w:t>
            </w:r>
          </w:p>
        </w:tc>
      </w:tr>
      <w:tr w:rsidR="00294AB2" w14:paraId="5069272B" w14:textId="77777777" w:rsidTr="007E1C56">
        <w:trPr>
          <w:trHeight w:val="340"/>
          <w:jc w:val="center"/>
        </w:trPr>
        <w:tc>
          <w:tcPr>
            <w:tcW w:w="1949" w:type="dxa"/>
            <w:tcBorders>
              <w:top w:val="nil"/>
              <w:left w:val="single" w:sz="8" w:space="0" w:color="auto"/>
              <w:bottom w:val="single" w:sz="4" w:space="0" w:color="auto"/>
            </w:tcBorders>
            <w:vAlign w:val="center"/>
          </w:tcPr>
          <w:p w14:paraId="34BC2CD7" w14:textId="77777777" w:rsidR="00294AB2" w:rsidRPr="00077E38" w:rsidRDefault="00294AB2" w:rsidP="002812FC">
            <w:pPr>
              <w:spacing w:line="240" w:lineRule="auto"/>
              <w:rPr>
                <w:sz w:val="18"/>
                <w:szCs w:val="18"/>
              </w:rPr>
            </w:pPr>
          </w:p>
        </w:tc>
        <w:tc>
          <w:tcPr>
            <w:tcW w:w="2251" w:type="dxa"/>
            <w:tcBorders>
              <w:top w:val="nil"/>
              <w:bottom w:val="single" w:sz="4" w:space="0" w:color="auto"/>
            </w:tcBorders>
            <w:vAlign w:val="center"/>
          </w:tcPr>
          <w:p w14:paraId="32110448" w14:textId="77777777" w:rsidR="00294AB2" w:rsidRPr="00077E38" w:rsidRDefault="00294AB2" w:rsidP="002812FC">
            <w:pPr>
              <w:spacing w:line="240" w:lineRule="auto"/>
              <w:rPr>
                <w:sz w:val="18"/>
                <w:szCs w:val="18"/>
              </w:rPr>
            </w:pPr>
            <w:r w:rsidRPr="00077E38">
              <w:rPr>
                <w:sz w:val="18"/>
                <w:szCs w:val="18"/>
              </w:rPr>
              <w:t>Colon</w:t>
            </w:r>
          </w:p>
        </w:tc>
        <w:tc>
          <w:tcPr>
            <w:tcW w:w="2199" w:type="dxa"/>
            <w:tcBorders>
              <w:top w:val="nil"/>
              <w:bottom w:val="single" w:sz="4" w:space="0" w:color="auto"/>
            </w:tcBorders>
            <w:vAlign w:val="center"/>
          </w:tcPr>
          <w:p w14:paraId="51DDFF45" w14:textId="77777777" w:rsidR="00294AB2" w:rsidRPr="00077E38" w:rsidRDefault="00294AB2" w:rsidP="002812FC">
            <w:pPr>
              <w:spacing w:line="240" w:lineRule="auto"/>
              <w:rPr>
                <w:sz w:val="18"/>
                <w:szCs w:val="18"/>
              </w:rPr>
            </w:pPr>
            <w:r w:rsidRPr="00077E38">
              <w:rPr>
                <w:sz w:val="18"/>
                <w:szCs w:val="18"/>
              </w:rPr>
              <w:t>4 – 12 h</w:t>
            </w:r>
          </w:p>
        </w:tc>
        <w:tc>
          <w:tcPr>
            <w:tcW w:w="2330" w:type="dxa"/>
            <w:tcBorders>
              <w:top w:val="nil"/>
              <w:bottom w:val="single" w:sz="4" w:space="0" w:color="auto"/>
              <w:right w:val="single" w:sz="8" w:space="0" w:color="auto"/>
            </w:tcBorders>
            <w:vAlign w:val="center"/>
          </w:tcPr>
          <w:p w14:paraId="4C96CDFC" w14:textId="77777777" w:rsidR="00294AB2" w:rsidRPr="00077E38" w:rsidRDefault="00294AB2" w:rsidP="002812FC">
            <w:pPr>
              <w:spacing w:line="240" w:lineRule="auto"/>
              <w:rPr>
                <w:sz w:val="18"/>
                <w:szCs w:val="18"/>
              </w:rPr>
            </w:pPr>
            <w:r w:rsidRPr="00077E38">
              <w:rPr>
                <w:sz w:val="18"/>
                <w:szCs w:val="18"/>
              </w:rPr>
              <w:t>4 – 12 h</w:t>
            </w:r>
          </w:p>
        </w:tc>
      </w:tr>
      <w:tr w:rsidR="001E12E7" w14:paraId="1D215798" w14:textId="77777777" w:rsidTr="00DA5F05">
        <w:trPr>
          <w:trHeight w:val="340"/>
          <w:jc w:val="center"/>
        </w:trPr>
        <w:tc>
          <w:tcPr>
            <w:tcW w:w="1949" w:type="dxa"/>
            <w:tcBorders>
              <w:left w:val="single" w:sz="8" w:space="0" w:color="auto"/>
              <w:bottom w:val="nil"/>
            </w:tcBorders>
            <w:vAlign w:val="center"/>
          </w:tcPr>
          <w:p w14:paraId="6D1088AA" w14:textId="77777777" w:rsidR="001E12E7" w:rsidRPr="00077E38" w:rsidRDefault="001E12E7" w:rsidP="002812FC">
            <w:pPr>
              <w:spacing w:line="240" w:lineRule="auto"/>
              <w:rPr>
                <w:sz w:val="18"/>
                <w:szCs w:val="18"/>
              </w:rPr>
            </w:pPr>
            <w:r w:rsidRPr="00077E38">
              <w:rPr>
                <w:sz w:val="18"/>
                <w:szCs w:val="18"/>
              </w:rPr>
              <w:t>Tablette (nicht zerfallend)</w:t>
            </w:r>
          </w:p>
        </w:tc>
        <w:tc>
          <w:tcPr>
            <w:tcW w:w="2251" w:type="dxa"/>
            <w:tcBorders>
              <w:bottom w:val="nil"/>
            </w:tcBorders>
            <w:vAlign w:val="center"/>
          </w:tcPr>
          <w:p w14:paraId="2E57DF1D" w14:textId="77777777" w:rsidR="001E12E7" w:rsidRPr="00077E38" w:rsidRDefault="00294AB2" w:rsidP="002812FC">
            <w:pPr>
              <w:spacing w:line="240" w:lineRule="auto"/>
              <w:rPr>
                <w:sz w:val="18"/>
                <w:szCs w:val="18"/>
              </w:rPr>
            </w:pPr>
            <w:r w:rsidRPr="00077E38">
              <w:rPr>
                <w:sz w:val="18"/>
                <w:szCs w:val="18"/>
              </w:rPr>
              <w:t>Magen</w:t>
            </w:r>
          </w:p>
        </w:tc>
        <w:tc>
          <w:tcPr>
            <w:tcW w:w="2199" w:type="dxa"/>
            <w:tcBorders>
              <w:bottom w:val="nil"/>
            </w:tcBorders>
            <w:vAlign w:val="center"/>
          </w:tcPr>
          <w:p w14:paraId="7C173106" w14:textId="77777777" w:rsidR="001E12E7" w:rsidRPr="00077E38" w:rsidRDefault="00294AB2" w:rsidP="002812FC">
            <w:pPr>
              <w:spacing w:line="240" w:lineRule="auto"/>
              <w:rPr>
                <w:sz w:val="18"/>
                <w:szCs w:val="18"/>
              </w:rPr>
            </w:pPr>
            <w:r w:rsidRPr="00077E38">
              <w:rPr>
                <w:sz w:val="18"/>
                <w:szCs w:val="18"/>
              </w:rPr>
              <w:t>60 min</w:t>
            </w:r>
          </w:p>
        </w:tc>
        <w:tc>
          <w:tcPr>
            <w:tcW w:w="2330" w:type="dxa"/>
            <w:tcBorders>
              <w:bottom w:val="nil"/>
              <w:right w:val="single" w:sz="8" w:space="0" w:color="auto"/>
            </w:tcBorders>
            <w:vAlign w:val="center"/>
          </w:tcPr>
          <w:p w14:paraId="20C0BD0D" w14:textId="77777777" w:rsidR="001E12E7" w:rsidRPr="00077E38" w:rsidRDefault="00294AB2" w:rsidP="002812FC">
            <w:pPr>
              <w:spacing w:line="240" w:lineRule="auto"/>
              <w:rPr>
                <w:sz w:val="18"/>
                <w:szCs w:val="18"/>
              </w:rPr>
            </w:pPr>
            <w:r w:rsidRPr="00077E38">
              <w:rPr>
                <w:sz w:val="18"/>
                <w:szCs w:val="18"/>
              </w:rPr>
              <w:t>2 – 10 h</w:t>
            </w:r>
          </w:p>
        </w:tc>
      </w:tr>
      <w:tr w:rsidR="001E12E7" w14:paraId="3FC300BE" w14:textId="77777777" w:rsidTr="00DA5F05">
        <w:trPr>
          <w:trHeight w:val="340"/>
          <w:jc w:val="center"/>
        </w:trPr>
        <w:tc>
          <w:tcPr>
            <w:tcW w:w="1949" w:type="dxa"/>
            <w:tcBorders>
              <w:top w:val="nil"/>
              <w:left w:val="single" w:sz="8" w:space="0" w:color="auto"/>
              <w:bottom w:val="nil"/>
            </w:tcBorders>
          </w:tcPr>
          <w:p w14:paraId="232A1AB7" w14:textId="77777777" w:rsidR="001E12E7" w:rsidRPr="00077E38" w:rsidRDefault="001E12E7" w:rsidP="002812FC">
            <w:pPr>
              <w:spacing w:line="240" w:lineRule="auto"/>
              <w:rPr>
                <w:sz w:val="18"/>
                <w:szCs w:val="18"/>
              </w:rPr>
            </w:pPr>
          </w:p>
        </w:tc>
        <w:tc>
          <w:tcPr>
            <w:tcW w:w="2251" w:type="dxa"/>
            <w:tcBorders>
              <w:top w:val="nil"/>
              <w:bottom w:val="nil"/>
            </w:tcBorders>
            <w:vAlign w:val="center"/>
          </w:tcPr>
          <w:p w14:paraId="214FB6AC" w14:textId="77777777" w:rsidR="001E12E7" w:rsidRPr="00077E38" w:rsidRDefault="00294AB2" w:rsidP="002812FC">
            <w:pPr>
              <w:spacing w:line="240" w:lineRule="auto"/>
              <w:rPr>
                <w:sz w:val="18"/>
                <w:szCs w:val="18"/>
              </w:rPr>
            </w:pPr>
            <w:r w:rsidRPr="00077E38">
              <w:rPr>
                <w:sz w:val="18"/>
                <w:szCs w:val="18"/>
              </w:rPr>
              <w:t>Duodenum</w:t>
            </w:r>
          </w:p>
        </w:tc>
        <w:tc>
          <w:tcPr>
            <w:tcW w:w="2199" w:type="dxa"/>
            <w:tcBorders>
              <w:top w:val="nil"/>
              <w:bottom w:val="nil"/>
            </w:tcBorders>
            <w:vAlign w:val="center"/>
          </w:tcPr>
          <w:p w14:paraId="0A1FB64F" w14:textId="77777777" w:rsidR="001E12E7" w:rsidRPr="00077E38" w:rsidRDefault="00294AB2" w:rsidP="002812FC">
            <w:pPr>
              <w:spacing w:line="240" w:lineRule="auto"/>
              <w:rPr>
                <w:sz w:val="18"/>
                <w:szCs w:val="18"/>
              </w:rPr>
            </w:pPr>
            <w:r w:rsidRPr="00077E38">
              <w:rPr>
                <w:sz w:val="18"/>
                <w:szCs w:val="18"/>
              </w:rPr>
              <w:t>&lt; 10 min</w:t>
            </w:r>
          </w:p>
        </w:tc>
        <w:tc>
          <w:tcPr>
            <w:tcW w:w="2330" w:type="dxa"/>
            <w:tcBorders>
              <w:top w:val="nil"/>
              <w:bottom w:val="nil"/>
              <w:right w:val="single" w:sz="8" w:space="0" w:color="auto"/>
            </w:tcBorders>
            <w:vAlign w:val="center"/>
          </w:tcPr>
          <w:p w14:paraId="7DA1B5A9" w14:textId="77777777" w:rsidR="001E12E7" w:rsidRPr="00077E38" w:rsidRDefault="00294AB2" w:rsidP="002812FC">
            <w:pPr>
              <w:spacing w:line="240" w:lineRule="auto"/>
              <w:rPr>
                <w:sz w:val="18"/>
                <w:szCs w:val="18"/>
              </w:rPr>
            </w:pPr>
            <w:r w:rsidRPr="00077E38">
              <w:rPr>
                <w:sz w:val="18"/>
                <w:szCs w:val="18"/>
              </w:rPr>
              <w:t>&lt; 10 min</w:t>
            </w:r>
          </w:p>
        </w:tc>
      </w:tr>
      <w:tr w:rsidR="00294AB2" w14:paraId="1C7ACF2F" w14:textId="77777777" w:rsidTr="00DA5F05">
        <w:trPr>
          <w:trHeight w:val="340"/>
          <w:jc w:val="center"/>
        </w:trPr>
        <w:tc>
          <w:tcPr>
            <w:tcW w:w="1949" w:type="dxa"/>
            <w:tcBorders>
              <w:top w:val="nil"/>
              <w:left w:val="single" w:sz="8" w:space="0" w:color="auto"/>
              <w:bottom w:val="nil"/>
            </w:tcBorders>
          </w:tcPr>
          <w:p w14:paraId="370045AD" w14:textId="77777777" w:rsidR="00294AB2" w:rsidRPr="00077E38" w:rsidRDefault="00294AB2" w:rsidP="002812FC">
            <w:pPr>
              <w:spacing w:line="240" w:lineRule="auto"/>
              <w:rPr>
                <w:sz w:val="18"/>
                <w:szCs w:val="18"/>
              </w:rPr>
            </w:pPr>
          </w:p>
        </w:tc>
        <w:tc>
          <w:tcPr>
            <w:tcW w:w="2251" w:type="dxa"/>
            <w:tcBorders>
              <w:top w:val="nil"/>
              <w:bottom w:val="nil"/>
            </w:tcBorders>
            <w:vAlign w:val="center"/>
          </w:tcPr>
          <w:p w14:paraId="207DD0B8" w14:textId="77777777" w:rsidR="00294AB2" w:rsidRPr="00077E38" w:rsidRDefault="00294AB2" w:rsidP="002812FC">
            <w:pPr>
              <w:spacing w:line="240" w:lineRule="auto"/>
              <w:rPr>
                <w:sz w:val="18"/>
                <w:szCs w:val="18"/>
              </w:rPr>
            </w:pPr>
            <w:r w:rsidRPr="00077E38">
              <w:rPr>
                <w:sz w:val="18"/>
                <w:szCs w:val="18"/>
              </w:rPr>
              <w:t>Jejunum</w:t>
            </w:r>
          </w:p>
        </w:tc>
        <w:tc>
          <w:tcPr>
            <w:tcW w:w="2199" w:type="dxa"/>
            <w:tcBorders>
              <w:top w:val="nil"/>
              <w:bottom w:val="nil"/>
            </w:tcBorders>
            <w:vAlign w:val="center"/>
          </w:tcPr>
          <w:p w14:paraId="15BCF8A4" w14:textId="77777777" w:rsidR="00294AB2" w:rsidRPr="00077E38" w:rsidRDefault="00294AB2" w:rsidP="002812FC">
            <w:pPr>
              <w:spacing w:line="240" w:lineRule="auto"/>
              <w:rPr>
                <w:sz w:val="18"/>
                <w:szCs w:val="18"/>
              </w:rPr>
            </w:pPr>
            <w:r w:rsidRPr="00077E38">
              <w:rPr>
                <w:sz w:val="18"/>
                <w:szCs w:val="18"/>
              </w:rPr>
              <w:t>60 min</w:t>
            </w:r>
          </w:p>
        </w:tc>
        <w:tc>
          <w:tcPr>
            <w:tcW w:w="2330" w:type="dxa"/>
            <w:tcBorders>
              <w:top w:val="nil"/>
              <w:bottom w:val="nil"/>
              <w:right w:val="single" w:sz="8" w:space="0" w:color="auto"/>
            </w:tcBorders>
            <w:vAlign w:val="center"/>
          </w:tcPr>
          <w:p w14:paraId="0D9B5E3C" w14:textId="77777777" w:rsidR="00294AB2" w:rsidRPr="00077E38" w:rsidRDefault="005544C8" w:rsidP="002812FC">
            <w:pPr>
              <w:spacing w:line="240" w:lineRule="auto"/>
              <w:rPr>
                <w:sz w:val="18"/>
                <w:szCs w:val="18"/>
              </w:rPr>
            </w:pPr>
            <w:r w:rsidRPr="00077E38">
              <w:rPr>
                <w:sz w:val="18"/>
                <w:szCs w:val="18"/>
              </w:rPr>
              <w:t>2 h</w:t>
            </w:r>
          </w:p>
        </w:tc>
      </w:tr>
      <w:tr w:rsidR="00294AB2" w14:paraId="7D9C6EE9" w14:textId="77777777" w:rsidTr="00DA5F05">
        <w:trPr>
          <w:trHeight w:val="340"/>
          <w:jc w:val="center"/>
        </w:trPr>
        <w:tc>
          <w:tcPr>
            <w:tcW w:w="1949" w:type="dxa"/>
            <w:tcBorders>
              <w:top w:val="nil"/>
              <w:left w:val="single" w:sz="8" w:space="0" w:color="auto"/>
              <w:bottom w:val="nil"/>
            </w:tcBorders>
          </w:tcPr>
          <w:p w14:paraId="2E6AF812" w14:textId="77777777" w:rsidR="00294AB2" w:rsidRPr="00077E38" w:rsidRDefault="00294AB2" w:rsidP="002812FC">
            <w:pPr>
              <w:spacing w:line="240" w:lineRule="auto"/>
              <w:rPr>
                <w:sz w:val="18"/>
                <w:szCs w:val="18"/>
              </w:rPr>
            </w:pPr>
          </w:p>
        </w:tc>
        <w:tc>
          <w:tcPr>
            <w:tcW w:w="2251" w:type="dxa"/>
            <w:tcBorders>
              <w:top w:val="nil"/>
              <w:bottom w:val="nil"/>
            </w:tcBorders>
            <w:vAlign w:val="center"/>
          </w:tcPr>
          <w:p w14:paraId="58BB94A4" w14:textId="77777777" w:rsidR="00294AB2" w:rsidRPr="00077E38" w:rsidRDefault="00294AB2" w:rsidP="002812FC">
            <w:pPr>
              <w:spacing w:line="240" w:lineRule="auto"/>
              <w:rPr>
                <w:sz w:val="18"/>
                <w:szCs w:val="18"/>
              </w:rPr>
            </w:pPr>
            <w:r w:rsidRPr="00077E38">
              <w:rPr>
                <w:sz w:val="18"/>
                <w:szCs w:val="18"/>
              </w:rPr>
              <w:t>Ileum</w:t>
            </w:r>
          </w:p>
        </w:tc>
        <w:tc>
          <w:tcPr>
            <w:tcW w:w="2199" w:type="dxa"/>
            <w:tcBorders>
              <w:top w:val="nil"/>
              <w:bottom w:val="nil"/>
            </w:tcBorders>
            <w:vAlign w:val="center"/>
          </w:tcPr>
          <w:p w14:paraId="2F424A12" w14:textId="77777777" w:rsidR="00294AB2" w:rsidRPr="00077E38" w:rsidRDefault="00294AB2" w:rsidP="002812FC">
            <w:pPr>
              <w:spacing w:line="240" w:lineRule="auto"/>
              <w:rPr>
                <w:sz w:val="18"/>
                <w:szCs w:val="18"/>
              </w:rPr>
            </w:pPr>
            <w:r w:rsidRPr="00077E38">
              <w:rPr>
                <w:sz w:val="18"/>
                <w:szCs w:val="18"/>
              </w:rPr>
              <w:t>3 h</w:t>
            </w:r>
          </w:p>
        </w:tc>
        <w:tc>
          <w:tcPr>
            <w:tcW w:w="2330" w:type="dxa"/>
            <w:tcBorders>
              <w:top w:val="nil"/>
              <w:bottom w:val="nil"/>
              <w:right w:val="single" w:sz="8" w:space="0" w:color="auto"/>
            </w:tcBorders>
            <w:vAlign w:val="center"/>
          </w:tcPr>
          <w:p w14:paraId="1D205CFF" w14:textId="77777777" w:rsidR="00294AB2" w:rsidRPr="00077E38" w:rsidRDefault="00294AB2" w:rsidP="002812FC">
            <w:pPr>
              <w:spacing w:line="240" w:lineRule="auto"/>
              <w:rPr>
                <w:sz w:val="18"/>
                <w:szCs w:val="18"/>
              </w:rPr>
            </w:pPr>
            <w:r w:rsidRPr="00077E38">
              <w:rPr>
                <w:sz w:val="18"/>
                <w:szCs w:val="18"/>
              </w:rPr>
              <w:t>2 h</w:t>
            </w:r>
          </w:p>
        </w:tc>
      </w:tr>
      <w:tr w:rsidR="00294AB2" w14:paraId="68D635FA" w14:textId="77777777" w:rsidTr="00DA5F05">
        <w:trPr>
          <w:trHeight w:val="340"/>
          <w:jc w:val="center"/>
        </w:trPr>
        <w:tc>
          <w:tcPr>
            <w:tcW w:w="1949" w:type="dxa"/>
            <w:tcBorders>
              <w:top w:val="nil"/>
              <w:left w:val="single" w:sz="8" w:space="0" w:color="auto"/>
              <w:bottom w:val="single" w:sz="8" w:space="0" w:color="auto"/>
            </w:tcBorders>
          </w:tcPr>
          <w:p w14:paraId="7557DD66" w14:textId="77777777" w:rsidR="00294AB2" w:rsidRPr="00077E38" w:rsidRDefault="00294AB2" w:rsidP="002812FC">
            <w:pPr>
              <w:spacing w:line="240" w:lineRule="auto"/>
              <w:rPr>
                <w:sz w:val="18"/>
                <w:szCs w:val="18"/>
              </w:rPr>
            </w:pPr>
          </w:p>
        </w:tc>
        <w:tc>
          <w:tcPr>
            <w:tcW w:w="2251" w:type="dxa"/>
            <w:tcBorders>
              <w:top w:val="nil"/>
              <w:bottom w:val="single" w:sz="8" w:space="0" w:color="auto"/>
            </w:tcBorders>
            <w:vAlign w:val="center"/>
          </w:tcPr>
          <w:p w14:paraId="46D57C87" w14:textId="77777777" w:rsidR="00294AB2" w:rsidRPr="00077E38" w:rsidRDefault="00294AB2" w:rsidP="002812FC">
            <w:pPr>
              <w:spacing w:line="240" w:lineRule="auto"/>
              <w:rPr>
                <w:sz w:val="18"/>
                <w:szCs w:val="18"/>
              </w:rPr>
            </w:pPr>
            <w:r w:rsidRPr="00077E38">
              <w:rPr>
                <w:sz w:val="18"/>
                <w:szCs w:val="18"/>
              </w:rPr>
              <w:t>Colon</w:t>
            </w:r>
          </w:p>
        </w:tc>
        <w:tc>
          <w:tcPr>
            <w:tcW w:w="2199" w:type="dxa"/>
            <w:tcBorders>
              <w:top w:val="nil"/>
              <w:bottom w:val="single" w:sz="8" w:space="0" w:color="auto"/>
            </w:tcBorders>
            <w:vAlign w:val="center"/>
          </w:tcPr>
          <w:p w14:paraId="0717253B" w14:textId="77777777" w:rsidR="00294AB2" w:rsidRPr="00077E38" w:rsidRDefault="00294AB2" w:rsidP="002812FC">
            <w:pPr>
              <w:spacing w:line="240" w:lineRule="auto"/>
              <w:rPr>
                <w:sz w:val="18"/>
                <w:szCs w:val="18"/>
              </w:rPr>
            </w:pPr>
            <w:r w:rsidRPr="00077E38">
              <w:rPr>
                <w:sz w:val="18"/>
                <w:szCs w:val="18"/>
              </w:rPr>
              <w:t>4 – 12 h</w:t>
            </w:r>
          </w:p>
        </w:tc>
        <w:tc>
          <w:tcPr>
            <w:tcW w:w="2330" w:type="dxa"/>
            <w:tcBorders>
              <w:top w:val="nil"/>
              <w:bottom w:val="single" w:sz="8" w:space="0" w:color="auto"/>
              <w:right w:val="single" w:sz="8" w:space="0" w:color="auto"/>
            </w:tcBorders>
            <w:vAlign w:val="center"/>
          </w:tcPr>
          <w:p w14:paraId="1DFC0846" w14:textId="77777777" w:rsidR="00294AB2" w:rsidRPr="00077E38" w:rsidRDefault="00294AB2" w:rsidP="002812FC">
            <w:pPr>
              <w:spacing w:line="240" w:lineRule="auto"/>
              <w:rPr>
                <w:sz w:val="18"/>
                <w:szCs w:val="18"/>
              </w:rPr>
            </w:pPr>
            <w:r w:rsidRPr="00077E38">
              <w:rPr>
                <w:sz w:val="18"/>
                <w:szCs w:val="18"/>
              </w:rPr>
              <w:t>4 – 12 h</w:t>
            </w:r>
          </w:p>
        </w:tc>
      </w:tr>
    </w:tbl>
    <w:p w14:paraId="7CE19BC5" w14:textId="77777777" w:rsidR="007F1AEE" w:rsidRDefault="007F1AEE" w:rsidP="0094583B"/>
    <w:p w14:paraId="7621E09B" w14:textId="77777777" w:rsidR="00A624ED" w:rsidRDefault="00034D61" w:rsidP="0094583B">
      <w:r>
        <w:t xml:space="preserve">Die Magenverweilzeit von Arzneimitteln ist vor allem bei peroraler Gabe </w:t>
      </w:r>
      <w:r w:rsidR="00A624ED">
        <w:t>säureempfindlic</w:t>
      </w:r>
      <w:r>
        <w:t>her Arzneistoffe</w:t>
      </w:r>
      <w:r w:rsidR="00437C76">
        <w:t xml:space="preserve"> wie vieler</w:t>
      </w:r>
      <w:r w:rsidR="00C97F06">
        <w:t xml:space="preserve"> Peptide und Proteine</w:t>
      </w:r>
      <w:r>
        <w:t xml:space="preserve"> von Bedeutung. Sie unterliegt in Abhängigkeit von der Arzneiform und der Aufnahme von Nahrung erheblichen Schwankungen.</w:t>
      </w:r>
      <w:r w:rsidR="008C4BF2">
        <w:t xml:space="preserve"> Dies gilt es bei der Auswahl der Arzneiform</w:t>
      </w:r>
      <w:r w:rsidR="00B867B9">
        <w:t xml:space="preserve"> und bei den</w:t>
      </w:r>
      <w:r w:rsidR="00C97F06">
        <w:t xml:space="preserve"> Einnahmeempfehlungen zu berücksichtigen.</w:t>
      </w:r>
    </w:p>
    <w:p w14:paraId="0CB286E2" w14:textId="77777777" w:rsidR="007F1AEE" w:rsidRDefault="00A624ED" w:rsidP="0094583B">
      <w:r>
        <w:t>Die mittlere Verweilzeit im Dünndarm wird weder von der Arzneiform noch</w:t>
      </w:r>
      <w:r w:rsidR="00140BE2">
        <w:t xml:space="preserve"> durch eine</w:t>
      </w:r>
      <w:r>
        <w:t xml:space="preserve"> </w:t>
      </w:r>
      <w:r w:rsidR="00140BE2">
        <w:t>vorausgehende</w:t>
      </w:r>
      <w:r w:rsidR="00E8799E">
        <w:t xml:space="preserve"> </w:t>
      </w:r>
      <w:r>
        <w:t>Nahrungsaufnahme wesentlich beeinflusst</w:t>
      </w:r>
      <w:r w:rsidR="00B867B9">
        <w:t xml:space="preserve"> (</w:t>
      </w:r>
      <w:r w:rsidR="00D7338D">
        <w:t xml:space="preserve">siehe </w:t>
      </w:r>
      <w:r w:rsidR="00D16240">
        <w:fldChar w:fldCharType="begin"/>
      </w:r>
      <w:r w:rsidR="00B867B9">
        <w:instrText xml:space="preserve"> REF _Ref269755141 \h </w:instrText>
      </w:r>
      <w:r w:rsidR="00D16240">
        <w:fldChar w:fldCharType="separate"/>
      </w:r>
      <w:r w:rsidR="00711AB8" w:rsidRPr="00441473">
        <w:t xml:space="preserve">Tabelle </w:t>
      </w:r>
      <w:r w:rsidR="00711AB8">
        <w:rPr>
          <w:noProof/>
        </w:rPr>
        <w:t>3</w:t>
      </w:r>
      <w:r w:rsidR="00D16240">
        <w:fldChar w:fldCharType="end"/>
      </w:r>
      <w:r w:rsidR="00B867B9">
        <w:t>)</w:t>
      </w:r>
      <w:r>
        <w:t xml:space="preserve">. Von Relevanz ist dieser Aspekt </w:t>
      </w:r>
      <w:r w:rsidR="000A40D5">
        <w:t xml:space="preserve">jedoch </w:t>
      </w:r>
      <w:r w:rsidR="00034D61">
        <w:t>im Hinblick auf die Stabilität von Arzneistof</w:t>
      </w:r>
      <w:r w:rsidR="00E8799E">
        <w:t>fen, die von Verdauungsenzymen</w:t>
      </w:r>
      <w:r w:rsidR="00140BE2">
        <w:t xml:space="preserve"> des Pankreas</w:t>
      </w:r>
      <w:r w:rsidR="00E8799E">
        <w:t xml:space="preserve"> </w:t>
      </w:r>
      <w:r w:rsidR="00034D61">
        <w:t>abgebaut werden könn</w:t>
      </w:r>
      <w:r w:rsidR="00B867B9">
        <w:t>en. Außerdem ergibt</w:t>
      </w:r>
      <w:r w:rsidR="00034D61">
        <w:t xml:space="preserve"> sich h</w:t>
      </w:r>
      <w:r w:rsidR="00E8799E">
        <w:t>ieraus</w:t>
      </w:r>
      <w:r w:rsidR="00B867B9">
        <w:t xml:space="preserve"> eine weitere Anforderung</w:t>
      </w:r>
      <w:r w:rsidR="00E8799E">
        <w:t xml:space="preserve"> an das Arzneimittel:</w:t>
      </w:r>
      <w:r w:rsidR="00034D61">
        <w:t xml:space="preserve"> Der Wirkstoff muss</w:t>
      </w:r>
      <w:r w:rsidR="000F378C">
        <w:t xml:space="preserve"> im Dünndarm rechtzeitig aus dem Arzneimittel</w:t>
      </w:r>
      <w:r w:rsidR="00D7338D">
        <w:t xml:space="preserve"> freigesetzt werden, um resorbiert werden zu können</w:t>
      </w:r>
      <w:r w:rsidR="00E8799E">
        <w:t>.</w:t>
      </w:r>
      <w:r w:rsidR="00B867B9">
        <w:t xml:space="preserve"> Die</w:t>
      </w:r>
      <w:r w:rsidR="00C97F06">
        <w:t xml:space="preserve"> für die Resorption zur Verfügung stehende Zeit</w:t>
      </w:r>
      <w:r w:rsidR="00D7338D">
        <w:t xml:space="preserve"> ist</w:t>
      </w:r>
      <w:r w:rsidR="00C97F06">
        <w:t xml:space="preserve"> auf</w:t>
      </w:r>
      <w:r w:rsidR="00B867B9">
        <w:t xml:space="preserve"> die Dauer der Passage</w:t>
      </w:r>
      <w:r w:rsidR="00D7338D">
        <w:t xml:space="preserve"> des Arzneistoffes</w:t>
      </w:r>
      <w:r w:rsidR="00B867B9">
        <w:t xml:space="preserve"> begrenzt</w:t>
      </w:r>
      <w:r w:rsidR="00C97F06">
        <w:t>.</w:t>
      </w:r>
    </w:p>
    <w:p w14:paraId="37ED4739" w14:textId="77777777" w:rsidR="00176D30" w:rsidRDefault="00176D30" w:rsidP="0094583B">
      <w:r>
        <w:t>Die Verweilzeit im Dickdarm spielt im Zusammenhang mit der peroralen Gabe von Peptiden oder Proteinen ke</w:t>
      </w:r>
      <w:r w:rsidR="00995E84">
        <w:t>ine bedeutende Rolle</w:t>
      </w:r>
      <w:r w:rsidR="000A40D5">
        <w:t xml:space="preserve">. </w:t>
      </w:r>
      <w:r w:rsidR="00995E84">
        <w:t>Da der Dünndarm a</w:t>
      </w:r>
      <w:r>
        <w:t xml:space="preserve">ufgrund seiner wesentlich größeren Oberfläche </w:t>
      </w:r>
      <w:r w:rsidR="00437C76">
        <w:t>eine deutlich stärker ausgeprägte</w:t>
      </w:r>
      <w:r>
        <w:t xml:space="preserve"> Resorptionsfäh</w:t>
      </w:r>
      <w:r w:rsidR="000A40D5">
        <w:t>igkeit als der Dickdarm</w:t>
      </w:r>
      <w:r w:rsidR="00995E84">
        <w:t xml:space="preserve"> besitzt, wird für diese Wi</w:t>
      </w:r>
      <w:r w:rsidR="00163573">
        <w:t xml:space="preserve">rkstoffe </w:t>
      </w:r>
      <w:r w:rsidR="00D7338D">
        <w:t xml:space="preserve">meist </w:t>
      </w:r>
      <w:r w:rsidR="00163573">
        <w:t>eine Resorption</w:t>
      </w:r>
      <w:r w:rsidR="00995E84">
        <w:t xml:space="preserve"> im Dünndarm angestrebt</w:t>
      </w:r>
      <w:r w:rsidR="000A40D5">
        <w:t>.</w:t>
      </w:r>
      <w:r>
        <w:t xml:space="preserve"> Da</w:t>
      </w:r>
      <w:r w:rsidR="00D7338D">
        <w:t xml:space="preserve"> zudem viele</w:t>
      </w:r>
      <w:r>
        <w:t xml:space="preserve"> Verdauungsenzyme des Pankreas auch im Dickdarm noch aktiv sind,</w:t>
      </w:r>
      <w:r w:rsidR="00B867B9">
        <w:t xml:space="preserve"> würde</w:t>
      </w:r>
      <w:r>
        <w:t xml:space="preserve"> eine </w:t>
      </w:r>
      <w:r>
        <w:lastRenderedPageBreak/>
        <w:t>gezielte Freisetzung von Pro</w:t>
      </w:r>
      <w:r w:rsidR="00786028">
        <w:t>t</w:t>
      </w:r>
      <w:r>
        <w:t xml:space="preserve">einwirkstoffen im Dickdarm </w:t>
      </w:r>
      <w:r w:rsidR="00995E84">
        <w:t xml:space="preserve">beispielsweise </w:t>
      </w:r>
      <w:r>
        <w:t xml:space="preserve">keine </w:t>
      </w:r>
      <w:r w:rsidR="00993364">
        <w:t xml:space="preserve">geeignete </w:t>
      </w:r>
      <w:r>
        <w:t>Möglichkei</w:t>
      </w:r>
      <w:r w:rsidR="008B58DA">
        <w:t>t dar</w:t>
      </w:r>
      <w:r w:rsidR="00B867B9">
        <w:t>stellen</w:t>
      </w:r>
      <w:r w:rsidR="00995E84">
        <w:t>, die</w:t>
      </w:r>
      <w:r w:rsidR="008B58DA">
        <w:t xml:space="preserve"> enzymatische Barriere</w:t>
      </w:r>
      <w:r>
        <w:t xml:space="preserve"> zu umgehen.</w:t>
      </w:r>
    </w:p>
    <w:p w14:paraId="24D21540" w14:textId="77777777" w:rsidR="000D4C16" w:rsidRDefault="000D4C16" w:rsidP="000D4C16">
      <w:pPr>
        <w:pStyle w:val="berschrift4"/>
      </w:pPr>
      <w:bookmarkStart w:id="16" w:name="_Toc294380152"/>
      <w:r w:rsidRPr="00BC3359">
        <w:t>Magen</w:t>
      </w:r>
      <w:bookmarkEnd w:id="16"/>
    </w:p>
    <w:p w14:paraId="2A85ECED" w14:textId="77777777" w:rsidR="004C64A5" w:rsidRDefault="002B3D11" w:rsidP="00C97F06">
      <w:r>
        <w:t>Das saure und Pepsin-</w:t>
      </w:r>
      <w:r w:rsidR="00BB1C44">
        <w:t>halti</w:t>
      </w:r>
      <w:r w:rsidR="000E505F">
        <w:t>ge Milieu des Magens stellt</w:t>
      </w:r>
      <w:r w:rsidR="008A37D5">
        <w:t xml:space="preserve"> </w:t>
      </w:r>
      <w:r w:rsidR="0038761A">
        <w:t>die erste wesentliche Barriere</w:t>
      </w:r>
      <w:r w:rsidR="00BB1C44">
        <w:t xml:space="preserve"> bei der </w:t>
      </w:r>
      <w:r w:rsidR="0038761A">
        <w:t>per</w:t>
      </w:r>
      <w:r w:rsidR="00BB1C44">
        <w:t>oralen Gabe</w:t>
      </w:r>
      <w:r w:rsidR="008A37D5">
        <w:t xml:space="preserve"> von Peptiden und</w:t>
      </w:r>
      <w:r w:rsidR="00BB1C44">
        <w:t xml:space="preserve"> Proteinen dar. Die hydrolytische S</w:t>
      </w:r>
      <w:r w:rsidR="0038761A">
        <w:t>paltung von Peptidbindungen sowie</w:t>
      </w:r>
      <w:r w:rsidR="00BB1C44">
        <w:t xml:space="preserve"> </w:t>
      </w:r>
      <w:r w:rsidR="0038761A">
        <w:t xml:space="preserve">die </w:t>
      </w:r>
      <w:r w:rsidR="00BB1C44">
        <w:t>Deamidierung von Aspa</w:t>
      </w:r>
      <w:r w:rsidR="0038761A">
        <w:t>ragin</w:t>
      </w:r>
      <w:r w:rsidR="00140BE2">
        <w:t>-</w:t>
      </w:r>
      <w:r w:rsidR="0038761A">
        <w:t xml:space="preserve"> und Glutamin-Seitenketten</w:t>
      </w:r>
      <w:r w:rsidR="00BC7711">
        <w:t xml:space="preserve"> beispielsweise</w:t>
      </w:r>
      <w:r w:rsidR="0038761A">
        <w:t xml:space="preserve"> werden durch Salzsäure katalysiert. </w:t>
      </w:r>
      <w:r w:rsidR="004C64A5">
        <w:t>Ohne zusätzliche Hitzeeinwirkung ist eine Spaltung der reaktionsträgen Peptidbindungen durch die Magensäure und damit eine Veränder</w:t>
      </w:r>
      <w:r w:rsidR="007F58FE">
        <w:t>ung in der Primärstruktur allerdings</w:t>
      </w:r>
      <w:r w:rsidR="004C64A5">
        <w:t xml:space="preserve"> relativ unwahrscheinlich.</w:t>
      </w:r>
      <w:r w:rsidR="00504348">
        <w:t xml:space="preserve"> Chemische Reaktionen der Seitenketten wie zu</w:t>
      </w:r>
      <w:r w:rsidR="00001916">
        <w:t>m Beispiel Protonierungs- oder D</w:t>
      </w:r>
      <w:r w:rsidR="00504348">
        <w:t>eprotonierun</w:t>
      </w:r>
      <w:r w:rsidR="00BC7711">
        <w:t>gs</w:t>
      </w:r>
      <w:r w:rsidR="007F58FE">
        <w:t>-</w:t>
      </w:r>
      <w:r w:rsidR="00BC7711">
        <w:t>reaktionen</w:t>
      </w:r>
      <w:r w:rsidR="00504348">
        <w:t xml:space="preserve"> sind jedoch sehr wahrs</w:t>
      </w:r>
      <w:r w:rsidR="00BA688C">
        <w:t>cheinlich und können</w:t>
      </w:r>
      <w:r w:rsidR="00504348">
        <w:t xml:space="preserve"> Verä</w:t>
      </w:r>
      <w:r w:rsidR="00140BE2">
        <w:t>nderungen</w:t>
      </w:r>
      <w:r w:rsidR="00BC7711">
        <w:t xml:space="preserve"> der Tertiär- oder Quart</w:t>
      </w:r>
      <w:r w:rsidR="00504348">
        <w:t>ärstruktur von Proteinen</w:t>
      </w:r>
      <w:r w:rsidR="00BA688C">
        <w:t xml:space="preserve"> bewirken</w:t>
      </w:r>
      <w:r w:rsidR="00504348">
        <w:t xml:space="preserve">. Die Erhaltung der spezifischen und </w:t>
      </w:r>
      <w:r w:rsidR="00001916">
        <w:t>funktions</w:t>
      </w:r>
      <w:r w:rsidR="00416793">
        <w:t>-</w:t>
      </w:r>
      <w:r w:rsidR="00001916">
        <w:t>relevanten dreidimensionalen Struktur</w:t>
      </w:r>
      <w:r w:rsidR="00BA688C">
        <w:t>, der Proteinfaltung,</w:t>
      </w:r>
      <w:r w:rsidR="00001916">
        <w:t xml:space="preserve"> beruht auf elektrostatischen und hydrophoben Wechselwirkungen. Bereits leichte pH-Wert Verschiebungen können zu einer Verän</w:t>
      </w:r>
      <w:r w:rsidR="00140BE2">
        <w:t>derung der Ladung  funktioneller Gru</w:t>
      </w:r>
      <w:r w:rsidR="00DD19EF">
        <w:t>ppen e</w:t>
      </w:r>
      <w:r w:rsidR="00416793">
        <w:t>ines Proteins</w:t>
      </w:r>
      <w:r w:rsidR="00001916">
        <w:t xml:space="preserve"> führen und damit auf elektrostatische Wechselwirkungen beruhende Bindu</w:t>
      </w:r>
      <w:r w:rsidR="00BC7711">
        <w:t>ngen lösen oder andere neu</w:t>
      </w:r>
      <w:r w:rsidR="002578FE">
        <w:t xml:space="preserve"> knüpfen</w:t>
      </w:r>
      <w:r w:rsidR="00A91B20">
        <w:t xml:space="preserve">. Dies kann zur </w:t>
      </w:r>
      <w:r w:rsidR="00A30A45">
        <w:t>Denaturierung des Proteins führen, die reversibel oder</w:t>
      </w:r>
      <w:r w:rsidR="00D7338D">
        <w:t xml:space="preserve"> auch</w:t>
      </w:r>
      <w:r w:rsidR="00A30A45">
        <w:t xml:space="preserve"> irreversibel sein kann und in a</w:t>
      </w:r>
      <w:r w:rsidR="000A40D5">
        <w:t>ller Regel zu dessen Funktionsverlust</w:t>
      </w:r>
      <w:r w:rsidR="00993364">
        <w:t xml:space="preserve"> </w:t>
      </w:r>
      <w:r w:rsidR="00A30A45">
        <w:t>führt.</w:t>
      </w:r>
    </w:p>
    <w:p w14:paraId="6EDF0E2C" w14:textId="77777777" w:rsidR="00BC7711" w:rsidRDefault="00B43B33" w:rsidP="00C97F06">
      <w:r>
        <w:t>Die</w:t>
      </w:r>
      <w:r w:rsidR="00BC7711">
        <w:t xml:space="preserve"> Deamidierung von Seitenketten ist eine säurekatalysierte Hydrolyse und läuft bei</w:t>
      </w:r>
      <w:r w:rsidR="00993364">
        <w:t xml:space="preserve"> pH</w:t>
      </w:r>
      <w:r w:rsidR="000A40D5">
        <w:t>-Werten zwischen 1 und 2 ab, die im Ma</w:t>
      </w:r>
      <w:r w:rsidR="00DD19EF">
        <w:t>gen durchaus vorherrschen</w:t>
      </w:r>
      <w:r w:rsidR="00993364">
        <w:t xml:space="preserve"> (siehe</w:t>
      </w:r>
      <w:r w:rsidR="00BA688C">
        <w:t xml:space="preserve"> </w:t>
      </w:r>
      <w:r w:rsidR="00D16240">
        <w:fldChar w:fldCharType="begin"/>
      </w:r>
      <w:r w:rsidR="00BA688C">
        <w:instrText xml:space="preserve"> REF _Ref269744635 \h </w:instrText>
      </w:r>
      <w:r w:rsidR="00D16240">
        <w:fldChar w:fldCharType="separate"/>
      </w:r>
      <w:r w:rsidR="00711AB8" w:rsidRPr="000D3F0B">
        <w:t xml:space="preserve">Tabelle </w:t>
      </w:r>
      <w:r w:rsidR="00711AB8">
        <w:rPr>
          <w:noProof/>
        </w:rPr>
        <w:t>2</w:t>
      </w:r>
      <w:r w:rsidR="00D16240">
        <w:fldChar w:fldCharType="end"/>
      </w:r>
      <w:r w:rsidR="00993364">
        <w:t xml:space="preserve">). </w:t>
      </w:r>
      <w:r>
        <w:t>Proteine mit Glutamin</w:t>
      </w:r>
      <w:r w:rsidR="00140BE2">
        <w:t>- oder Asparagin-</w:t>
      </w:r>
      <w:r>
        <w:t>Seitenketten können dadurch</w:t>
      </w:r>
      <w:r w:rsidR="007E1C56">
        <w:t xml:space="preserve"> irreversibel</w:t>
      </w:r>
      <w:r>
        <w:t xml:space="preserve"> denaturiert und inaktiviert werden.</w:t>
      </w:r>
    </w:p>
    <w:p w14:paraId="7E2F9229" w14:textId="77777777" w:rsidR="004C64A5" w:rsidRPr="00C97F06" w:rsidRDefault="000A40D5" w:rsidP="00C97F06">
      <w:r>
        <w:t xml:space="preserve">Das vom Magen sezernierte </w:t>
      </w:r>
      <w:r w:rsidR="00B43B33">
        <w:t>Pepsin gehört zu den Endopeptidasen, d</w:t>
      </w:r>
      <w:r>
        <w:t>ie Peptidbindungen innerhalb der Proteinkette</w:t>
      </w:r>
      <w:r w:rsidR="00B43B33" w:rsidRPr="00B43B33">
        <w:t xml:space="preserve"> </w:t>
      </w:r>
      <w:r w:rsidR="00B43B33">
        <w:t>spalten.</w:t>
      </w:r>
      <w:r w:rsidR="005908CA">
        <w:t xml:space="preserve"> Es spaltet</w:t>
      </w:r>
      <w:r>
        <w:t xml:space="preserve"> </w:t>
      </w:r>
      <w:r w:rsidR="00B43B33">
        <w:t>sequenzspezifisch am N-Terminus von Phenylalanin</w:t>
      </w:r>
      <w:r w:rsidR="00971DD1">
        <w:t xml:space="preserve"> und wirkt wie bereits erwähnt nur im sauren Milieu des Magens</w:t>
      </w:r>
      <w:r w:rsidR="00B43B33">
        <w:t>.</w:t>
      </w:r>
    </w:p>
    <w:p w14:paraId="0207298E" w14:textId="77777777" w:rsidR="005F4F7F" w:rsidRDefault="00BC3359" w:rsidP="005F4F7F">
      <w:pPr>
        <w:pStyle w:val="berschrift4"/>
      </w:pPr>
      <w:bookmarkStart w:id="17" w:name="_Toc294380153"/>
      <w:r w:rsidRPr="00BC3359">
        <w:t>Verdauungsenzyme</w:t>
      </w:r>
      <w:bookmarkEnd w:id="17"/>
    </w:p>
    <w:p w14:paraId="67D1ED66" w14:textId="77777777" w:rsidR="00B43B33" w:rsidRPr="00B43B33" w:rsidRDefault="00C456CB" w:rsidP="00B43B33">
      <w:r>
        <w:t>In direktem</w:t>
      </w:r>
      <w:r w:rsidR="008C00EA">
        <w:t xml:space="preserve"> Anschluss an die </w:t>
      </w:r>
      <w:r w:rsidR="001B1341">
        <w:t>Magenpassage werden</w:t>
      </w:r>
      <w:r w:rsidR="005908CA">
        <w:t xml:space="preserve"> peroral</w:t>
      </w:r>
      <w:r w:rsidR="001B1341">
        <w:t xml:space="preserve"> applizierte</w:t>
      </w:r>
      <w:r w:rsidR="00EA454D">
        <w:t xml:space="preserve"> Wirkstoffe im Duodenum mit den Verdauu</w:t>
      </w:r>
      <w:r w:rsidR="0082138A">
        <w:t>ngs</w:t>
      </w:r>
      <w:r w:rsidR="008C00EA">
        <w:t>enzymen des</w:t>
      </w:r>
      <w:r w:rsidR="00EA454D">
        <w:t xml:space="preserve"> Pankreas</w:t>
      </w:r>
      <w:r w:rsidR="0082138A">
        <w:t xml:space="preserve"> und mit Galle</w:t>
      </w:r>
      <w:r w:rsidR="00EA454D">
        <w:t xml:space="preserve"> vermischt. </w:t>
      </w:r>
      <w:r w:rsidR="005C7456">
        <w:t xml:space="preserve">Eine Vielzahl unterschiedlicher </w:t>
      </w:r>
      <w:r w:rsidR="008A37D5">
        <w:t>Peptidasen spaltet</w:t>
      </w:r>
      <w:r w:rsidR="00783618">
        <w:t xml:space="preserve"> oral applizierte Peptide und Proteine hydrolytisch in</w:t>
      </w:r>
      <w:r w:rsidR="00BA688C">
        <w:t xml:space="preserve"> kleinere Pept</w:t>
      </w:r>
      <w:r w:rsidR="002B3D11">
        <w:t>idf</w:t>
      </w:r>
      <w:r w:rsidR="00BA688C">
        <w:t>ragmente wie</w:t>
      </w:r>
      <w:r w:rsidR="00783618">
        <w:t xml:space="preserve"> Di- und Tripeptide oder </w:t>
      </w:r>
      <w:r w:rsidR="008B58DA">
        <w:t xml:space="preserve">einzelne </w:t>
      </w:r>
      <w:r w:rsidR="00783618">
        <w:t xml:space="preserve">Aminosäuren, die </w:t>
      </w:r>
      <w:r w:rsidR="005C7456">
        <w:t xml:space="preserve">dann </w:t>
      </w:r>
      <w:r w:rsidR="00783618">
        <w:t>von den Entero</w:t>
      </w:r>
      <w:r w:rsidR="00B9313A">
        <w:t xml:space="preserve">zyten resorbiert werden </w:t>
      </w:r>
      <w:r w:rsidR="005C7456">
        <w:t>können. Die Enzyme spalten Peptidbindungen an ganz spezifische</w:t>
      </w:r>
      <w:r w:rsidR="000F378C">
        <w:t>n Stellen innerhalb der Proteinketten</w:t>
      </w:r>
      <w:r w:rsidR="00F9497E">
        <w:t xml:space="preserve"> (Endo</w:t>
      </w:r>
      <w:r w:rsidR="005C7456">
        <w:t>peptidasen) bz</w:t>
      </w:r>
      <w:r w:rsidR="000F378C">
        <w:t>w. an deren Enden</w:t>
      </w:r>
      <w:r w:rsidR="005C7456">
        <w:t xml:space="preserve"> (Exopeptidasen). </w:t>
      </w:r>
      <w:r w:rsidR="00F9497E">
        <w:t>Die relevantesten Pankreas-Proteasen sind die Serin-Endopeptidasen Trypsin, Chymotrypsin und Elastase sowie die Exopeptidasen Carboxypeptidase A und B.</w:t>
      </w:r>
      <w:r w:rsidR="002572EA">
        <w:t xml:space="preserve"> </w:t>
      </w:r>
      <w:r w:rsidR="002572EA">
        <w:lastRenderedPageBreak/>
        <w:t xml:space="preserve">Trypsin spaltet sehr selektiv an die basischen Aminosäuren Arginin und Lysin angrenzende Bindungen. Chymoptrypsin ist etwas weniger spezifisch und spaltet bevorzugt an hydrophoben Aminosäuren wie Phenylalanin, Tyrosin und Tryptophan. Die geringste Selektivität in dieser Reihe besitzt die Elastase. Sie spaltet </w:t>
      </w:r>
      <w:r w:rsidR="00D42EF7">
        <w:t>an aliphatische</w:t>
      </w:r>
      <w:r w:rsidR="00841D8D">
        <w:t xml:space="preserve">n und unverzweigten Aminosäuren wie Valin, Alanin, Leucin und Isoleucin. </w:t>
      </w:r>
      <w:r w:rsidR="00736082">
        <w:t>Die Spaltprodukte der Endopeptidasen stellen hervorragende Substrate für die Exopeptidasen dar. Eine Spaltung durch Trypsin hinterlässt immer ein carboxy-terminales Lysin oder Arginin, das durch di</w:t>
      </w:r>
      <w:r w:rsidR="001B1341">
        <w:t>e Carboxypeptidase B abgespaltet</w:t>
      </w:r>
      <w:r w:rsidR="00736082">
        <w:t xml:space="preserve"> werden kann. Eine ähnliche Beziehung besteht zwischen Chymopt</w:t>
      </w:r>
      <w:r w:rsidR="001D1096">
        <w:t>rypsin und Carboxypeptidase A: D</w:t>
      </w:r>
      <w:r w:rsidR="00736082">
        <w:t>ie nach einer Spaltung durch Chymoptrypsin resultierenden carboxy-terminalen aromatischen Aminosäuren werden durch Carboxypeptidase A abgespalten.</w:t>
      </w:r>
      <w:r w:rsidR="0085137F">
        <w:t xml:space="preserve"> Zwischen 94 und 98% aller </w:t>
      </w:r>
      <w:r w:rsidR="00C34E32">
        <w:t xml:space="preserve">natürlichen </w:t>
      </w:r>
      <w:r w:rsidR="0085137F">
        <w:t>Proteine können somit effizient im Dünndarm verdaut und resorbiert werden</w:t>
      </w:r>
      <w:bookmarkStart w:id="18" w:name="_Ref271234113"/>
      <w:r w:rsidR="0085137F">
        <w:rPr>
          <w:rStyle w:val="Endnotenzeichen"/>
        </w:rPr>
        <w:endnoteReference w:id="19"/>
      </w:r>
      <w:bookmarkEnd w:id="18"/>
      <w:r w:rsidR="0085137F">
        <w:t>.</w:t>
      </w:r>
    </w:p>
    <w:p w14:paraId="7B8D4077" w14:textId="77777777" w:rsidR="005D4F7B" w:rsidRDefault="000C39B6" w:rsidP="00010404">
      <w:pPr>
        <w:pStyle w:val="berschrift4"/>
      </w:pPr>
      <w:bookmarkStart w:id="19" w:name="_Toc294380154"/>
      <w:r>
        <w:t>Membran</w:t>
      </w:r>
      <w:r w:rsidR="00BC3359" w:rsidRPr="00BC3359">
        <w:t>assoziierte Bürstensaumenzyme</w:t>
      </w:r>
      <w:bookmarkEnd w:id="19"/>
    </w:p>
    <w:p w14:paraId="74EF00F9" w14:textId="77777777" w:rsidR="001B1341" w:rsidRDefault="00B00E08" w:rsidP="0085137F">
      <w:r>
        <w:t>Die durch Mikrovilli ausgestülpte Membran der Enterozyten wird auch als Bürstensaum bezeichnet. Di</w:t>
      </w:r>
      <w:r w:rsidR="00416793">
        <w:t>e Membran des Bürstensaumes weis</w:t>
      </w:r>
      <w:r>
        <w:t xml:space="preserve">t durch </w:t>
      </w:r>
      <w:r w:rsidR="00416793">
        <w:t>Einlagerung einer Vielzahl von</w:t>
      </w:r>
      <w:r w:rsidR="005C47C6">
        <w:t xml:space="preserve"> Enzyme</w:t>
      </w:r>
      <w:r w:rsidR="00416793">
        <w:t>n</w:t>
      </w:r>
      <w:r w:rsidR="005C47C6">
        <w:t>, Transporter</w:t>
      </w:r>
      <w:r w:rsidR="00416793">
        <w:t>n</w:t>
      </w:r>
      <w:r w:rsidR="005C47C6">
        <w:t xml:space="preserve"> und Rezeptoren eine hohe metabolische Aktivität auf. Unter den Bürstensaumenzymen befindet</w:t>
      </w:r>
      <w:r w:rsidR="00203349">
        <w:t xml:space="preserve"> sich auch eine Reihe</w:t>
      </w:r>
      <w:r w:rsidR="00D93F98">
        <w:t xml:space="preserve"> peptid</w:t>
      </w:r>
      <w:r w:rsidR="00203349">
        <w:t>spaltender Glycoproteine</w:t>
      </w:r>
      <w:r w:rsidR="005C47C6">
        <w:t xml:space="preserve">, die fest mit der Membran assoziiert sind und deren aktives Ende in das Lumen des Dünndarms ragt. </w:t>
      </w:r>
      <w:r w:rsidR="000C39B6">
        <w:t>Die membranassoziierte Verdauung am Bürstensaum ist zentraler Bestandteil der Eiweißverdauung und schließt s</w:t>
      </w:r>
      <w:r w:rsidR="001B1341">
        <w:t>ich der</w:t>
      </w:r>
      <w:r w:rsidR="000C39B6">
        <w:t xml:space="preserve"> luminale</w:t>
      </w:r>
      <w:r w:rsidR="001B1341">
        <w:t>n</w:t>
      </w:r>
      <w:r w:rsidR="000C39B6">
        <w:t xml:space="preserve"> Verdauung durch die Pankreasenzyme an. </w:t>
      </w:r>
      <w:r w:rsidR="001B1341">
        <w:t>Als Substrate dienen Oligopeptide</w:t>
      </w:r>
      <w:r w:rsidR="005908CA">
        <w:t xml:space="preserve"> (aus maximal 10 Aminosäuren bestehend)</w:t>
      </w:r>
      <w:r w:rsidR="001B1341">
        <w:t>, die zu resorbierbaren Di- und Tripeptiden und Aminosäuren umgesetzt werden.</w:t>
      </w:r>
    </w:p>
    <w:p w14:paraId="10055875" w14:textId="77777777" w:rsidR="00163573" w:rsidRPr="00AD66C3" w:rsidRDefault="001A4967" w:rsidP="00163573">
      <w:r>
        <w:t xml:space="preserve">Neben einigen Carboxypeptidasen und Endopeptidasen existiert eine Reihe von Peptidasen, die ausgehend vom amino-terminalen Ende Aminosäuren von Peptiden abspalten. </w:t>
      </w:r>
      <w:r w:rsidR="005C47C6">
        <w:t xml:space="preserve">Zu diesen gehört die sehr häufig vorkommende Aminooligopeptidase oder Aminopeptidase N, die </w:t>
      </w:r>
      <w:r w:rsidR="005F4C5A">
        <w:t>weitgehend unspezifisch Aminosäuren von Oligopeptiden mit freier Aminogruppe abspaltet, sofern sie L-konfiguriert sind. Eine Übersicht über weitere membranassoziierte Bürstensaumenzyme, deren Substrate und spezifische Spa</w:t>
      </w:r>
      <w:r w:rsidR="00AD66C3">
        <w:t>ltstellen wurde</w:t>
      </w:r>
      <w:r w:rsidR="00203349">
        <w:t xml:space="preserve"> im Jahre 1997</w:t>
      </w:r>
      <w:r w:rsidR="00382DFE">
        <w:t xml:space="preserve"> von </w:t>
      </w:r>
      <w:r w:rsidR="000C39B6">
        <w:t>Langguth et al.</w:t>
      </w:r>
      <w:r w:rsidR="00203349">
        <w:t xml:space="preserve"> </w:t>
      </w:r>
      <w:r w:rsidR="002B3D11">
        <w:t>veröffentlicht</w:t>
      </w:r>
      <w:r w:rsidR="00D16240">
        <w:fldChar w:fldCharType="begin"/>
      </w:r>
      <w:r w:rsidR="000C39B6">
        <w:instrText xml:space="preserve"> NOTEREF _Ref271234113 \f \h </w:instrText>
      </w:r>
      <w:r w:rsidR="00D16240">
        <w:fldChar w:fldCharType="separate"/>
      </w:r>
      <w:r w:rsidR="00711AB8" w:rsidRPr="00711AB8">
        <w:rPr>
          <w:rStyle w:val="Endnotenzeichen"/>
        </w:rPr>
        <w:t>19</w:t>
      </w:r>
      <w:r w:rsidR="00D16240">
        <w:fldChar w:fldCharType="end"/>
      </w:r>
      <w:r w:rsidR="005F4C5A">
        <w:t>.</w:t>
      </w:r>
    </w:p>
    <w:p w14:paraId="381F27B1" w14:textId="77777777" w:rsidR="0085137F" w:rsidRDefault="00DA339F" w:rsidP="0085137F">
      <w:pPr>
        <w:pStyle w:val="berschrift4"/>
      </w:pPr>
      <w:bookmarkStart w:id="20" w:name="_Toc294380155"/>
      <w:r>
        <w:t xml:space="preserve">Intestinaler </w:t>
      </w:r>
      <w:r w:rsidR="0085137F" w:rsidRPr="00BC3359">
        <w:t>Mukus</w:t>
      </w:r>
      <w:bookmarkEnd w:id="20"/>
    </w:p>
    <w:p w14:paraId="1E428B11" w14:textId="77777777" w:rsidR="00016C66" w:rsidRDefault="00B85872" w:rsidP="000C39B6">
      <w:r>
        <w:t>Zum Schutz der Epithelzellen vor chemischen und mechanischen Einwirkungen ist die innere Darmoberfläche mit einer 100-500</w:t>
      </w:r>
      <w:r w:rsidR="0080406C">
        <w:t xml:space="preserve"> </w:t>
      </w:r>
      <w:r w:rsidR="00AD1584">
        <w:t>µm dicken Schleimschicht</w:t>
      </w:r>
      <w:r>
        <w:t xml:space="preserve"> (lat. </w:t>
      </w:r>
      <w:r>
        <w:rPr>
          <w:i/>
        </w:rPr>
        <w:t>mucus</w:t>
      </w:r>
      <w:r>
        <w:t>) ausgekleidet</w:t>
      </w:r>
      <w:bookmarkStart w:id="21" w:name="_Ref286185274"/>
      <w:r w:rsidR="00AD1584">
        <w:rPr>
          <w:rStyle w:val="Endnotenzeichen"/>
        </w:rPr>
        <w:endnoteReference w:id="20"/>
      </w:r>
      <w:bookmarkEnd w:id="21"/>
      <w:r>
        <w:t>.</w:t>
      </w:r>
      <w:r w:rsidR="00365666">
        <w:t xml:space="preserve"> </w:t>
      </w:r>
      <w:r w:rsidR="00016C66">
        <w:t>Bevor eine Substanz über die Darmschleimhaut</w:t>
      </w:r>
      <w:r w:rsidR="009E5BE5">
        <w:t xml:space="preserve"> resorbiert werden kann, muss sie</w:t>
      </w:r>
      <w:r w:rsidR="00FC1853">
        <w:t xml:space="preserve"> zunächst die</w:t>
      </w:r>
      <w:r w:rsidR="009E5BE5">
        <w:t xml:space="preserve"> Mukusschicht passieren.</w:t>
      </w:r>
    </w:p>
    <w:p w14:paraId="79DDD5E0" w14:textId="77777777" w:rsidR="000C39B6" w:rsidRDefault="009E5BE5" w:rsidP="000C39B6">
      <w:r>
        <w:lastRenderedPageBreak/>
        <w:t>Die</w:t>
      </w:r>
      <w:r w:rsidR="00FC1853">
        <w:t>se</w:t>
      </w:r>
      <w:r w:rsidR="00365666">
        <w:t xml:space="preserve"> zähflüssige und klebrige organische Ab</w:t>
      </w:r>
      <w:r w:rsidR="00C34E32">
        <w:t xml:space="preserve">sonderung enthält vor allem </w:t>
      </w:r>
      <w:r w:rsidR="00365666">
        <w:t>sogenan</w:t>
      </w:r>
      <w:r w:rsidR="00C34E32">
        <w:t>nte</w:t>
      </w:r>
      <w:r w:rsidR="00016C66">
        <w:t xml:space="preserve"> Mucine als strukturgebende</w:t>
      </w:r>
      <w:r w:rsidR="00365666">
        <w:t xml:space="preserve"> Element</w:t>
      </w:r>
      <w:r w:rsidR="006771F3">
        <w:t>e</w:t>
      </w:r>
      <w:r w:rsidR="00365666">
        <w:t>. Mucine sind Glycoproteine und demzufolge Makromoleküle, die aus einer zentralen Proteinkette mit langen Polysaccharid-Seitenketten bestehen.</w:t>
      </w:r>
      <w:r w:rsidR="00C14A24">
        <w:t xml:space="preserve"> </w:t>
      </w:r>
      <w:r w:rsidR="00BE136E">
        <w:t>Es existiert eine Vielzahl unterschiedlicher Mucin-Typen, die sich jeweils in ihren Eige</w:t>
      </w:r>
      <w:r w:rsidR="00805349">
        <w:t>nschaften untersch</w:t>
      </w:r>
      <w:r w:rsidR="000F6C75">
        <w:t>eiden. In Abhängigkeit von der Zusammensetzung des Mucin-Gemisches kann beispielsweise die Viskosität des Mukus im Magen-Darm-Trakt gezielt reguliert werden</w:t>
      </w:r>
      <w:r w:rsidR="00BE136E">
        <w:t>.</w:t>
      </w:r>
      <w:r w:rsidR="0062208E">
        <w:t xml:space="preserve"> Die Mucine werden</w:t>
      </w:r>
      <w:r w:rsidR="006C3ABC">
        <w:t xml:space="preserve"> funktional i</w:t>
      </w:r>
      <w:r w:rsidR="0062208E">
        <w:t>n zwei Gruppen eingeteilt</w:t>
      </w:r>
      <w:r w:rsidR="006C3ABC">
        <w:t xml:space="preserve">, in membrangebundene und </w:t>
      </w:r>
      <w:r w:rsidR="0062208E">
        <w:t xml:space="preserve">in </w:t>
      </w:r>
      <w:r w:rsidR="006C3ABC">
        <w:t>abge</w:t>
      </w:r>
      <w:r w:rsidR="0062208E">
        <w:t>sonderte</w:t>
      </w:r>
      <w:r w:rsidR="006C3ABC">
        <w:t>. Den größten Anteil an inte</w:t>
      </w:r>
      <w:r w:rsidR="0062208E">
        <w:t>stinal abgesonderten Mucinen bildet</w:t>
      </w:r>
      <w:r w:rsidR="006C3ABC">
        <w:t xml:space="preserve"> der MUC2-Typ</w:t>
      </w:r>
      <w:r w:rsidR="00FC1853">
        <w:rPr>
          <w:rStyle w:val="Endnotenzeichen"/>
        </w:rPr>
        <w:endnoteReference w:id="21"/>
      </w:r>
      <w:r w:rsidR="006C3ABC">
        <w:t>. MUC2 besitzt die Fähigkeit über Disulfidbrücken Quervernetzungen zu bilden und dadurch ein Netzwerk von immenser Größe auszubilden, da</w:t>
      </w:r>
      <w:r w:rsidR="0062208E">
        <w:t>s gegen einen Abbau durch Verdauungsenzyme resistent ist. Die Polysaccharid-Seitenketten stellen den größten Massenanteil des Mucins dar. Durch Sialyl- oder Sulfat</w:t>
      </w:r>
      <w:r w:rsidR="00117243">
        <w:t>gruppen tragen diese</w:t>
      </w:r>
      <w:r w:rsidR="00622BDB">
        <w:t xml:space="preserve"> häufig eine negative Ladung. Ihrem anionischen Charakter sowie den vielzähligen Hydroxylgruppen verdanken die Mucine ihre Fähigkeit große Mengen Wasser zu binden, eine Voraussetzung zur Bildung einer gelartigen Konsistenz.</w:t>
      </w:r>
    </w:p>
    <w:p w14:paraId="4E62F640" w14:textId="77777777" w:rsidR="00622BDB" w:rsidRPr="00B85872" w:rsidRDefault="00622BDB" w:rsidP="000C39B6">
      <w:r>
        <w:t>Die Durchdringung dieses stark anionischen Gelnetzwerkes stellt auf der einen Seite eine Herausforderung für Peptid- und Proteinw</w:t>
      </w:r>
      <w:r w:rsidR="00B86C0D">
        <w:t>irkstoffe dar. Auf der anderen Seite kann</w:t>
      </w:r>
      <w:r>
        <w:t xml:space="preserve"> der Mukus aufgrund seiner adhäsive</w:t>
      </w:r>
      <w:r w:rsidR="00B86C0D">
        <w:t>n Eigenschaften allerdings auch zur Verbesserung der Resorption genutzt werden, indem der</w:t>
      </w:r>
      <w:r w:rsidR="00C34E32">
        <w:t xml:space="preserve"> Kontakt des Arzneimittels</w:t>
      </w:r>
      <w:r>
        <w:t xml:space="preserve"> zum E</w:t>
      </w:r>
      <w:r w:rsidR="00B86C0D">
        <w:t>pithel intensiviert und verlängert wird</w:t>
      </w:r>
      <w:r w:rsidR="001D1096">
        <w:t>. Auf diesen Aspekt</w:t>
      </w:r>
      <w:r w:rsidR="006771F3">
        <w:t xml:space="preserve"> wird in Abschnitt</w:t>
      </w:r>
      <w:r>
        <w:t xml:space="preserve"> </w:t>
      </w:r>
      <w:r w:rsidR="00D16240">
        <w:fldChar w:fldCharType="begin"/>
      </w:r>
      <w:r>
        <w:instrText xml:space="preserve"> REF _Ref271301444 \r \h </w:instrText>
      </w:r>
      <w:r w:rsidR="00D16240">
        <w:fldChar w:fldCharType="separate"/>
      </w:r>
      <w:r w:rsidR="00711AB8">
        <w:t>1.6.3</w:t>
      </w:r>
      <w:r w:rsidR="00D16240">
        <w:fldChar w:fldCharType="end"/>
      </w:r>
      <w:r>
        <w:t xml:space="preserve"> näher eingegangen.</w:t>
      </w:r>
    </w:p>
    <w:p w14:paraId="458DC31A" w14:textId="77777777" w:rsidR="00391870" w:rsidRDefault="00BC3359" w:rsidP="005F4F7F">
      <w:pPr>
        <w:pStyle w:val="berschrift4"/>
      </w:pPr>
      <w:bookmarkStart w:id="22" w:name="_Toc294380156"/>
      <w:r w:rsidRPr="00BC3359">
        <w:t>Enterozytenmembran</w:t>
      </w:r>
      <w:bookmarkEnd w:id="22"/>
    </w:p>
    <w:p w14:paraId="6A828BB8" w14:textId="77777777" w:rsidR="004549B1" w:rsidRDefault="007B1A3B" w:rsidP="00622BDB">
      <w:r>
        <w:t>Die apikale sowie die basolaterale Zellm</w:t>
      </w:r>
      <w:r w:rsidR="003426AF">
        <w:t>embran der Darmepithelzellen sind</w:t>
      </w:r>
      <w:r>
        <w:t xml:space="preserve"> aus einer Lipiddoppelschicht aufgebaut. Zur systemischen Aufnahme von Wirkstoffen auf transzellulärem Weg muss </w:t>
      </w:r>
      <w:r w:rsidR="00B86C0D">
        <w:t>diese Diffusionsbarriere folglich</w:t>
      </w:r>
      <w:r>
        <w:t xml:space="preserve"> zwei Mal überwunden werden.</w:t>
      </w:r>
    </w:p>
    <w:p w14:paraId="2D36F26E" w14:textId="77777777" w:rsidR="00622BDB" w:rsidRDefault="00952B39" w:rsidP="00622BDB">
      <w:r>
        <w:t>Die Membran wird von</w:t>
      </w:r>
      <w:r w:rsidR="004549B1">
        <w:t xml:space="preserve"> amphiphilen Lipiden gebildet, die einen hydrophilen und einen hydro</w:t>
      </w:r>
      <w:r w:rsidR="00D37849">
        <w:t>phoben Molekülteil besitzen. Den</w:t>
      </w:r>
      <w:r w:rsidR="004549B1">
        <w:t xml:space="preserve"> </w:t>
      </w:r>
      <w:r w:rsidR="00D37849">
        <w:t>größten A</w:t>
      </w:r>
      <w:r w:rsidR="00662794">
        <w:t>ntei</w:t>
      </w:r>
      <w:r w:rsidR="00A311AF">
        <w:t>l an Membranlipiden bilden</w:t>
      </w:r>
      <w:r w:rsidR="006771F3">
        <w:t xml:space="preserve"> </w:t>
      </w:r>
      <w:r w:rsidR="00D37849">
        <w:t xml:space="preserve">Phospholipide wie beispielsweise </w:t>
      </w:r>
      <w:r w:rsidR="002E7B04">
        <w:t xml:space="preserve">Phosphatidylcholin, </w:t>
      </w:r>
      <w:r w:rsidR="006771F3">
        <w:t xml:space="preserve">das </w:t>
      </w:r>
      <w:r w:rsidR="00625C22">
        <w:t>auc</w:t>
      </w:r>
      <w:r w:rsidR="002E7B04">
        <w:t xml:space="preserve">h als </w:t>
      </w:r>
      <w:r w:rsidR="00D37849">
        <w:t>Lecithin</w:t>
      </w:r>
      <w:r w:rsidR="00625C22">
        <w:t xml:space="preserve"> bezeichnet</w:t>
      </w:r>
      <w:r w:rsidR="006771F3">
        <w:t xml:space="preserve"> wird. Die</w:t>
      </w:r>
      <w:r w:rsidR="00E56BE0">
        <w:t xml:space="preserve"> chemische Struktur </w:t>
      </w:r>
      <w:r w:rsidR="006771F3">
        <w:t xml:space="preserve">von Lecithin ist </w:t>
      </w:r>
      <w:r w:rsidR="00E56BE0">
        <w:t xml:space="preserve">in </w:t>
      </w:r>
      <w:r w:rsidR="00D16240">
        <w:fldChar w:fldCharType="begin"/>
      </w:r>
      <w:r w:rsidR="00C80B8F">
        <w:instrText xml:space="preserve"> REF _Ref271304651 \h </w:instrText>
      </w:r>
      <w:r w:rsidR="00D16240">
        <w:fldChar w:fldCharType="separate"/>
      </w:r>
      <w:r w:rsidR="00711AB8" w:rsidRPr="00D37849">
        <w:t xml:space="preserve">Abbildung </w:t>
      </w:r>
      <w:r w:rsidR="00711AB8">
        <w:rPr>
          <w:noProof/>
        </w:rPr>
        <w:t>2</w:t>
      </w:r>
      <w:r w:rsidR="00D16240">
        <w:fldChar w:fldCharType="end"/>
      </w:r>
      <w:r w:rsidR="006771F3">
        <w:t xml:space="preserve"> dargestellt</w:t>
      </w:r>
      <w:r w:rsidR="00D37849">
        <w:t xml:space="preserve">. </w:t>
      </w:r>
      <w:r w:rsidR="004549B1">
        <w:t>In polaren Lösungsmit</w:t>
      </w:r>
      <w:r w:rsidR="00A311AF">
        <w:t>teln zeigen die</w:t>
      </w:r>
      <w:r w:rsidR="00935ADC">
        <w:t xml:space="preserve"> hydrophobe</w:t>
      </w:r>
      <w:r w:rsidR="00A311AF">
        <w:t>n Schwä</w:t>
      </w:r>
      <w:r w:rsidR="00935ADC">
        <w:t>nz</w:t>
      </w:r>
      <w:r w:rsidR="00A311AF">
        <w:t>e</w:t>
      </w:r>
      <w:r w:rsidR="004549B1">
        <w:t xml:space="preserve"> </w:t>
      </w:r>
      <w:r w:rsidR="00A311AF">
        <w:t xml:space="preserve">der Phospholipide </w:t>
      </w:r>
      <w:r w:rsidR="004549B1">
        <w:t>nach</w:t>
      </w:r>
      <w:r w:rsidR="00A311AF">
        <w:t xml:space="preserve"> innen und die</w:t>
      </w:r>
      <w:r w:rsidR="00935ADC">
        <w:t xml:space="preserve"> hydrophile</w:t>
      </w:r>
      <w:r w:rsidR="00A311AF">
        <w:t>n Kö</w:t>
      </w:r>
      <w:r w:rsidR="00935ADC">
        <w:t>pf</w:t>
      </w:r>
      <w:r w:rsidR="00A311AF">
        <w:t>e</w:t>
      </w:r>
      <w:r w:rsidR="004549B1">
        <w:t xml:space="preserve"> nach außen, sodass </w:t>
      </w:r>
      <w:r w:rsidR="00D37849">
        <w:t xml:space="preserve">sich eine Doppelschicht </w:t>
      </w:r>
      <w:r w:rsidR="006771F3">
        <w:t>aus</w:t>
      </w:r>
      <w:r w:rsidR="00D37849">
        <w:t>bildet.</w:t>
      </w:r>
      <w:r w:rsidR="00935ADC">
        <w:t xml:space="preserve"> Kleinere</w:t>
      </w:r>
      <w:r w:rsidR="00163573">
        <w:t xml:space="preserve"> und lipophile Moleküle können </w:t>
      </w:r>
      <w:r w:rsidR="00935ADC">
        <w:t>ungehindert durch die Membran hindurch diffu</w:t>
      </w:r>
      <w:r w:rsidR="006771F3">
        <w:t xml:space="preserve">ndieren, was </w:t>
      </w:r>
      <w:r w:rsidR="00662794">
        <w:t>für die meisten Peptide und Proteine aufgrund ihrer Größe und ihrer guten Wasserlöslichkeit</w:t>
      </w:r>
      <w:r w:rsidR="00935ADC">
        <w:t xml:space="preserve"> jedoch nicht möglich</w:t>
      </w:r>
      <w:r w:rsidR="006771F3">
        <w:t xml:space="preserve"> ist</w:t>
      </w:r>
      <w:r w:rsidR="00935ADC">
        <w:t>.</w:t>
      </w:r>
      <w:r w:rsidR="00662794">
        <w:t xml:space="preserve"> Zur Durchdringung des lipophilen Membrankernes müsste zunächst die hohe Desolvatisierungsenergie </w:t>
      </w:r>
      <w:r w:rsidR="00A311AF">
        <w:t xml:space="preserve">der hydratisierten Moleküle </w:t>
      </w:r>
      <w:r w:rsidR="00662794">
        <w:t>aufg</w:t>
      </w:r>
      <w:r w:rsidR="006771F3">
        <w:t xml:space="preserve">ebracht werden. Eine weitere </w:t>
      </w:r>
      <w:r w:rsidR="006771F3">
        <w:lastRenderedPageBreak/>
        <w:t>Vorauss</w:t>
      </w:r>
      <w:r w:rsidR="00A311AF">
        <w:t>etzung zur Passage wäre zudem die</w:t>
      </w:r>
      <w:r w:rsidR="006771F3">
        <w:t xml:space="preserve"> Aufnahme der Moleküle in die lipophile</w:t>
      </w:r>
      <w:r w:rsidR="00255D02">
        <w:t xml:space="preserve"> Phase</w:t>
      </w:r>
      <w:r w:rsidR="006771F3">
        <w:t xml:space="preserve"> der Membran</w:t>
      </w:r>
      <w:r w:rsidR="00255D02">
        <w:t>. Be</w:t>
      </w:r>
      <w:r w:rsidR="00A311AF">
        <w:t>ides ist nahezu ausgeschlossen.</w:t>
      </w:r>
    </w:p>
    <w:p w14:paraId="2FFF1E9C" w14:textId="77777777" w:rsidR="003426AF" w:rsidRDefault="003426AF" w:rsidP="003426AF">
      <w:pPr>
        <w:spacing w:after="0"/>
      </w:pPr>
    </w:p>
    <w:p w14:paraId="6946066F" w14:textId="77777777" w:rsidR="00D37849" w:rsidRDefault="00D37849" w:rsidP="00DA5F05">
      <w:pPr>
        <w:jc w:val="center"/>
      </w:pPr>
      <w:r>
        <w:rPr>
          <w:rFonts w:eastAsia="Times New Roman" w:cs="Times New Roman"/>
          <w:noProof/>
          <w:lang w:eastAsia="de-DE"/>
        </w:rPr>
        <w:drawing>
          <wp:inline distT="0" distB="0" distL="0" distR="0" wp14:anchorId="59476CA2" wp14:editId="241F61DD">
            <wp:extent cx="4630141" cy="1331401"/>
            <wp:effectExtent l="0" t="0" r="0" b="2540"/>
            <wp:docPr id="1024" name="object_1" descr="http://www.chemgapedia.de/vsengine/media/vsc/de/ch/4/cm/carbonyl/bilder/lecith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_1" descr="http://www.chemgapedia.de/vsengine/media/vsc/de/ch/4/cm/carbonyl/bilder/lecithin.gif"/>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635761" cy="1333017"/>
                    </a:xfrm>
                    <a:prstGeom prst="rect">
                      <a:avLst/>
                    </a:prstGeom>
                    <a:noFill/>
                    <a:ln>
                      <a:noFill/>
                    </a:ln>
                  </pic:spPr>
                </pic:pic>
              </a:graphicData>
            </a:graphic>
          </wp:inline>
        </w:drawing>
      </w:r>
    </w:p>
    <w:p w14:paraId="3E71C044" w14:textId="77777777" w:rsidR="00952B39" w:rsidRDefault="00D37849" w:rsidP="00B240B0">
      <w:pPr>
        <w:pStyle w:val="Beschriftung"/>
        <w:ind w:firstLine="0"/>
        <w:rPr>
          <w:b w:val="0"/>
        </w:rPr>
      </w:pPr>
      <w:bookmarkStart w:id="23" w:name="_Ref271304651"/>
      <w:r w:rsidRPr="00D37849">
        <w:t xml:space="preserve">Abbildung </w:t>
      </w:r>
      <w:fldSimple w:instr=" SEQ Abbildung \* ARABIC ">
        <w:r w:rsidR="00711AB8">
          <w:rPr>
            <w:noProof/>
          </w:rPr>
          <w:t>2</w:t>
        </w:r>
      </w:fldSimple>
      <w:bookmarkEnd w:id="23"/>
      <w:r>
        <w:rPr>
          <w:b w:val="0"/>
        </w:rPr>
        <w:t xml:space="preserve"> Chemische Struktur des membranbildenden Phospholipids Lecithin (Phosphatidylcholin</w:t>
      </w:r>
      <w:r w:rsidR="00203349">
        <w:rPr>
          <w:b w:val="0"/>
        </w:rPr>
        <w:t>), bestehend aus einem Glycerolr</w:t>
      </w:r>
      <w:r>
        <w:rPr>
          <w:b w:val="0"/>
        </w:rPr>
        <w:t>est mit zwei verester</w:t>
      </w:r>
      <w:r w:rsidR="00203349">
        <w:rPr>
          <w:b w:val="0"/>
        </w:rPr>
        <w:t>ten Fettsäuren und dem Alkoholr</w:t>
      </w:r>
      <w:r>
        <w:rPr>
          <w:b w:val="0"/>
        </w:rPr>
        <w:t>est Chol</w:t>
      </w:r>
      <w:r w:rsidR="00203349">
        <w:rPr>
          <w:b w:val="0"/>
        </w:rPr>
        <w:t>in, der über eine Phosphodiesterbindung</w:t>
      </w:r>
      <w:r>
        <w:rPr>
          <w:b w:val="0"/>
        </w:rPr>
        <w:t xml:space="preserve"> an die dritte Alkoholgruppe des Glycerols gebunden ist</w:t>
      </w:r>
      <w:r w:rsidR="00203349">
        <w:rPr>
          <w:b w:val="0"/>
        </w:rPr>
        <w:t>.</w:t>
      </w:r>
    </w:p>
    <w:p w14:paraId="2CE9D8C8" w14:textId="77777777" w:rsidR="003426AF" w:rsidRPr="003426AF" w:rsidRDefault="003426AF" w:rsidP="003426AF">
      <w:pPr>
        <w:spacing w:after="0"/>
      </w:pPr>
    </w:p>
    <w:p w14:paraId="222E2F99" w14:textId="77777777" w:rsidR="00255D02" w:rsidRPr="00255D02" w:rsidRDefault="00255D02" w:rsidP="00255D02">
      <w:r>
        <w:t xml:space="preserve">In die Lipiddoppelschicht sind verschiedene Arten von Membranproteinen wie beispielsweise Transporter oder </w:t>
      </w:r>
      <w:r w:rsidR="00E56BE0">
        <w:t>Ionenkanäle eingelagert, welche die</w:t>
      </w:r>
      <w:r>
        <w:t xml:space="preserve"> Aufnahme bestimmter Moleküle, die nicht </w:t>
      </w:r>
      <w:r w:rsidR="00A311AF">
        <w:t xml:space="preserve">ohne weiteres </w:t>
      </w:r>
      <w:r>
        <w:t>durch die Membran hindurch diff</w:t>
      </w:r>
      <w:r w:rsidR="00E56BE0">
        <w:t xml:space="preserve">undieren können, </w:t>
      </w:r>
      <w:r w:rsidR="00A311AF">
        <w:t xml:space="preserve">dennoch </w:t>
      </w:r>
      <w:r w:rsidR="00E56BE0">
        <w:t>ermöglichen</w:t>
      </w:r>
      <w:r>
        <w:t xml:space="preserve">. </w:t>
      </w:r>
      <w:r w:rsidR="00952B39">
        <w:t xml:space="preserve">In Abschnitt </w:t>
      </w:r>
      <w:r w:rsidR="00D16240">
        <w:fldChar w:fldCharType="begin"/>
      </w:r>
      <w:r w:rsidR="00952B39">
        <w:instrText xml:space="preserve"> REF _Ref271306528 \n \h </w:instrText>
      </w:r>
      <w:r w:rsidR="00D16240">
        <w:fldChar w:fldCharType="separate"/>
      </w:r>
      <w:r w:rsidR="00711AB8">
        <w:t>1.3.3</w:t>
      </w:r>
      <w:r w:rsidR="00D16240">
        <w:fldChar w:fldCharType="end"/>
      </w:r>
      <w:r w:rsidR="00952B39">
        <w:t xml:space="preserve"> wird dieser Aspekt näher beleuchtet.</w:t>
      </w:r>
    </w:p>
    <w:p w14:paraId="60E4CA3C" w14:textId="77777777" w:rsidR="00391870" w:rsidRDefault="00BC3359" w:rsidP="005F4F7F">
      <w:pPr>
        <w:pStyle w:val="berschrift4"/>
      </w:pPr>
      <w:bookmarkStart w:id="24" w:name="_Toc294380157"/>
      <w:r w:rsidRPr="00BC3359">
        <w:t>Zytosolische Enzyme</w:t>
      </w:r>
      <w:bookmarkEnd w:id="24"/>
    </w:p>
    <w:p w14:paraId="442F4ED7" w14:textId="77777777" w:rsidR="00952B39" w:rsidRDefault="00204547" w:rsidP="00952B39">
      <w:r>
        <w:t>Z</w:t>
      </w:r>
      <w:r w:rsidR="00952B39">
        <w:t>yto</w:t>
      </w:r>
      <w:r>
        <w:t>solische und lysosomale Enzyme spielen lediglich bei</w:t>
      </w:r>
      <w:r w:rsidR="00311CC4">
        <w:t>m transzellulären</w:t>
      </w:r>
      <w:r>
        <w:t xml:space="preserve"> Transport</w:t>
      </w:r>
      <w:r w:rsidR="00311CC4">
        <w:t>vorgang</w:t>
      </w:r>
      <w:r w:rsidR="00D7338D">
        <w:t xml:space="preserve"> eine Rolle. Dies</w:t>
      </w:r>
      <w:r w:rsidR="00460FB3">
        <w:t>er</w:t>
      </w:r>
      <w:r w:rsidR="00D7338D">
        <w:t xml:space="preserve"> wird</w:t>
      </w:r>
      <w:r w:rsidR="00BB6701">
        <w:t xml:space="preserve"> aus den im Folgenden beschriebenen Gründen</w:t>
      </w:r>
      <w:r w:rsidR="00D7338D">
        <w:t xml:space="preserve"> häufig</w:t>
      </w:r>
      <w:r>
        <w:t xml:space="preserve"> nicht</w:t>
      </w:r>
      <w:r w:rsidR="00D7338D">
        <w:t xml:space="preserve"> als</w:t>
      </w:r>
      <w:r>
        <w:t xml:space="preserve"> der</w:t>
      </w:r>
      <w:r w:rsidR="00BB6701">
        <w:t xml:space="preserve"> bevorzugte Weg zur Aufnahme intakter Peptide</w:t>
      </w:r>
      <w:r>
        <w:t xml:space="preserve"> und Proteine</w:t>
      </w:r>
      <w:bookmarkStart w:id="25" w:name="_Ref277538483"/>
      <w:r w:rsidR="00D7338D">
        <w:t xml:space="preserve"> angesehen</w:t>
      </w:r>
      <w:r w:rsidR="00311CC4">
        <w:rPr>
          <w:rStyle w:val="Endnotenzeichen"/>
        </w:rPr>
        <w:endnoteReference w:id="22"/>
      </w:r>
      <w:bookmarkEnd w:id="25"/>
      <w:r>
        <w:t>.</w:t>
      </w:r>
    </w:p>
    <w:p w14:paraId="65F06F49" w14:textId="77777777" w:rsidR="00204547" w:rsidRDefault="00274E56" w:rsidP="00952B39">
      <w:r>
        <w:t>Di</w:t>
      </w:r>
      <w:r w:rsidR="00A311AF">
        <w:t>e Resorption der Bestandteile von</w:t>
      </w:r>
      <w:r w:rsidR="00E8191E">
        <w:t xml:space="preserve"> </w:t>
      </w:r>
      <w:r w:rsidR="00414B47">
        <w:t>Nahrungseiweißen erfolgt</w:t>
      </w:r>
      <w:r w:rsidR="009E0622">
        <w:t xml:space="preserve"> </w:t>
      </w:r>
      <w:r w:rsidR="00E8191E">
        <w:t>zwar</w:t>
      </w:r>
      <w:r w:rsidR="00A311AF">
        <w:t xml:space="preserve"> bevorzugt</w:t>
      </w:r>
      <w:r w:rsidR="00686BEB">
        <w:t xml:space="preserve"> </w:t>
      </w:r>
      <w:r w:rsidR="009E0622">
        <w:t>auf</w:t>
      </w:r>
      <w:r>
        <w:t xml:space="preserve"> transzellulär</w:t>
      </w:r>
      <w:r w:rsidR="009E0622">
        <w:t>em Weg</w:t>
      </w:r>
      <w:r w:rsidR="00D7338D">
        <w:t>, dazu müssen diese</w:t>
      </w:r>
      <w:r w:rsidR="00A311AF">
        <w:t xml:space="preserve"> jedoch zunächst von </w:t>
      </w:r>
      <w:r w:rsidR="00E8191E">
        <w:t>Peptidasen</w:t>
      </w:r>
      <w:r w:rsidR="00A311AF">
        <w:t xml:space="preserve"> zersetzt werden. </w:t>
      </w:r>
      <w:r w:rsidR="00D3790E">
        <w:t xml:space="preserve">Di- und Tripeptide </w:t>
      </w:r>
      <w:r w:rsidR="00A311AF">
        <w:t>werden</w:t>
      </w:r>
      <w:r w:rsidR="00D7338D">
        <w:t xml:space="preserve"> dann</w:t>
      </w:r>
      <w:r w:rsidR="00A311AF">
        <w:t xml:space="preserve"> über</w:t>
      </w:r>
      <w:r w:rsidR="00D3790E">
        <w:t xml:space="preserve"> Transportproteine aktiv in d</w:t>
      </w:r>
      <w:r w:rsidR="00AB4CF8">
        <w:t>ie Enterozyten</w:t>
      </w:r>
      <w:r w:rsidR="00A311AF">
        <w:t xml:space="preserve"> aufgenommen, müssen </w:t>
      </w:r>
      <w:r w:rsidR="00AB4CF8">
        <w:t xml:space="preserve">jedoch </w:t>
      </w:r>
      <w:r w:rsidR="00A311AF">
        <w:t xml:space="preserve">vor der </w:t>
      </w:r>
      <w:r w:rsidR="00D3790E">
        <w:t xml:space="preserve">Abgabe ins Blut </w:t>
      </w:r>
      <w:r w:rsidR="00AB4CF8">
        <w:t>zunächst</w:t>
      </w:r>
      <w:r w:rsidR="00A311AF">
        <w:t xml:space="preserve"> weiter gespalten werden</w:t>
      </w:r>
      <w:r w:rsidR="00D3790E">
        <w:t xml:space="preserve">. </w:t>
      </w:r>
      <w:r w:rsidR="00414B47">
        <w:t>Dies erklärt die Präs</w:t>
      </w:r>
      <w:r w:rsidR="00D93F98">
        <w:t>enz vielzähliger Peptidasen im Z</w:t>
      </w:r>
      <w:r w:rsidR="00414B47">
        <w:t xml:space="preserve">ytosol. </w:t>
      </w:r>
      <w:r w:rsidR="00204547">
        <w:t>Im Zusammenhang</w:t>
      </w:r>
      <w:r w:rsidR="00EB6421">
        <w:t xml:space="preserve"> mit der Proteinverdauung sind </w:t>
      </w:r>
      <w:r>
        <w:t>diverse</w:t>
      </w:r>
      <w:r w:rsidR="00EB6421">
        <w:t xml:space="preserve"> Dipeptidasen und</w:t>
      </w:r>
      <w:r w:rsidR="00311CC4">
        <w:t xml:space="preserve"> Aminotripeptidase</w:t>
      </w:r>
      <w:r w:rsidR="00EB6421">
        <w:t xml:space="preserve"> von Bedeutung</w:t>
      </w:r>
      <w:r w:rsidR="000E505F">
        <w:t xml:space="preserve">. Sie spalten die durch Carrier-Proteine </w:t>
      </w:r>
      <w:r w:rsidR="009E0622">
        <w:t xml:space="preserve">aktiv </w:t>
      </w:r>
      <w:r w:rsidR="000E505F">
        <w:t>aufgenommenen Di- und Tripeptide</w:t>
      </w:r>
      <w:r w:rsidR="00B939D9">
        <w:t xml:space="preserve"> im Zytosol</w:t>
      </w:r>
      <w:r w:rsidR="00311CC4">
        <w:t xml:space="preserve"> weiter in einzelne Aminosäuren, die dann</w:t>
      </w:r>
      <w:r w:rsidR="00DF3984">
        <w:t xml:space="preserve"> durch eine ernergieunabhängige Diffusion über die basolaterale Membran</w:t>
      </w:r>
      <w:r w:rsidR="00311CC4">
        <w:t xml:space="preserve"> ins Blut abgegeben werden</w:t>
      </w:r>
      <w:r w:rsidR="00D16240">
        <w:rPr>
          <w:vertAlign w:val="superscript"/>
        </w:rPr>
        <w:fldChar w:fldCharType="begin"/>
      </w:r>
      <w:r w:rsidR="00B939D9">
        <w:rPr>
          <w:vertAlign w:val="superscript"/>
        </w:rPr>
        <w:instrText xml:space="preserve"> NOTEREF _Ref286185274 \f \h </w:instrText>
      </w:r>
      <w:r w:rsidR="00D16240">
        <w:rPr>
          <w:vertAlign w:val="superscript"/>
        </w:rPr>
      </w:r>
      <w:r w:rsidR="00D16240">
        <w:rPr>
          <w:vertAlign w:val="superscript"/>
        </w:rPr>
        <w:fldChar w:fldCharType="separate"/>
      </w:r>
      <w:r w:rsidR="00711AB8" w:rsidRPr="00711AB8">
        <w:rPr>
          <w:rStyle w:val="Endnotenzeichen"/>
        </w:rPr>
        <w:t>20</w:t>
      </w:r>
      <w:r w:rsidR="00D16240">
        <w:rPr>
          <w:vertAlign w:val="superscript"/>
        </w:rPr>
        <w:fldChar w:fldCharType="end"/>
      </w:r>
      <w:r w:rsidR="00B939D9">
        <w:rPr>
          <w:vertAlign w:val="superscript"/>
        </w:rPr>
        <w:t>,</w:t>
      </w:r>
      <w:r w:rsidR="00DF3984">
        <w:rPr>
          <w:rStyle w:val="Endnotenzeichen"/>
        </w:rPr>
        <w:endnoteReference w:id="23"/>
      </w:r>
      <w:r w:rsidR="00311CC4">
        <w:t>.</w:t>
      </w:r>
    </w:p>
    <w:p w14:paraId="53EA33E9" w14:textId="77777777" w:rsidR="00274E56" w:rsidRPr="00952B39" w:rsidRDefault="00A311AF" w:rsidP="00952B39">
      <w:r>
        <w:t xml:space="preserve">Der Abbau </w:t>
      </w:r>
      <w:r w:rsidR="00BB6701">
        <w:t>von</w:t>
      </w:r>
      <w:r>
        <w:t xml:space="preserve"> Peptide</w:t>
      </w:r>
      <w:r w:rsidR="00BB6701">
        <w:t>n</w:t>
      </w:r>
      <w:r>
        <w:t xml:space="preserve"> oder Proteine</w:t>
      </w:r>
      <w:r w:rsidR="00BB6701">
        <w:t>n, die durch Endozytose in die Epithelzellen aufgenommen wurden, erfolgt</w:t>
      </w:r>
      <w:r>
        <w:t xml:space="preserve"> </w:t>
      </w:r>
      <w:r w:rsidR="00BB6701">
        <w:t xml:space="preserve">zudem </w:t>
      </w:r>
      <w:r w:rsidR="00414B47">
        <w:t xml:space="preserve">auch </w:t>
      </w:r>
      <w:r w:rsidR="00274E56">
        <w:t>in</w:t>
      </w:r>
      <w:r w:rsidR="009E0622">
        <w:t>nerhalb von</w:t>
      </w:r>
      <w:r w:rsidR="00274E56">
        <w:t xml:space="preserve"> Lysosomen </w:t>
      </w:r>
      <w:r w:rsidR="009E0622">
        <w:t>oder durch das Proteasom</w:t>
      </w:r>
      <w:r w:rsidR="00274E56">
        <w:t xml:space="preserve">. </w:t>
      </w:r>
      <w:r w:rsidR="009E0622">
        <w:t xml:space="preserve">Die Lysosomen enthalten </w:t>
      </w:r>
      <w:r w:rsidR="00BB6701">
        <w:t xml:space="preserve">weitere </w:t>
      </w:r>
      <w:r w:rsidR="009E0622">
        <w:t>zahlreiche Protein</w:t>
      </w:r>
      <w:r w:rsidR="00AB4CF8">
        <w:t>- und Peptid-</w:t>
      </w:r>
      <w:r w:rsidR="009E0622">
        <w:t>spaltende Enzyme</w:t>
      </w:r>
      <w:r w:rsidR="00414B47">
        <w:t xml:space="preserve"> (z.B. Cathepsine)</w:t>
      </w:r>
      <w:r w:rsidR="009E0622">
        <w:t xml:space="preserve"> und spielen eine</w:t>
      </w:r>
      <w:r w:rsidR="00414B47">
        <w:t xml:space="preserve"> </w:t>
      </w:r>
      <w:r w:rsidR="00BB6701">
        <w:t xml:space="preserve">wichtige </w:t>
      </w:r>
      <w:r w:rsidR="00414B47">
        <w:t>Rolle bei d</w:t>
      </w:r>
      <w:r w:rsidR="00BB6701">
        <w:t xml:space="preserve">er Deaktivierung endogener oder </w:t>
      </w:r>
      <w:r w:rsidR="00414B47">
        <w:t>exogener Proteine</w:t>
      </w:r>
      <w:r w:rsidR="009E0622">
        <w:t>.</w:t>
      </w:r>
      <w:r w:rsidR="00BB6701">
        <w:t xml:space="preserve"> Für intrazellulär</w:t>
      </w:r>
      <w:r w:rsidR="00A400CC">
        <w:t xml:space="preserve"> aufgenommene Peptid- oder Proteinwirkstoffe </w:t>
      </w:r>
      <w:r w:rsidR="00A400CC">
        <w:lastRenderedPageBreak/>
        <w:t>stellen die Lysosomen eine be</w:t>
      </w:r>
      <w:r w:rsidR="00BB6701">
        <w:t>deutend</w:t>
      </w:r>
      <w:r w:rsidR="00D7338D">
        <w:t>e Barriere dar. Innerhalb der</w:t>
      </w:r>
      <w:r w:rsidR="00EB6421">
        <w:t xml:space="preserve"> s</w:t>
      </w:r>
      <w:r w:rsidR="00BB6701">
        <w:t>äure</w:t>
      </w:r>
      <w:r w:rsidR="00D7338D">
        <w:t>-</w:t>
      </w:r>
      <w:r w:rsidR="00EB6421">
        <w:t xml:space="preserve"> und enzym</w:t>
      </w:r>
      <w:r w:rsidR="00BB6701">
        <w:t>haltigen Vesikel werden</w:t>
      </w:r>
      <w:r w:rsidR="00A400CC">
        <w:t xml:space="preserve"> nahezu alle Proteine und Peptide sehr effizient in ihre kleinsten Bausteine, die Aminosäuren</w:t>
      </w:r>
      <w:r w:rsidR="00BB6701">
        <w:t>, zerlegt</w:t>
      </w:r>
      <w:r w:rsidR="00A400CC">
        <w:t>.</w:t>
      </w:r>
    </w:p>
    <w:p w14:paraId="5AD65D2A" w14:textId="77777777" w:rsidR="00391870" w:rsidRDefault="00342F0D" w:rsidP="005F4F7F">
      <w:pPr>
        <w:pStyle w:val="berschrift4"/>
      </w:pPr>
      <w:bookmarkStart w:id="26" w:name="_Toc294380158"/>
      <w:r>
        <w:t>First-Pass-</w:t>
      </w:r>
      <w:r w:rsidR="00BC3359" w:rsidRPr="00BC3359">
        <w:t>Metabolismus</w:t>
      </w:r>
      <w:bookmarkEnd w:id="26"/>
    </w:p>
    <w:p w14:paraId="6CC10732" w14:textId="77777777" w:rsidR="009E0622" w:rsidRPr="009E0622" w:rsidRDefault="004C3093" w:rsidP="009E0622">
      <w:r>
        <w:t>Bevor der vom Darm</w:t>
      </w:r>
      <w:r w:rsidR="009E0622">
        <w:t xml:space="preserve"> resorbierte Wirkstoffanteil </w:t>
      </w:r>
      <w:r w:rsidR="00C34E32">
        <w:t xml:space="preserve">nun </w:t>
      </w:r>
      <w:r w:rsidR="009E0622">
        <w:t>tatsächlich im gesamten systemischen Blutkrei</w:t>
      </w:r>
      <w:r w:rsidR="00D7338D">
        <w:t>slauf verteilt werden kann, ist</w:t>
      </w:r>
      <w:r>
        <w:t xml:space="preserve"> </w:t>
      </w:r>
      <w:r w:rsidR="00D7338D">
        <w:t xml:space="preserve">noch </w:t>
      </w:r>
      <w:r>
        <w:t>eine weitere</w:t>
      </w:r>
      <w:r w:rsidR="009E0622">
        <w:t xml:space="preserve"> Hürde zu überwinden. </w:t>
      </w:r>
      <w:r w:rsidR="0038257C">
        <w:t>Nahezu der gesamte venöse Blutabfluss des Darmes münde</w:t>
      </w:r>
      <w:r>
        <w:t>t in die Pfortader, die alle intestinal</w:t>
      </w:r>
      <w:r w:rsidR="00A46B75">
        <w:t xml:space="preserve"> resorbierten Stoffe</w:t>
      </w:r>
      <w:r w:rsidR="0038257C">
        <w:t xml:space="preserve"> zu</w:t>
      </w:r>
      <w:r>
        <w:t>nächst der Leber zuführt. Als zentrales Stoffwechselorgan des Menschen ist die Leber mit unzähligen Enzymen ausgestattet, die unter anderem der Entgift</w:t>
      </w:r>
      <w:r w:rsidR="00342F0D">
        <w:t>ung schädlicher Stoffwechselprodukte</w:t>
      </w:r>
      <w:r>
        <w:t xml:space="preserve"> oder</w:t>
      </w:r>
      <w:r w:rsidR="00342F0D">
        <w:t xml:space="preserve"> der Inaktivierung exogener</w:t>
      </w:r>
      <w:r>
        <w:t xml:space="preserve"> Substanzen, die mit der Nahrung aufgenommen wurden, dienen. Die unmittelbare Leberpassage nach der Resorpti</w:t>
      </w:r>
      <w:r w:rsidR="00342F0D">
        <w:t>on</w:t>
      </w:r>
      <w:r w:rsidR="00D7338D">
        <w:t xml:space="preserve"> im Darm</w:t>
      </w:r>
      <w:r w:rsidR="00342F0D">
        <w:t xml:space="preserve"> führt häufig zu einer</w:t>
      </w:r>
      <w:r>
        <w:t xml:space="preserve"> mehr oder weniger stark ausgeprägten Inaktivierung</w:t>
      </w:r>
      <w:r w:rsidR="00342F0D">
        <w:t xml:space="preserve"> pharmazeutischer Wirk</w:t>
      </w:r>
      <w:r w:rsidR="00D7338D">
        <w:t>stoffe. Dieser Effekt ist oftmals, selbst</w:t>
      </w:r>
      <w:r w:rsidR="00342F0D">
        <w:t xml:space="preserve"> bei gut resorbierbaren </w:t>
      </w:r>
      <w:r w:rsidR="00DC69D1">
        <w:t>Wirkstoffen</w:t>
      </w:r>
      <w:r w:rsidR="00342F0D">
        <w:t>, für eine geringe orale Bioverfügbarkeit verantwortlich und wird als First-Pass-Effekt bezeichnet.</w:t>
      </w:r>
    </w:p>
    <w:p w14:paraId="443DFB6E" w14:textId="77777777" w:rsidR="00391870" w:rsidRDefault="00391870" w:rsidP="001C6849">
      <w:pPr>
        <w:pStyle w:val="berschrift3"/>
      </w:pPr>
      <w:bookmarkStart w:id="27" w:name="_Ref271306528"/>
      <w:bookmarkStart w:id="28" w:name="_Toc294380159"/>
      <w:r w:rsidRPr="00BC3359">
        <w:t>Absorptio</w:t>
      </w:r>
      <w:r w:rsidR="00BC3359" w:rsidRPr="00BC3359">
        <w:t>ns- und Transportmechanismen im Darm</w:t>
      </w:r>
      <w:bookmarkEnd w:id="27"/>
      <w:bookmarkEnd w:id="28"/>
    </w:p>
    <w:p w14:paraId="18E384F4" w14:textId="77777777" w:rsidR="00414B47" w:rsidRPr="00414B47" w:rsidRDefault="00F0284E" w:rsidP="00414B47">
      <w:r>
        <w:t>Der Darm im Allgemeinen und speziell der Dünndarm wurde bereits in vorangehenden Kapiteln als äußerst effizientes Resorptionsorgan vorgestellt. Nach der Beschreibung der spezifischen Barrieren für die intestinale Resorption werden im folgenden Abschnitt die hervorragenden Absorptions- und Transportmechanismen des Darmepithels genauer beschrieben und deren Potential hinsichtlich einer effizienten Aufnahme von Peptiden oder Proteinen bewertet.</w:t>
      </w:r>
    </w:p>
    <w:p w14:paraId="6B703DE2" w14:textId="77777777" w:rsidR="00391870" w:rsidRDefault="003B37C5" w:rsidP="00E71524">
      <w:pPr>
        <w:pStyle w:val="berschrift4"/>
      </w:pPr>
      <w:bookmarkStart w:id="29" w:name="_Toc294380160"/>
      <w:r>
        <w:t>Transzellulä</w:t>
      </w:r>
      <w:r w:rsidR="00BC3359" w:rsidRPr="00BC3359">
        <w:t>re Route</w:t>
      </w:r>
      <w:r w:rsidR="00364548">
        <w:t xml:space="preserve"> – Transmembran-Transport</w:t>
      </w:r>
      <w:bookmarkEnd w:id="29"/>
    </w:p>
    <w:p w14:paraId="4C02FE9D" w14:textId="77777777" w:rsidR="001E1F5D" w:rsidRDefault="005D272F" w:rsidP="001E1F5D">
      <w:pPr>
        <w:spacing w:after="0"/>
      </w:pPr>
      <w:r>
        <w:t>Transzelluläre Aufnahme beschreibt die Aufnahme von Substanzen aus dem Darmlumen in die Enterozyten mit anschließendem Weitertransport ins Blut. Prinzipiell existieren zwei Möglichkeiten, der passive Transport, der ohne Energieverbrauch abläuft und der aktive Transport unter ATP-Verbrauch.</w:t>
      </w:r>
    </w:p>
    <w:p w14:paraId="29EE9C16" w14:textId="77777777" w:rsidR="00163573" w:rsidRPr="005D272F" w:rsidRDefault="00163573" w:rsidP="001E1F5D">
      <w:pPr>
        <w:spacing w:after="0"/>
      </w:pPr>
    </w:p>
    <w:p w14:paraId="41E6C3AC" w14:textId="77777777" w:rsidR="00C85A5C" w:rsidRPr="001E1F5D" w:rsidRDefault="00C85A5C" w:rsidP="00823484">
      <w:pPr>
        <w:pStyle w:val="berschrift5"/>
        <w:spacing w:before="240" w:after="200"/>
        <w:ind w:firstLine="709"/>
        <w:rPr>
          <w:color w:val="auto"/>
        </w:rPr>
      </w:pPr>
      <w:bookmarkStart w:id="30" w:name="_Toc294380161"/>
      <w:r w:rsidRPr="001E1F5D">
        <w:rPr>
          <w:color w:val="auto"/>
        </w:rPr>
        <w:t>Passiver Transport</w:t>
      </w:r>
      <w:bookmarkEnd w:id="30"/>
    </w:p>
    <w:p w14:paraId="4CED627E" w14:textId="77777777" w:rsidR="005D272F" w:rsidRDefault="00D80930" w:rsidP="00D80930">
      <w:pPr>
        <w:ind w:left="700"/>
      </w:pPr>
      <w:r>
        <w:t xml:space="preserve">Es existieren wiederum zwei Arten von transzellulärem passivem Transport: die freie Diffusion durch die Membran und die erleichterte Diffusion unter Beteiligung eines Kanalproteins. Beide erfolgen lediglich </w:t>
      </w:r>
      <w:r w:rsidR="001778CF">
        <w:t>entlang eines</w:t>
      </w:r>
      <w:r w:rsidR="00823484">
        <w:t xml:space="preserve"> Konzentrationsgradienten.</w:t>
      </w:r>
    </w:p>
    <w:p w14:paraId="49E860C7" w14:textId="77777777" w:rsidR="00823484" w:rsidRDefault="00823484" w:rsidP="00D80930">
      <w:pPr>
        <w:ind w:left="700"/>
      </w:pPr>
      <w:r>
        <w:lastRenderedPageBreak/>
        <w:t>Die freie Diffusion hängt von der Permeabilität der Wirkstoffmoleküle durch die Lipiddoppelschicht ab. Die Membranpermeabilität</w:t>
      </w:r>
      <w:r w:rsidR="001778CF">
        <w:t xml:space="preserve"> eines Moleküls</w:t>
      </w:r>
      <w:r>
        <w:t xml:space="preserve"> </w:t>
      </w:r>
      <w:r w:rsidRPr="00823484">
        <w:rPr>
          <w:i/>
        </w:rPr>
        <w:t>P</w:t>
      </w:r>
      <w:r w:rsidRPr="00823484">
        <w:rPr>
          <w:i/>
          <w:vertAlign w:val="subscript"/>
        </w:rPr>
        <w:t>m</w:t>
      </w:r>
      <w:r w:rsidR="00C65AD9">
        <w:t xml:space="preserve"> ist durch</w:t>
      </w:r>
      <w:r>
        <w:t xml:space="preserve"> </w:t>
      </w:r>
      <w:r w:rsidR="00D16240">
        <w:fldChar w:fldCharType="begin"/>
      </w:r>
      <w:r w:rsidR="001778CF">
        <w:instrText xml:space="preserve"> REF _Ref271317008 \h </w:instrText>
      </w:r>
      <w:r w:rsidR="00D16240">
        <w:fldChar w:fldCharType="separate"/>
      </w:r>
      <w:r w:rsidR="00711AB8" w:rsidRPr="00823484">
        <w:t xml:space="preserve">Formel </w:t>
      </w:r>
      <w:r w:rsidR="00711AB8">
        <w:rPr>
          <w:noProof/>
        </w:rPr>
        <w:t>1</w:t>
      </w:r>
      <w:r w:rsidR="00D16240">
        <w:fldChar w:fldCharType="end"/>
      </w:r>
      <w:r w:rsidR="001778CF">
        <w:t xml:space="preserve"> </w:t>
      </w:r>
      <w:r>
        <w:t>definiert:</w:t>
      </w:r>
    </w:p>
    <w:p w14:paraId="72D5866F" w14:textId="77777777" w:rsidR="00823484" w:rsidRPr="00823484" w:rsidRDefault="00DE258C" w:rsidP="00D80930">
      <w:pPr>
        <w:ind w:left="700"/>
        <w:rPr>
          <w:rFonts w:eastAsiaTheme="minorEastAsia"/>
        </w:rPr>
      </w:pPr>
      <m:oMathPara>
        <m:oMath>
          <m:sSub>
            <m:sSubPr>
              <m:ctrlPr>
                <w:rPr>
                  <w:rFonts w:ascii="Cambria Math" w:hAnsi="Cambria Math"/>
                  <w:i/>
                </w:rPr>
              </m:ctrlPr>
            </m:sSubPr>
            <m:e>
              <m:r>
                <w:rPr>
                  <w:rFonts w:ascii="Cambria Math" w:hAnsi="Cambria Math"/>
                </w:rPr>
                <m:t>P</m:t>
              </m:r>
            </m:e>
            <m:sub>
              <m:r>
                <w:rPr>
                  <w:rFonts w:ascii="Cambria Math" w:hAnsi="Cambria Math"/>
                </w:rPr>
                <m:t>m</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m</m:t>
                  </m:r>
                </m:sub>
              </m:sSub>
            </m:num>
            <m:den>
              <m:sSub>
                <m:sSubPr>
                  <m:ctrlPr>
                    <w:rPr>
                      <w:rFonts w:ascii="Cambria Math" w:hAnsi="Cambria Math"/>
                      <w:i/>
                    </w:rPr>
                  </m:ctrlPr>
                </m:sSubPr>
                <m:e>
                  <m:r>
                    <w:rPr>
                      <w:rFonts w:ascii="Cambria Math" w:hAnsi="Cambria Math"/>
                    </w:rPr>
                    <m:t>L</m:t>
                  </m:r>
                </m:e>
                <m:sub>
                  <m:r>
                    <w:rPr>
                      <w:rFonts w:ascii="Cambria Math" w:hAnsi="Cambria Math"/>
                    </w:rPr>
                    <m:t>m</m:t>
                  </m:r>
                </m:sub>
              </m:sSub>
            </m:den>
          </m:f>
        </m:oMath>
      </m:oMathPara>
    </w:p>
    <w:p w14:paraId="04934FDB" w14:textId="77777777" w:rsidR="001778CF" w:rsidRDefault="00823484" w:rsidP="00B240B0">
      <w:pPr>
        <w:pStyle w:val="Beschriftung"/>
        <w:ind w:left="700" w:firstLine="0"/>
        <w:rPr>
          <w:b w:val="0"/>
        </w:rPr>
      </w:pPr>
      <w:bookmarkStart w:id="31" w:name="_Ref271317008"/>
      <w:r w:rsidRPr="00823484">
        <w:t xml:space="preserve">Formel </w:t>
      </w:r>
      <w:fldSimple w:instr=" SEQ Formel \* ARABIC ">
        <w:r w:rsidR="00711AB8">
          <w:rPr>
            <w:noProof/>
          </w:rPr>
          <w:t>1</w:t>
        </w:r>
      </w:fldSimple>
      <w:bookmarkEnd w:id="31"/>
      <w:r>
        <w:rPr>
          <w:b w:val="0"/>
        </w:rPr>
        <w:t xml:space="preserve"> Membranpermeabilitä</w:t>
      </w:r>
      <w:r w:rsidR="001778CF">
        <w:rPr>
          <w:b w:val="0"/>
        </w:rPr>
        <w:t xml:space="preserve">t </w:t>
      </w:r>
      <w:r w:rsidR="001778CF" w:rsidRPr="001778CF">
        <w:rPr>
          <w:b w:val="0"/>
          <w:i/>
        </w:rPr>
        <w:t>P</w:t>
      </w:r>
      <w:r w:rsidR="001778CF" w:rsidRPr="001778CF">
        <w:rPr>
          <w:b w:val="0"/>
          <w:i/>
          <w:vertAlign w:val="subscript"/>
        </w:rPr>
        <w:t>m</w:t>
      </w:r>
      <w:r w:rsidR="001778CF">
        <w:rPr>
          <w:b w:val="0"/>
        </w:rPr>
        <w:t xml:space="preserve"> eines Feststoffmoleküls, wobei </w:t>
      </w:r>
      <w:r w:rsidR="001778CF" w:rsidRPr="001778CF">
        <w:rPr>
          <w:b w:val="0"/>
          <w:i/>
        </w:rPr>
        <w:t>K</w:t>
      </w:r>
      <w:r w:rsidR="001778CF" w:rsidRPr="001778CF">
        <w:rPr>
          <w:b w:val="0"/>
          <w:i/>
          <w:vertAlign w:val="subscript"/>
        </w:rPr>
        <w:t>p</w:t>
      </w:r>
      <w:r w:rsidR="00AB4CF8">
        <w:rPr>
          <w:b w:val="0"/>
        </w:rPr>
        <w:t>:</w:t>
      </w:r>
      <w:r w:rsidR="001778CF">
        <w:rPr>
          <w:b w:val="0"/>
          <w:i/>
        </w:rPr>
        <w:t xml:space="preserve"> </w:t>
      </w:r>
      <w:r w:rsidR="00AB4CF8">
        <w:rPr>
          <w:b w:val="0"/>
        </w:rPr>
        <w:t>Membran/Wasser-</w:t>
      </w:r>
      <w:r w:rsidR="001778CF">
        <w:rPr>
          <w:b w:val="0"/>
        </w:rPr>
        <w:t xml:space="preserve">Verteilungskoeffizient des Moleküls, </w:t>
      </w:r>
      <w:r w:rsidR="001778CF">
        <w:rPr>
          <w:b w:val="0"/>
          <w:i/>
        </w:rPr>
        <w:t>D</w:t>
      </w:r>
      <w:r w:rsidR="001778CF" w:rsidRPr="001778CF">
        <w:rPr>
          <w:b w:val="0"/>
          <w:i/>
          <w:vertAlign w:val="subscript"/>
        </w:rPr>
        <w:t>m</w:t>
      </w:r>
      <w:r w:rsidR="00AB4CF8">
        <w:rPr>
          <w:b w:val="0"/>
        </w:rPr>
        <w:t>:</w:t>
      </w:r>
      <w:r w:rsidR="001778CF">
        <w:rPr>
          <w:b w:val="0"/>
          <w:i/>
        </w:rPr>
        <w:t> </w:t>
      </w:r>
      <w:r w:rsidR="001778CF">
        <w:rPr>
          <w:b w:val="0"/>
        </w:rPr>
        <w:t xml:space="preserve">Diffusionskoeffizient der Membran und </w:t>
      </w:r>
      <w:r w:rsidR="001778CF" w:rsidRPr="001778CF">
        <w:rPr>
          <w:b w:val="0"/>
          <w:i/>
        </w:rPr>
        <w:t>L</w:t>
      </w:r>
      <w:r w:rsidR="001778CF" w:rsidRPr="001778CF">
        <w:rPr>
          <w:b w:val="0"/>
          <w:i/>
          <w:vertAlign w:val="subscript"/>
        </w:rPr>
        <w:t>m</w:t>
      </w:r>
      <w:r w:rsidR="00AB4CF8">
        <w:rPr>
          <w:b w:val="0"/>
        </w:rPr>
        <w:t>:</w:t>
      </w:r>
      <w:r w:rsidR="001778CF">
        <w:rPr>
          <w:b w:val="0"/>
        </w:rPr>
        <w:t xml:space="preserve"> Membrandicke</w:t>
      </w:r>
      <w:r w:rsidR="00AB4CF8">
        <w:rPr>
          <w:b w:val="0"/>
        </w:rPr>
        <w:t>.</w:t>
      </w:r>
    </w:p>
    <w:p w14:paraId="226B3E08" w14:textId="77777777" w:rsidR="009A083F" w:rsidRPr="009A083F" w:rsidRDefault="009A083F" w:rsidP="00686BEB">
      <w:pPr>
        <w:spacing w:after="0"/>
      </w:pPr>
    </w:p>
    <w:p w14:paraId="07377899" w14:textId="77777777" w:rsidR="005D272F" w:rsidRDefault="00C65AD9" w:rsidP="00C65AD9">
      <w:pPr>
        <w:spacing w:after="120"/>
        <w:ind w:left="700"/>
      </w:pPr>
      <w:r>
        <w:t>Moleküle mit einer Permeabilität von 5*10</w:t>
      </w:r>
      <w:r>
        <w:rPr>
          <w:vertAlign w:val="superscript"/>
        </w:rPr>
        <w:t>-6</w:t>
      </w:r>
      <w:r>
        <w:t xml:space="preserve"> cm/s oder mehr werden im Sinne des Biopharmazeutischen Klassifizierungssystems (BCS) als gut permeabel bezeichnet und den BCS Klassen I und II zugeordnet</w:t>
      </w:r>
      <w:bookmarkStart w:id="32" w:name="_Ref286185476"/>
      <w:r>
        <w:rPr>
          <w:rStyle w:val="Endnotenzeichen"/>
        </w:rPr>
        <w:endnoteReference w:id="24"/>
      </w:r>
      <w:bookmarkEnd w:id="32"/>
      <w:r>
        <w:t xml:space="preserve">. Sie können die Membran durch freie Diffusion passieren und werden transzellulär resorbiert. </w:t>
      </w:r>
      <w:r w:rsidR="0001610B">
        <w:t>Peptide und Proteine weisen jedoch aufgrund ihrer Molekülgröße und in der Regel guten Wasserlöslichkeit eine ausgesprochen ge</w:t>
      </w:r>
      <w:r w:rsidR="008A1F69">
        <w:t>ringe Permeabilität von</w:t>
      </w:r>
      <w:r w:rsidR="0001610B">
        <w:t xml:space="preserve"> weniger als 5*10</w:t>
      </w:r>
      <w:r w:rsidR="0001610B">
        <w:rPr>
          <w:vertAlign w:val="superscript"/>
        </w:rPr>
        <w:t>-6</w:t>
      </w:r>
      <w:r w:rsidR="0001610B">
        <w:t xml:space="preserve"> cm/s auf und werden in Abhängigkeit ihrer Löslichkeit den BCS Klassen III oder IV zugeordnet</w:t>
      </w:r>
      <w:r w:rsidR="00D16240">
        <w:fldChar w:fldCharType="begin"/>
      </w:r>
      <w:r w:rsidR="008A1F69">
        <w:instrText xml:space="preserve"> NOTEREF _Ref286185476 \f \h </w:instrText>
      </w:r>
      <w:r w:rsidR="00D16240">
        <w:fldChar w:fldCharType="separate"/>
      </w:r>
      <w:r w:rsidR="00711AB8" w:rsidRPr="00711AB8">
        <w:rPr>
          <w:rStyle w:val="Endnotenzeichen"/>
        </w:rPr>
        <w:t>24</w:t>
      </w:r>
      <w:r w:rsidR="00D16240">
        <w:fldChar w:fldCharType="end"/>
      </w:r>
      <w:r w:rsidR="0001610B">
        <w:t>.</w:t>
      </w:r>
    </w:p>
    <w:p w14:paraId="761A4831" w14:textId="77777777" w:rsidR="009A083F" w:rsidRDefault="00546BBB" w:rsidP="00C65AD9">
      <w:pPr>
        <w:spacing w:after="120"/>
        <w:ind w:left="700"/>
      </w:pPr>
      <w:r>
        <w:t>Durch erleichterte Diffusion unter Beteiligung von Transport- oder Kanalproteinen können auch hydrophile größere Moleküle oder Ionen</w:t>
      </w:r>
      <w:r w:rsidR="00F3386F">
        <w:t xml:space="preserve"> </w:t>
      </w:r>
      <w:r w:rsidR="00200060">
        <w:t>teilweise sehr selektiv oder auch weniger</w:t>
      </w:r>
      <w:r w:rsidR="00F3386F">
        <w:t xml:space="preserve"> selektiv</w:t>
      </w:r>
      <w:r>
        <w:t xml:space="preserve"> die Membran entlang ihres Konzentrationsgradienten passieren.</w:t>
      </w:r>
      <w:r w:rsidR="00200060">
        <w:t xml:space="preserve"> Viele dieser Kanäle öffnen sich erst auf ein bestimmtes Signal hin. Ein solches Signal kann beispielsweise die Bindung eines spezifischen Liganden</w:t>
      </w:r>
      <w:r>
        <w:t xml:space="preserve"> </w:t>
      </w:r>
      <w:r w:rsidR="00200060">
        <w:t>oder bei spannungsab</w:t>
      </w:r>
      <w:r w:rsidR="00AB4CF8">
        <w:t>-</w:t>
      </w:r>
      <w:r w:rsidR="00200060">
        <w:t>hängigen Kanälen eine Änderung des Membranpotentials sein. Durch gezielte Expri</w:t>
      </w:r>
      <w:r>
        <w:t>m</w:t>
      </w:r>
      <w:r w:rsidR="00F3386F">
        <w:t xml:space="preserve">ierung solcher </w:t>
      </w:r>
      <w:r w:rsidR="00F37503">
        <w:t>Transm</w:t>
      </w:r>
      <w:r>
        <w:t xml:space="preserve">embranproteine, </w:t>
      </w:r>
      <w:r w:rsidR="00F3386F">
        <w:t>die teilweise auch</w:t>
      </w:r>
      <w:r w:rsidR="00F37503">
        <w:t xml:space="preserve"> sehr</w:t>
      </w:r>
      <w:r w:rsidR="00F3386F">
        <w:t xml:space="preserve"> s</w:t>
      </w:r>
      <w:r w:rsidR="00F37503">
        <w:t>pezifisch für bestimmte Substrate</w:t>
      </w:r>
      <w:r w:rsidR="00F3386F">
        <w:t xml:space="preserve"> sein können, </w:t>
      </w:r>
      <w:r>
        <w:t>besteht für Zellen die Möglichkeit den Stofftransport zu regulieren. Man spricht hier von Semipermeabilität oder selektiver Permeabilität.</w:t>
      </w:r>
    </w:p>
    <w:p w14:paraId="69506BFF" w14:textId="77777777" w:rsidR="00F70905" w:rsidRDefault="00F70905" w:rsidP="00C65AD9">
      <w:pPr>
        <w:spacing w:after="120"/>
        <w:ind w:left="700"/>
      </w:pPr>
      <w:r>
        <w:t>Grundsätzlich ist die Transportrichtung beim passiven Transport nicht festgelegt</w:t>
      </w:r>
      <w:r w:rsidR="00A929A8">
        <w:t xml:space="preserve">, sie erfolgt stets entlang des Konzentrationsgefälles in die Zelle </w:t>
      </w:r>
      <w:r w:rsidR="006F5CB1">
        <w:t>hinein oder aus der Zelle heraus</w:t>
      </w:r>
      <w:r w:rsidR="00200060">
        <w:t>, bis sich ein Konzentrationsgleichgewicht eingestellt hat.</w:t>
      </w:r>
    </w:p>
    <w:p w14:paraId="4D4BFA91" w14:textId="77777777" w:rsidR="001E1F5D" w:rsidRPr="0001610B" w:rsidRDefault="001E1F5D" w:rsidP="00C65AD9">
      <w:pPr>
        <w:spacing w:after="120"/>
        <w:ind w:left="700"/>
      </w:pPr>
    </w:p>
    <w:p w14:paraId="76D859D9" w14:textId="77777777" w:rsidR="00C85A5C" w:rsidRPr="001E1F5D" w:rsidRDefault="00C85A5C" w:rsidP="00BE0B62">
      <w:pPr>
        <w:pStyle w:val="berschrift5"/>
        <w:spacing w:before="240" w:after="200"/>
        <w:ind w:firstLine="709"/>
        <w:rPr>
          <w:color w:val="auto"/>
        </w:rPr>
      </w:pPr>
      <w:bookmarkStart w:id="33" w:name="_Toc294380162"/>
      <w:r w:rsidRPr="001E1F5D">
        <w:rPr>
          <w:color w:val="auto"/>
        </w:rPr>
        <w:t>Aktiver Transport</w:t>
      </w:r>
      <w:bookmarkEnd w:id="33"/>
    </w:p>
    <w:p w14:paraId="64FBDD7B" w14:textId="77777777" w:rsidR="00546BBB" w:rsidRDefault="00F3386F" w:rsidP="00F3386F">
      <w:pPr>
        <w:ind w:left="700"/>
      </w:pPr>
      <w:r>
        <w:t>Beim akti</w:t>
      </w:r>
      <w:r w:rsidR="002B7EE0">
        <w:t>ven Transport durch Carrier Proteine</w:t>
      </w:r>
      <w:r>
        <w:t xml:space="preserve"> </w:t>
      </w:r>
      <w:r w:rsidR="002B7EE0">
        <w:t xml:space="preserve">wird indirekt oder direkt immer </w:t>
      </w:r>
      <w:r>
        <w:t>Energie in Form von ATP-Äquivalenten verbr</w:t>
      </w:r>
      <w:r w:rsidR="002B7EE0">
        <w:t>aucht. Er kann auch entgegen eines</w:t>
      </w:r>
      <w:r>
        <w:t xml:space="preserve"> Konzentrationsgradienten erfolgen und</w:t>
      </w:r>
      <w:r w:rsidR="00200060">
        <w:t xml:space="preserve"> läuft stets</w:t>
      </w:r>
      <w:r w:rsidR="00F70905">
        <w:t xml:space="preserve"> in eine </w:t>
      </w:r>
      <w:r w:rsidR="00761A8C">
        <w:t>definierte Richtung ab</w:t>
      </w:r>
      <w:r w:rsidR="00F70905">
        <w:t>.</w:t>
      </w:r>
      <w:r>
        <w:t xml:space="preserve"> Beim primär aktiven Transport wird ATP direk</w:t>
      </w:r>
      <w:r w:rsidR="00163573">
        <w:t>t vom Transporter hydrolysiert,</w:t>
      </w:r>
      <w:r w:rsidR="00F70905">
        <w:t xml:space="preserve"> wie beispielsweise bei der Na</w:t>
      </w:r>
      <w:r w:rsidR="00F70905">
        <w:rPr>
          <w:vertAlign w:val="superscript"/>
        </w:rPr>
        <w:t>+</w:t>
      </w:r>
      <w:r w:rsidR="00F70905">
        <w:t>/K</w:t>
      </w:r>
      <w:r w:rsidR="00F70905">
        <w:rPr>
          <w:vertAlign w:val="superscript"/>
        </w:rPr>
        <w:t>+</w:t>
      </w:r>
      <w:r w:rsidR="00F70905">
        <w:t>-ATPase, die</w:t>
      </w:r>
      <w:r w:rsidR="00A929A8">
        <w:t xml:space="preserve"> unter Energieverbrauch</w:t>
      </w:r>
      <w:r w:rsidR="00F70905">
        <w:t xml:space="preserve"> ständig ein Na</w:t>
      </w:r>
      <w:r w:rsidR="00F70905">
        <w:rPr>
          <w:vertAlign w:val="superscript"/>
        </w:rPr>
        <w:t>+</w:t>
      </w:r>
      <w:r w:rsidR="006F5CB1">
        <w:t>-</w:t>
      </w:r>
      <w:r w:rsidR="00A929A8">
        <w:t>Konzentrationsgefälle von extrazellulär nach intrazellulär</w:t>
      </w:r>
      <w:r w:rsidR="00F70905">
        <w:t xml:space="preserve"> aufrecht erhält. Der </w:t>
      </w:r>
      <w:r w:rsidR="00F70905">
        <w:lastRenderedPageBreak/>
        <w:t>Transport von Glucose beispielsweise erfolgt sekundär aktiv durch einen Cotransport mit Na</w:t>
      </w:r>
      <w:r w:rsidR="00F70905">
        <w:rPr>
          <w:vertAlign w:val="superscript"/>
        </w:rPr>
        <w:t>+</w:t>
      </w:r>
      <w:r w:rsidR="00A929A8">
        <w:t xml:space="preserve">-Ionen </w:t>
      </w:r>
      <w:r w:rsidR="00F70905">
        <w:t xml:space="preserve">und wird </w:t>
      </w:r>
      <w:r w:rsidR="00A929A8">
        <w:t>durch das unter ATP-Verbrauch</w:t>
      </w:r>
      <w:r w:rsidR="002B7EE0">
        <w:t xml:space="preserve"> aufrecht</w:t>
      </w:r>
      <w:r w:rsidR="00F70905">
        <w:t xml:space="preserve"> erhaltene Konzentrationsgefälle von Na</w:t>
      </w:r>
      <w:r w:rsidR="00F70905">
        <w:rPr>
          <w:vertAlign w:val="superscript"/>
        </w:rPr>
        <w:t>+</w:t>
      </w:r>
      <w:r w:rsidR="00F70905">
        <w:t xml:space="preserve"> angetrieben. Der sekundär aktive Transport kann auch als Antiport erfolgen (Na</w:t>
      </w:r>
      <w:r w:rsidR="002B7EE0">
        <w:rPr>
          <w:vertAlign w:val="superscript"/>
        </w:rPr>
        <w:t>+</w:t>
      </w:r>
      <w:r w:rsidR="00761A8C">
        <w:t xml:space="preserve"> aus der Zelle</w:t>
      </w:r>
      <w:r w:rsidR="006F5CB1">
        <w:t xml:space="preserve"> heraus</w:t>
      </w:r>
      <w:r w:rsidR="00761A8C">
        <w:t>,</w:t>
      </w:r>
      <w:r w:rsidR="002B7EE0">
        <w:t xml:space="preserve"> Ca</w:t>
      </w:r>
      <w:r w:rsidR="002B7EE0">
        <w:rPr>
          <w:vertAlign w:val="superscript"/>
        </w:rPr>
        <w:t>2+</w:t>
      </w:r>
      <w:r w:rsidR="00761A8C">
        <w:t xml:space="preserve"> in die Zelle hinein</w:t>
      </w:r>
      <w:r w:rsidR="002B7EE0">
        <w:t>).</w:t>
      </w:r>
    </w:p>
    <w:p w14:paraId="2D6C9712" w14:textId="77777777" w:rsidR="00A96FCB" w:rsidRDefault="00A96FCB" w:rsidP="00F3386F">
      <w:pPr>
        <w:ind w:left="700"/>
      </w:pPr>
      <w:r>
        <w:t>Eine Reihe von Carrier Proteinen steht im Zusammenhang mit dem Transport von Arzneistoffen. Dazu gehören beispielsweise die ABC-Transporter, zu denen die als Effluxpumpen bekannten MDR (Multi Drug Resistance)-Transporter zählen, oder auch die Peptidtransporter (PEPT), die</w:t>
      </w:r>
      <w:r w:rsidR="008D0D8F">
        <w:t xml:space="preserve"> in der Bürstensaum</w:t>
      </w:r>
      <w:r w:rsidR="000E4F5E">
        <w:t>membran lokalisiert sind und</w:t>
      </w:r>
      <w:r>
        <w:t xml:space="preserve"> Peptide oder Peptidomimetika transportieren</w:t>
      </w:r>
      <w:r w:rsidR="008D0D8F">
        <w:rPr>
          <w:rStyle w:val="Endnotenzeichen"/>
        </w:rPr>
        <w:endnoteReference w:id="25"/>
      </w:r>
      <w:r>
        <w:t>.</w:t>
      </w:r>
    </w:p>
    <w:p w14:paraId="39EC49C8" w14:textId="77777777" w:rsidR="00A929A8" w:rsidRPr="00F70905" w:rsidRDefault="00063926" w:rsidP="00063926">
      <w:pPr>
        <w:ind w:left="700"/>
      </w:pPr>
      <w:r>
        <w:t>Die Peptidtransporter</w:t>
      </w:r>
      <w:r w:rsidR="00B97ADD">
        <w:t xml:space="preserve"> können prinzipiell auch für </w:t>
      </w:r>
      <w:r w:rsidR="00BE0B62">
        <w:t>per</w:t>
      </w:r>
      <w:r w:rsidR="00B97ADD">
        <w:t xml:space="preserve">orales </w:t>
      </w:r>
      <w:r w:rsidR="00B97ADD" w:rsidRPr="006F5CB1">
        <w:rPr>
          <w:i/>
        </w:rPr>
        <w:t>Peptid Delivery</w:t>
      </w:r>
      <w:r w:rsidR="00B97ADD">
        <w:t xml:space="preserve"> genutzt werden, allerdings ist die Größe der transportierbaren Peptide auf maximal 4 Aminosäuren</w:t>
      </w:r>
      <w:r w:rsidR="00514A40">
        <w:t xml:space="preserve"> (Tetrapeptide)</w:t>
      </w:r>
      <w:r w:rsidR="00B97ADD">
        <w:t xml:space="preserve"> begrenzt</w:t>
      </w:r>
      <w:r w:rsidR="00B97ADD">
        <w:rPr>
          <w:rStyle w:val="Endnotenzeichen"/>
        </w:rPr>
        <w:endnoteReference w:id="26"/>
      </w:r>
      <w:r>
        <w:t xml:space="preserve"> und die</w:t>
      </w:r>
      <w:r w:rsidR="00C60B5C">
        <w:t xml:space="preserve"> auf diesem Weg aufgenom</w:t>
      </w:r>
      <w:r w:rsidR="000E4F5E">
        <w:t>m</w:t>
      </w:r>
      <w:r w:rsidR="00C60B5C">
        <w:t>enen</w:t>
      </w:r>
      <w:r>
        <w:t xml:space="preserve"> Wirkstoffe</w:t>
      </w:r>
      <w:r w:rsidR="00686BEB">
        <w:t xml:space="preserve"> müssten gegenüber den z</w:t>
      </w:r>
      <w:r w:rsidR="00A400CC">
        <w:t>ytosolischen Peptidasen resistent sein.</w:t>
      </w:r>
    </w:p>
    <w:p w14:paraId="38D758FF" w14:textId="77777777" w:rsidR="00391870" w:rsidRDefault="003B37C5" w:rsidP="00E71524">
      <w:pPr>
        <w:pStyle w:val="berschrift4"/>
      </w:pPr>
      <w:bookmarkStart w:id="34" w:name="_Toc294380163"/>
      <w:r>
        <w:t>Parazellulä</w:t>
      </w:r>
      <w:r w:rsidR="00BC3359" w:rsidRPr="00C85A5C">
        <w:t>re Route</w:t>
      </w:r>
      <w:bookmarkEnd w:id="34"/>
    </w:p>
    <w:p w14:paraId="387DF239" w14:textId="77777777" w:rsidR="00DC4451" w:rsidRDefault="00991AB0" w:rsidP="00A96FCB">
      <w:r>
        <w:t xml:space="preserve">Beim parazellulären Transport werden Stoffe </w:t>
      </w:r>
      <w:r w:rsidR="0098124A">
        <w:t>zwischen den Zellzwischenräumen hindurch über das Epithel transportiert. Der parazelluläre Transpor</w:t>
      </w:r>
      <w:r w:rsidR="00BB5FFD">
        <w:t xml:space="preserve">t erfolgt passiv und wird durch </w:t>
      </w:r>
      <w:r w:rsidR="0098124A">
        <w:t xml:space="preserve">die sogenannten </w:t>
      </w:r>
      <w:r w:rsidR="0098124A" w:rsidRPr="0007516B">
        <w:rPr>
          <w:i/>
        </w:rPr>
        <w:t>Tight Junctions</w:t>
      </w:r>
      <w:r w:rsidR="0098124A">
        <w:t xml:space="preserve"> kontrolliert.</w:t>
      </w:r>
      <w:r w:rsidR="009A6046">
        <w:t xml:space="preserve"> Diese</w:t>
      </w:r>
      <w:r w:rsidR="00BB5FFD">
        <w:t xml:space="preserve"> bestehen aus Membranproteinkomplexen, die sich wie</w:t>
      </w:r>
      <w:r w:rsidR="006F5CB1">
        <w:t xml:space="preserve"> ein zusammenhängendes Band</w:t>
      </w:r>
      <w:r w:rsidR="00BB5FFD">
        <w:t xml:space="preserve"> um die Epithelzellen</w:t>
      </w:r>
      <w:r w:rsidR="006F5CB1">
        <w:t xml:space="preserve"> herum</w:t>
      </w:r>
      <w:r w:rsidR="0080277D">
        <w:t xml:space="preserve"> netzartig</w:t>
      </w:r>
      <w:r w:rsidR="00BB5FFD">
        <w:t xml:space="preserve"> anlagern und einen festen Kontakt zu den Nachbarzellen herstellen. Je nach Geweb</w:t>
      </w:r>
      <w:r w:rsidR="0080277D">
        <w:t>ea</w:t>
      </w:r>
      <w:r w:rsidR="009A6046">
        <w:t>rt sind die Zellkontakte enger</w:t>
      </w:r>
      <w:r w:rsidR="00BB5FFD">
        <w:t xml:space="preserve"> oder weiter geknüpft, sodass </w:t>
      </w:r>
      <w:r w:rsidR="0080277D">
        <w:t xml:space="preserve">ein parazellulärer Fluss von Molekülen sehr gut möglich sein kann, wie zum Beispiel im Darm oder </w:t>
      </w:r>
      <w:r w:rsidR="009A6046">
        <w:t xml:space="preserve">auch </w:t>
      </w:r>
      <w:r w:rsidR="0080277D">
        <w:t>vol</w:t>
      </w:r>
      <w:r w:rsidR="009A6046">
        <w:t>lständig unterbunden werden kann</w:t>
      </w:r>
      <w:r w:rsidR="0080277D">
        <w:t>, wie beispielsweise in der B</w:t>
      </w:r>
      <w:r w:rsidR="009A6046">
        <w:t>lut-Hirn-Schranke. Da auf dem parazellulären</w:t>
      </w:r>
      <w:r w:rsidR="0080277D">
        <w:t xml:space="preserve"> Weg keine Membran passiert werden muss, kann er prinzipiell auch von</w:t>
      </w:r>
      <w:r w:rsidR="00BB167C">
        <w:t xml:space="preserve"> sehr</w:t>
      </w:r>
      <w:r w:rsidR="0080277D">
        <w:t xml:space="preserve"> hydrophilen Substanzen genutzt werden. Allerding</w:t>
      </w:r>
      <w:r w:rsidR="00DC4451">
        <w:t>s ist dieser Transportweg</w:t>
      </w:r>
      <w:r w:rsidR="0080277D">
        <w:t xml:space="preserve"> </w:t>
      </w:r>
      <w:r w:rsidR="00BB167C">
        <w:t>nur für solche Moleküle möglich, deren Molekulargewicht maximal bei etwa 1.200 Da liegt</w:t>
      </w:r>
      <w:r w:rsidR="00BB167C">
        <w:rPr>
          <w:rStyle w:val="Endnotenzeichen"/>
        </w:rPr>
        <w:endnoteReference w:id="27"/>
      </w:r>
      <w:r w:rsidR="00DC4451">
        <w:t>. T</w:t>
      </w:r>
      <w:r w:rsidR="00BB167C">
        <w:t>herapeutische Peptide wie beispielsweise</w:t>
      </w:r>
      <w:r w:rsidR="00DC4451">
        <w:t xml:space="preserve"> einige</w:t>
      </w:r>
      <w:r w:rsidR="00BB167C">
        <w:t xml:space="preserve"> Peptidhormone</w:t>
      </w:r>
      <w:r w:rsidR="009A6046">
        <w:t xml:space="preserve"> (</w:t>
      </w:r>
      <w:r w:rsidR="00DA5211">
        <w:t>Buserilin, De</w:t>
      </w:r>
      <w:r w:rsidR="00963FC9">
        <w:t>smopressin, Goserelin, Oxytocin</w:t>
      </w:r>
      <w:r w:rsidR="00DA5211">
        <w:t xml:space="preserve"> etc.)</w:t>
      </w:r>
      <w:r w:rsidR="00BB167C">
        <w:t xml:space="preserve"> </w:t>
      </w:r>
      <w:r w:rsidR="00DC4451">
        <w:t>liegen noch unterhalb dieses Bereiches, komplexe P</w:t>
      </w:r>
      <w:r w:rsidR="007F1771">
        <w:t>roteine hingegen überschreiten ihn</w:t>
      </w:r>
      <w:r w:rsidR="00DC4451">
        <w:t xml:space="preserve"> in der Regel deutlich.</w:t>
      </w:r>
    </w:p>
    <w:p w14:paraId="52C24867" w14:textId="77777777" w:rsidR="00DC4451" w:rsidRDefault="00B5781A" w:rsidP="00A96FCB">
      <w:r>
        <w:t xml:space="preserve">Diverse Substanzen, von denen einige auch Bestandteil natürlicher Nahrung sein können, wirken als Penetrationsförderer, indem sie </w:t>
      </w:r>
      <w:r w:rsidR="006A55B4">
        <w:t xml:space="preserve">die </w:t>
      </w:r>
      <w:r w:rsidR="006A55B4" w:rsidRPr="00C311D6">
        <w:rPr>
          <w:i/>
        </w:rPr>
        <w:t>Tight Junctions</w:t>
      </w:r>
      <w:r w:rsidR="006A55B4">
        <w:t xml:space="preserve"> beeinflussen und damit </w:t>
      </w:r>
      <w:r>
        <w:t>den Zellzusamme</w:t>
      </w:r>
      <w:r w:rsidR="006A55B4">
        <w:t>nhalt lockern</w:t>
      </w:r>
      <w:r w:rsidR="002315A7">
        <w:rPr>
          <w:rStyle w:val="Endnotenzeichen"/>
        </w:rPr>
        <w:endnoteReference w:id="28"/>
      </w:r>
      <w:r w:rsidR="009D526F">
        <w:rPr>
          <w:vertAlign w:val="superscript"/>
        </w:rPr>
        <w:t>,</w:t>
      </w:r>
      <w:r w:rsidR="009D526F">
        <w:rPr>
          <w:rStyle w:val="Endnotenzeichen"/>
        </w:rPr>
        <w:endnoteReference w:id="29"/>
      </w:r>
      <w:r w:rsidR="006A55B4">
        <w:t>. A</w:t>
      </w:r>
      <w:r>
        <w:t>uf diese Weise</w:t>
      </w:r>
      <w:r w:rsidR="006A55B4">
        <w:t xml:space="preserve"> kann</w:t>
      </w:r>
      <w:r>
        <w:t xml:space="preserve"> die Durchläs</w:t>
      </w:r>
      <w:r w:rsidR="006A55B4">
        <w:t>sigkeit des Darmepithels erhöht werden</w:t>
      </w:r>
      <w:r>
        <w:t xml:space="preserve">. In Kapitel </w:t>
      </w:r>
      <w:r w:rsidR="00D16240">
        <w:fldChar w:fldCharType="begin"/>
      </w:r>
      <w:r>
        <w:instrText xml:space="preserve"> REF _Ref271404066 \n \h </w:instrText>
      </w:r>
      <w:r w:rsidR="00D16240">
        <w:fldChar w:fldCharType="separate"/>
      </w:r>
      <w:r w:rsidR="00711AB8">
        <w:t>1.6.5</w:t>
      </w:r>
      <w:r w:rsidR="00D16240">
        <w:fldChar w:fldCharType="end"/>
      </w:r>
      <w:r>
        <w:t xml:space="preserve"> wird näher beschrieben</w:t>
      </w:r>
      <w:r w:rsidR="000E4F5E">
        <w:t>,</w:t>
      </w:r>
      <w:r>
        <w:t xml:space="preserve"> welche Substanze</w:t>
      </w:r>
      <w:r w:rsidR="006A55B4">
        <w:t xml:space="preserve">n </w:t>
      </w:r>
      <w:r w:rsidR="00DF24A0">
        <w:t xml:space="preserve">prinzipiell </w:t>
      </w:r>
      <w:r w:rsidR="006A55B4">
        <w:t xml:space="preserve">zur Penetrationsförderung </w:t>
      </w:r>
      <w:r>
        <w:t>schlecht permeable</w:t>
      </w:r>
      <w:r w:rsidR="006A55B4">
        <w:t>r</w:t>
      </w:r>
      <w:r>
        <w:t xml:space="preserve"> Arzneistoffe eingesetzt werden können.</w:t>
      </w:r>
    </w:p>
    <w:p w14:paraId="02606D24" w14:textId="77777777" w:rsidR="00063926" w:rsidRPr="00A929A8" w:rsidRDefault="00063926" w:rsidP="00063926">
      <w:pPr>
        <w:pStyle w:val="berschrift4"/>
      </w:pPr>
      <w:bookmarkStart w:id="35" w:name="_Toc294380164"/>
      <w:r w:rsidRPr="00A929A8">
        <w:lastRenderedPageBreak/>
        <w:t>Endozytose</w:t>
      </w:r>
      <w:r w:rsidR="00B04F1F">
        <w:t xml:space="preserve"> und Exozytose</w:t>
      </w:r>
      <w:r w:rsidR="00364548">
        <w:t xml:space="preserve"> – Membranverlagernder Transport</w:t>
      </w:r>
      <w:bookmarkEnd w:id="35"/>
    </w:p>
    <w:p w14:paraId="4847A9C3" w14:textId="77777777" w:rsidR="00063926" w:rsidRDefault="00955841" w:rsidP="00A96FCB">
      <w:r>
        <w:t>Neben dem aktiven oder passiven Transport und der freien Diffusion durch</w:t>
      </w:r>
      <w:r w:rsidR="00817210">
        <w:t xml:space="preserve"> die Enterozytenmembran </w:t>
      </w:r>
      <w:r>
        <w:t xml:space="preserve">besteht </w:t>
      </w:r>
      <w:r w:rsidR="00806D40">
        <w:t xml:space="preserve">mit der Endozytose </w:t>
      </w:r>
      <w:r>
        <w:t>eine weitere Möglichkeit, wie Epithelzellen Stoffe aus ihrer Umgebung aufne</w:t>
      </w:r>
      <w:r w:rsidR="00806D40">
        <w:t>hmen können.</w:t>
      </w:r>
      <w:r w:rsidR="00B37E4C">
        <w:t xml:space="preserve"> Durch Einstülpung der Membran können Flüssigkeitstropfen, darin gelöste Stoffe oder auch Feststoffe umschlossen und nach vollständiger Abschnürung von der Membran in Vesikel eingeschlossen </w:t>
      </w:r>
      <w:r w:rsidR="00806D40">
        <w:t>werden. Diese Vesikel, auch</w:t>
      </w:r>
      <w:r w:rsidR="00B37E4C">
        <w:t xml:space="preserve"> </w:t>
      </w:r>
      <w:r w:rsidR="00806D40">
        <w:t xml:space="preserve">als </w:t>
      </w:r>
      <w:r w:rsidR="00B37E4C">
        <w:t>Endosom</w:t>
      </w:r>
      <w:r w:rsidR="00806D40">
        <w:t>en</w:t>
      </w:r>
      <w:r w:rsidR="00B37E4C">
        <w:t xml:space="preserve"> bez</w:t>
      </w:r>
      <w:r w:rsidR="00806D40">
        <w:t>eichnet, werden dann ins Zellinnere transportiert</w:t>
      </w:r>
      <w:r w:rsidR="00DF24A0">
        <w:t>. Sie</w:t>
      </w:r>
      <w:r w:rsidR="00806D40">
        <w:t xml:space="preserve"> übernehmen ganz gezielt wichtige</w:t>
      </w:r>
      <w:r w:rsidR="00B37E4C">
        <w:t xml:space="preserve"> Transportprozesse innerhalb der Zelle.</w:t>
      </w:r>
      <w:r w:rsidR="00806D40">
        <w:t xml:space="preserve"> Die Vesikel können auch wieder mit der Zellmembran verschmelzen und ihren Inhalt an die Umgebung abgeben (Exozytose) oder sich mit Lysosomen zu einem Endolysosom vereinigen, um ihren Inhalt enzymatisch abzubauen.</w:t>
      </w:r>
    </w:p>
    <w:p w14:paraId="004873B7" w14:textId="77777777" w:rsidR="000D44E0" w:rsidRDefault="00806D40" w:rsidP="00A96FCB">
      <w:r>
        <w:t xml:space="preserve">Prinzipiell wird zwischen zwei Formen der Endozytose unterschieden: der Pinozytose und </w:t>
      </w:r>
      <w:r w:rsidR="005D1929">
        <w:t xml:space="preserve">der Phagozytose. Die Aufnahme von Flüssigkeitstropfen und darin gelöster Substanzen </w:t>
      </w:r>
      <w:r w:rsidR="00312491">
        <w:t>wird als Pinozytose bezeichnet, während die Aufnahme fester kleiner P</w:t>
      </w:r>
      <w:r w:rsidR="00650FDB">
        <w:t>artikel oder auch ganzer Zellen wie beispielsweise Bakterien</w:t>
      </w:r>
      <w:r w:rsidR="00312491">
        <w:t xml:space="preserve"> unter dem Begriff Ph</w:t>
      </w:r>
      <w:r w:rsidR="00650FDB">
        <w:t xml:space="preserve">agozytose zusammengefasst wird. </w:t>
      </w:r>
      <w:r w:rsidR="00312491">
        <w:t>Während die Pinozytose von vielfältigen Zelltypen beherrscht wird, sind lediglich besonders spezialisierte Zellen zur Phagozytose befähigt. Dazu zählen beispielsweise Leuk</w:t>
      </w:r>
      <w:r w:rsidR="0071035B">
        <w:t>ozyten, Makrophagen und</w:t>
      </w:r>
      <w:r w:rsidR="00312491">
        <w:t xml:space="preserve"> M-Zellen, die Epithelzellen des Follikel-assoziierten Systems. </w:t>
      </w:r>
      <w:r w:rsidR="0071035B">
        <w:t xml:space="preserve">Die M-Zellen nehmen Antigene </w:t>
      </w:r>
      <w:r w:rsidR="006D23E7">
        <w:t xml:space="preserve">oder kleinere Bakterien </w:t>
      </w:r>
      <w:r w:rsidR="004C7D63">
        <w:t>durch</w:t>
      </w:r>
      <w:r w:rsidR="0071035B">
        <w:t xml:space="preserve"> Phagozytose aus dem Darm</w:t>
      </w:r>
      <w:r w:rsidR="00DF24A0">
        <w:t>lumen</w:t>
      </w:r>
      <w:r w:rsidR="0071035B">
        <w:t xml:space="preserve"> auf und leiten diese unverändert an Immunzellen der Peyer-Plaques weiter</w:t>
      </w:r>
      <w:r w:rsidR="0071035B">
        <w:rPr>
          <w:rStyle w:val="Endnotenzeichen"/>
        </w:rPr>
        <w:endnoteReference w:id="30"/>
      </w:r>
      <w:r w:rsidR="0071035B">
        <w:t>.</w:t>
      </w:r>
      <w:r w:rsidR="00736C82">
        <w:t xml:space="preserve"> </w:t>
      </w:r>
      <w:r w:rsidR="001E7252">
        <w:t xml:space="preserve">Dieser Vorgang wird allgemein auch als Transzytose bezeichnet. </w:t>
      </w:r>
      <w:r w:rsidR="006D23E7">
        <w:t xml:space="preserve">Die Größe der </w:t>
      </w:r>
      <w:r w:rsidR="001E7252">
        <w:t>Partikel, die per Phagozytose aufgenommen werden können, liegt</w:t>
      </w:r>
      <w:r w:rsidR="00DF24A0">
        <w:t xml:space="preserve"> in etwa</w:t>
      </w:r>
      <w:r w:rsidR="001E7252">
        <w:t xml:space="preserve"> zwischen 200 nm und ca. 1 µm.</w:t>
      </w:r>
      <w:r w:rsidR="00197D90">
        <w:t xml:space="preserve"> Da die M-Zellen</w:t>
      </w:r>
      <w:r w:rsidR="00E32856">
        <w:t xml:space="preserve"> eine besonders hohe Transzytoseaktivität aufweisen, </w:t>
      </w:r>
      <w:r w:rsidR="00197D90">
        <w:t>wurde bereits von einigen Arbeitsgruppen versucht</w:t>
      </w:r>
      <w:r w:rsidR="00A84A06">
        <w:t>, sie</w:t>
      </w:r>
      <w:r w:rsidR="00197D90">
        <w:t xml:space="preserve"> gezielt fü</w:t>
      </w:r>
      <w:r w:rsidR="00BD2208">
        <w:t>r die Aufnahme von wirkstof</w:t>
      </w:r>
      <w:r w:rsidR="00B6454B">
        <w:t>fbeladenen Partikeln zu nutzen</w:t>
      </w:r>
      <w:r w:rsidR="00B6454B">
        <w:rPr>
          <w:rStyle w:val="Endnotenzeichen"/>
        </w:rPr>
        <w:endnoteReference w:id="31"/>
      </w:r>
      <w:r w:rsidR="00B6454B">
        <w:rPr>
          <w:vertAlign w:val="superscript"/>
        </w:rPr>
        <w:t>,</w:t>
      </w:r>
      <w:r w:rsidR="00B6454B">
        <w:rPr>
          <w:rStyle w:val="Endnotenzeichen"/>
        </w:rPr>
        <w:endnoteReference w:id="32"/>
      </w:r>
      <w:r w:rsidR="00B6454B">
        <w:t>.</w:t>
      </w:r>
      <w:r w:rsidR="00103AF7">
        <w:t xml:space="preserve"> </w:t>
      </w:r>
      <w:r w:rsidR="00A84A06">
        <w:t>Die M-Zellen</w:t>
      </w:r>
      <w:r w:rsidR="006F5CB1">
        <w:t xml:space="preserve"> stellen allerdings wie bereits weiter oben erwähnt</w:t>
      </w:r>
      <w:r w:rsidR="004C7D63">
        <w:t xml:space="preserve"> nur einen s</w:t>
      </w:r>
      <w:r w:rsidR="00A84A06">
        <w:t>ehr geringen Teil des</w:t>
      </w:r>
      <w:r w:rsidR="00B6454B">
        <w:t xml:space="preserve"> gesamten Darmepithel</w:t>
      </w:r>
      <w:r w:rsidR="00A84A06">
        <w:t>s dar</w:t>
      </w:r>
      <w:r w:rsidR="004C7D63">
        <w:t>, weshalb davon ausgegangen werde</w:t>
      </w:r>
      <w:r w:rsidR="00A84A06">
        <w:t>n kann, dass sie</w:t>
      </w:r>
      <w:r w:rsidR="004C7D63">
        <w:t xml:space="preserve"> keinen wesentlichen Beitrag zur Bioverfügbarkeitsverbesserung von Proteinen leisten können.</w:t>
      </w:r>
      <w:r w:rsidR="00103AF7">
        <w:t xml:space="preserve"> </w:t>
      </w:r>
      <w:r w:rsidR="004C7D63">
        <w:t>Dass eine gezielte</w:t>
      </w:r>
      <w:r w:rsidR="00103AF7">
        <w:t xml:space="preserve"> Ansteuerung der M-Zellen</w:t>
      </w:r>
      <w:r w:rsidR="004C7D63">
        <w:t xml:space="preserve"> bei der oralen Vakzinierung</w:t>
      </w:r>
      <w:r w:rsidR="00B6454B">
        <w:t xml:space="preserve"> hingegen</w:t>
      </w:r>
      <w:r w:rsidR="004C7D63">
        <w:t xml:space="preserve"> von großem Nu</w:t>
      </w:r>
      <w:r w:rsidR="00DF24A0">
        <w:t>tzen sein kann, wurde bereits</w:t>
      </w:r>
      <w:r w:rsidR="004C7D63">
        <w:t xml:space="preserve"> 1997 von Robinson et al. gezeigt</w:t>
      </w:r>
      <w:r w:rsidR="004C7D63">
        <w:rPr>
          <w:rStyle w:val="Endnotenzeichen"/>
        </w:rPr>
        <w:endnoteReference w:id="33"/>
      </w:r>
      <w:r w:rsidR="004C7D63">
        <w:t>.</w:t>
      </w:r>
      <w:r w:rsidR="004C7D63" w:rsidRPr="004C7D63">
        <w:t xml:space="preserve"> </w:t>
      </w:r>
      <w:r w:rsidR="00103AF7">
        <w:t xml:space="preserve">Auch </w:t>
      </w:r>
      <w:r w:rsidR="004C7D63">
        <w:t>Borges et al. führten Studien zur M-Zell vermittelten Vakzinierung durch, die vielversprechende Ergebnisse zeigten</w:t>
      </w:r>
      <w:r w:rsidR="00B6454B">
        <w:rPr>
          <w:rStyle w:val="Endnotenzeichen"/>
        </w:rPr>
        <w:endnoteReference w:id="34"/>
      </w:r>
      <w:r w:rsidR="004C7D63">
        <w:t>.</w:t>
      </w:r>
    </w:p>
    <w:p w14:paraId="768BDDBD" w14:textId="77777777" w:rsidR="001D3823" w:rsidRDefault="001D3823" w:rsidP="00A96FCB">
      <w:r>
        <w:t>Die Steuerung der Endozytose kann über Rezeptoren erfolgen und durch Bindung spezifischer Liganden an Bindungsdomänen auf der Zello</w:t>
      </w:r>
      <w:r w:rsidR="003F6697">
        <w:t xml:space="preserve">berfläche ausgelöst werden. Die </w:t>
      </w:r>
      <w:r>
        <w:t>Calveoline oder Clathrin sind Membranproteine, die in diesem Zusammenhang eine Rolle spielen</w:t>
      </w:r>
      <w:r w:rsidR="000A1C05">
        <w:t>.</w:t>
      </w:r>
    </w:p>
    <w:p w14:paraId="6EC68695" w14:textId="77777777" w:rsidR="00CF5122" w:rsidRPr="00A96FCB" w:rsidRDefault="00CF5122" w:rsidP="00A96FCB">
      <w:r>
        <w:t>Peroral zugeführte Peptide oder Proteine können durchaus per Endozytose von der Darmschleimhaut aufgeno</w:t>
      </w:r>
      <w:r w:rsidR="003F6697">
        <w:t xml:space="preserve">mmen werden. Jedoch besteht beim transzellulären Weg stets das </w:t>
      </w:r>
      <w:r w:rsidR="003F6697">
        <w:lastRenderedPageBreak/>
        <w:t>Risiko eines enzymatischen Abbaus in Lysosomen oder einer Antigenpräsentation der exogenen Mole</w:t>
      </w:r>
      <w:r w:rsidR="00A63734">
        <w:t>küle an Zellen des Immunsystems, sofern</w:t>
      </w:r>
      <w:r w:rsidR="003F6697">
        <w:t xml:space="preserve"> eine Aufnahme</w:t>
      </w:r>
      <w:r w:rsidR="00D60D94">
        <w:t xml:space="preserve"> über die M-Zellen in die Peyer</w:t>
      </w:r>
      <w:r w:rsidR="003F6697">
        <w:t>-Plaques erfolgt. Beides ist nicht gewünscht und würde sich negativ auf die systemische Verfügbarkeit auswirken.</w:t>
      </w:r>
    </w:p>
    <w:p w14:paraId="5125F225" w14:textId="77777777" w:rsidR="00391870" w:rsidRDefault="00391870" w:rsidP="00B90911">
      <w:pPr>
        <w:pStyle w:val="berschrift2"/>
      </w:pPr>
      <w:r w:rsidRPr="00501895">
        <w:tab/>
      </w:r>
      <w:bookmarkStart w:id="36" w:name="_Toc294380165"/>
      <w:r w:rsidR="00C85A5C" w:rsidRPr="00501895">
        <w:t>Perorale Verabreichung von therapeutischen Peptiden und Proteinen</w:t>
      </w:r>
      <w:bookmarkEnd w:id="36"/>
    </w:p>
    <w:p w14:paraId="37C76490" w14:textId="77777777" w:rsidR="00DB6565" w:rsidRDefault="00800BB0" w:rsidP="00751D79">
      <w:r>
        <w:t>Wie be</w:t>
      </w:r>
      <w:r w:rsidR="00B936D4">
        <w:t>reits in der Einleitung erwähnt</w:t>
      </w:r>
      <w:r w:rsidR="00F00561">
        <w:t xml:space="preserve"> wurde</w:t>
      </w:r>
      <w:r w:rsidR="00B936D4">
        <w:t>,</w:t>
      </w:r>
      <w:r>
        <w:t xml:space="preserve"> steigt die </w:t>
      </w:r>
      <w:r w:rsidR="00F00561">
        <w:t>Anz</w:t>
      </w:r>
      <w:r>
        <w:t xml:space="preserve">ahl der neu </w:t>
      </w:r>
      <w:r w:rsidR="00477BEF">
        <w:t xml:space="preserve">zugelassenen und </w:t>
      </w:r>
      <w:r w:rsidR="00CE2B06">
        <w:t xml:space="preserve">der </w:t>
      </w:r>
      <w:r w:rsidR="00477BEF">
        <w:t xml:space="preserve">sich in der Pipeline befindenden Peptid- und </w:t>
      </w:r>
      <w:r>
        <w:t xml:space="preserve">Proteinwirkstoffe nach wie </w:t>
      </w:r>
      <w:r w:rsidR="00B66043">
        <w:t>vor von Jahr zu Jahr.</w:t>
      </w:r>
      <w:r w:rsidR="00B936D4">
        <w:t xml:space="preserve"> Dies liegt zum einen an dem immensen Potential dieser Wirkstoffe hinsichtlich neuer Therapieansätze und zum ander</w:t>
      </w:r>
      <w:r w:rsidR="00CE2B06">
        <w:t>e</w:t>
      </w:r>
      <w:r w:rsidR="00B936D4">
        <w:t xml:space="preserve">n an der fortschreitenden Entwicklung der </w:t>
      </w:r>
      <w:r w:rsidR="00CE2B06">
        <w:t>Biotechnologie, wodurch eine effiziente Herstel</w:t>
      </w:r>
      <w:r w:rsidR="00FD040A">
        <w:t>lung in großen Maßstäben ermöglicht</w:t>
      </w:r>
      <w:r w:rsidR="00CE2B06">
        <w:t xml:space="preserve"> wurde</w:t>
      </w:r>
      <w:bookmarkStart w:id="37" w:name="_Ref286251102"/>
      <w:r w:rsidR="00D60D94">
        <w:rPr>
          <w:rStyle w:val="Endnotenzeichen"/>
        </w:rPr>
        <w:endnoteReference w:id="35"/>
      </w:r>
      <w:bookmarkEnd w:id="37"/>
      <w:r w:rsidR="00CE2B06">
        <w:t>.</w:t>
      </w:r>
      <w:r w:rsidR="0020154F">
        <w:t xml:space="preserve"> Die weit größte Anzahl der neuen Therapeutika dieser Wirkstoffklasse wird </w:t>
      </w:r>
      <w:r w:rsidR="00DA5211">
        <w:t xml:space="preserve">nach wie vor </w:t>
      </w:r>
      <w:r w:rsidR="0020154F">
        <w:t xml:space="preserve">als parenterale Formulierung </w:t>
      </w:r>
      <w:r w:rsidR="00D159D5">
        <w:t xml:space="preserve">auf den Markt gebracht, obwohl diese Applikationsart mit deutlichen Nachteilen und Risiken für den Patienten verbunden ist. </w:t>
      </w:r>
      <w:r w:rsidR="00A3611D">
        <w:t>Ein Nadelstich ist schmerzhaft und wird</w:t>
      </w:r>
      <w:r w:rsidR="00FB6354">
        <w:t xml:space="preserve"> daher</w:t>
      </w:r>
      <w:r w:rsidR="00A3611D">
        <w:t xml:space="preserve"> in aller Regel als</w:t>
      </w:r>
      <w:r w:rsidR="00D159D5">
        <w:t xml:space="preserve"> unangenehm</w:t>
      </w:r>
      <w:r w:rsidR="00FB6354">
        <w:t xml:space="preserve"> empfunden und jeder invasive Eingriff bringt </w:t>
      </w:r>
      <w:r w:rsidR="00C311D6">
        <w:t xml:space="preserve">zudem </w:t>
      </w:r>
      <w:r w:rsidR="00FB6354">
        <w:t>ein gewisses Infektionsrisiko mit sich</w:t>
      </w:r>
      <w:r w:rsidR="00DF5C1F">
        <w:t>. Abhängig von der</w:t>
      </w:r>
      <w:r w:rsidR="005E1536">
        <w:t xml:space="preserve"> Darreichungsform</w:t>
      </w:r>
      <w:r w:rsidR="00D159D5">
        <w:t xml:space="preserve"> besteht außerdem das </w:t>
      </w:r>
      <w:r w:rsidR="00A3611D">
        <w:t>Risiko der</w:t>
      </w:r>
      <w:r w:rsidR="00D159D5">
        <w:t xml:space="preserve"> Paravasation </w:t>
      </w:r>
      <w:r w:rsidR="00DF5C1F">
        <w:t xml:space="preserve">(eine Infusion läuft nicht in die Vene, sondern in das umliegende Gewebe) oder der Bildung von Hämatomen an der Einstichstelle. </w:t>
      </w:r>
      <w:r w:rsidR="00A3611D">
        <w:t xml:space="preserve">Da die Verabreichung von Parenteralia häufig von medizinischem </w:t>
      </w:r>
      <w:r w:rsidR="005E1536">
        <w:t>Fachp</w:t>
      </w:r>
      <w:r w:rsidR="00A3611D">
        <w:t>ersonal durchgeführt werden mus</w:t>
      </w:r>
      <w:r w:rsidR="00FB6354">
        <w:t>s</w:t>
      </w:r>
      <w:r w:rsidR="005E1536">
        <w:t xml:space="preserve"> und dafür spezielles Injektionsbesteck benötigt wird</w:t>
      </w:r>
      <w:r w:rsidR="00FB6354">
        <w:t>, entstehen außerdem zusätzliche</w:t>
      </w:r>
      <w:r w:rsidR="00A3611D">
        <w:t xml:space="preserve"> Kosten für das Gesundheitssystem. </w:t>
      </w:r>
      <w:r w:rsidR="00DF5C1F">
        <w:t>Die perorale Gabe hingegen ist weit sicherer und komfortabler</w:t>
      </w:r>
      <w:r w:rsidR="00A3611D">
        <w:t xml:space="preserve"> und wird vom Patienten deutlich</w:t>
      </w:r>
      <w:r w:rsidR="00DF5C1F">
        <w:t xml:space="preserve"> bevorzugt. Um die Sicherheit</w:t>
      </w:r>
      <w:r w:rsidR="005E1536">
        <w:t xml:space="preserve"> für die Patienten und deren</w:t>
      </w:r>
      <w:r w:rsidR="00126B25">
        <w:t xml:space="preserve"> Compliance </w:t>
      </w:r>
      <w:r w:rsidR="00DF5C1F">
        <w:t>zu verb</w:t>
      </w:r>
      <w:r w:rsidR="00A3611D">
        <w:t>essern, sollte stets die Formulierung oraler</w:t>
      </w:r>
      <w:r w:rsidR="00BA1BF8">
        <w:t xml:space="preserve"> Arzneiformen angestrebt werden, </w:t>
      </w:r>
      <w:r w:rsidR="006B6A0C">
        <w:t>sofern ein orales Einnahmeschema aus pharmakologischer und pharmakokinetischer</w:t>
      </w:r>
      <w:r w:rsidR="002243E9">
        <w:t xml:space="preserve"> Sicht</w:t>
      </w:r>
      <w:r w:rsidR="006B6A0C">
        <w:t xml:space="preserve"> </w:t>
      </w:r>
      <w:r w:rsidR="001F1364">
        <w:t>sinnvoll ist.</w:t>
      </w:r>
    </w:p>
    <w:p w14:paraId="7769AA19" w14:textId="77777777" w:rsidR="00F00561" w:rsidRDefault="006B6A0C" w:rsidP="00751D79">
      <w:r>
        <w:t>Die perorale Gabe von Peptiden und Proteinen ist</w:t>
      </w:r>
      <w:r w:rsidR="00DF24A0">
        <w:t xml:space="preserve"> </w:t>
      </w:r>
      <w:r w:rsidR="00A363A4">
        <w:t xml:space="preserve">allerdings </w:t>
      </w:r>
      <w:r w:rsidR="00DF24A0">
        <w:t>wie bereits erwähnt</w:t>
      </w:r>
      <w:r w:rsidR="00C46D0F">
        <w:t xml:space="preserve"> nicht ohne w</w:t>
      </w:r>
      <w:r>
        <w:t xml:space="preserve">eiteres möglich, da die systemische Verfügbarkeit </w:t>
      </w:r>
      <w:r w:rsidR="00F65C68">
        <w:t>häufig nicht ausreicht, um eine pharmakologische Wirkung zu erzielen. Die enzymatische Instabilität, die geringe mukosale Resorption und die schnelle Biotransformation und Elimination aus dem Blutkreislauf führen zu einer geringen oralen Bioverfügbarkeit dieser Wirkstoffe</w:t>
      </w:r>
      <w:r w:rsidR="00D16240">
        <w:fldChar w:fldCharType="begin"/>
      </w:r>
      <w:r w:rsidR="00D60D94">
        <w:instrText xml:space="preserve"> NOTEREF _Ref286251102 \f \h </w:instrText>
      </w:r>
      <w:r w:rsidR="00D16240">
        <w:fldChar w:fldCharType="separate"/>
      </w:r>
      <w:r w:rsidR="00711AB8" w:rsidRPr="00711AB8">
        <w:rPr>
          <w:rStyle w:val="Endnotenzeichen"/>
        </w:rPr>
        <w:t>35</w:t>
      </w:r>
      <w:r w:rsidR="00D16240">
        <w:fldChar w:fldCharType="end"/>
      </w:r>
      <w:r w:rsidR="00AD0BB4">
        <w:t xml:space="preserve">. Nachdem in Kapitel </w:t>
      </w:r>
      <w:r w:rsidR="00A363A4">
        <w:t xml:space="preserve">1.3.2 die Resorptionsbarrieren ausgehend von der Anatomie und Physiologie des Verdauungstraktes </w:t>
      </w:r>
      <w:r w:rsidR="00AD0BB4">
        <w:t xml:space="preserve">beschrieben wurden, </w:t>
      </w:r>
      <w:r w:rsidR="00A363A4">
        <w:t>werden im folgenden Kapitel</w:t>
      </w:r>
      <w:r w:rsidR="00DB6565">
        <w:t xml:space="preserve"> vorwiegend</w:t>
      </w:r>
      <w:r w:rsidR="00A363A4">
        <w:t xml:space="preserve"> stoffliche Eigenschaften der Arzneistoffmoleküle näher beleuchtet, die für deren geringe orale Bioverfügbarkeit verantwortlich sind.</w:t>
      </w:r>
    </w:p>
    <w:p w14:paraId="2BAF6D5B" w14:textId="77777777" w:rsidR="00B64555" w:rsidRPr="00751D79" w:rsidRDefault="00B64555" w:rsidP="00751D79">
      <w:r>
        <w:lastRenderedPageBreak/>
        <w:t xml:space="preserve">In der Fachliteratur werden vielfältige Ansätze zur erfolgreichen peroralen Gabe von Peptiden beschrieben, die sich beispielsweise mit gezielten chemischen Modifikationen der Arzneistoffmoleküle oder mit ganz speziellen galenischen Formulierungen beschäftigen. Einige dieser Konzepte werden in Kapitel </w:t>
      </w:r>
      <w:r w:rsidR="00D16240">
        <w:fldChar w:fldCharType="begin"/>
      </w:r>
      <w:r>
        <w:instrText xml:space="preserve"> REF _Ref276513572 \n \h </w:instrText>
      </w:r>
      <w:r w:rsidR="00D16240">
        <w:fldChar w:fldCharType="separate"/>
      </w:r>
      <w:r w:rsidR="00711AB8">
        <w:t>1.6</w:t>
      </w:r>
      <w:r w:rsidR="00D16240">
        <w:fldChar w:fldCharType="end"/>
      </w:r>
      <w:r>
        <w:t xml:space="preserve"> dieser Arbeit genauer beschrieben und diskutiert.</w:t>
      </w:r>
    </w:p>
    <w:p w14:paraId="040301AC" w14:textId="77777777" w:rsidR="00391870" w:rsidRDefault="00C85A5C" w:rsidP="001C6849">
      <w:pPr>
        <w:pStyle w:val="berschrift3"/>
      </w:pPr>
      <w:bookmarkStart w:id="38" w:name="_Toc294380166"/>
      <w:r w:rsidRPr="00C85A5C">
        <w:t>Bioverfügbarkeit</w:t>
      </w:r>
      <w:bookmarkEnd w:id="38"/>
    </w:p>
    <w:p w14:paraId="0263CD26" w14:textId="77777777" w:rsidR="00C311D6" w:rsidRDefault="00C311D6" w:rsidP="00E6644E">
      <w:r>
        <w:t xml:space="preserve">Die Bioverfügbarkeit ist ein zentrales Merkmal im Zusammenhang mit der peroralen Gabe von Peptidarzneistoffen. Nachdem dieser Begriff in voranstehenden Kapiteln bereits häufiger zitiert </w:t>
      </w:r>
      <w:r w:rsidR="00630538">
        <w:t>wurde, erfolgt an dieser Stelle zunächst eine</w:t>
      </w:r>
      <w:r>
        <w:t xml:space="preserve"> Erläuterung, was sich genau dahinter verbirg</w:t>
      </w:r>
      <w:r w:rsidR="00313845">
        <w:t>t</w:t>
      </w:r>
      <w:r>
        <w:t>.</w:t>
      </w:r>
    </w:p>
    <w:p w14:paraId="49C1DDFB" w14:textId="77777777" w:rsidR="00C52845" w:rsidRDefault="00190DCB" w:rsidP="00E6644E">
      <w:r>
        <w:t>Damit ein pharmazeutischer Wirkstoff seine Wirkung entfalten kann, muss er am Ort der gewünschten Wirkung in ausreichender Konzentra</w:t>
      </w:r>
      <w:r w:rsidR="00F14142">
        <w:t>tion vorliegen. Dies stellt ganz spezielle</w:t>
      </w:r>
      <w:r>
        <w:t xml:space="preserve"> Ansprüche an das Arzneimittel und erfordert in Abhängigkeit des Therapiezieles und</w:t>
      </w:r>
      <w:r w:rsidR="00DB6565">
        <w:t xml:space="preserve"> des Wirkstoffes die Auswahl einer geeigneten</w:t>
      </w:r>
      <w:r>
        <w:t xml:space="preserve"> Darreichungsform. Um </w:t>
      </w:r>
      <w:r w:rsidR="00650FDB">
        <w:t>exakt beurteilen zu können</w:t>
      </w:r>
      <w:r w:rsidR="004056CD">
        <w:t xml:space="preserve"> mit welcher Arzneiform die höchsten Konzentrationen am Ort der Wirkung erzielt werden können, wäre eigentlich eine Messung der Arzneistoffkonzentration im Zielorgan oder an der Zielstruktur notwendig. Dies ist jedoch in aller Regel zumindest in Humanstudien nicht möglich.</w:t>
      </w:r>
      <w:r w:rsidR="00B1636E">
        <w:t xml:space="preserve"> Da</w:t>
      </w:r>
      <w:r>
        <w:t xml:space="preserve"> </w:t>
      </w:r>
      <w:r w:rsidR="00B1636E">
        <w:t xml:space="preserve">der </w:t>
      </w:r>
      <w:r>
        <w:t>Trans</w:t>
      </w:r>
      <w:r w:rsidR="004056CD">
        <w:t>port der Wirksto</w:t>
      </w:r>
      <w:r w:rsidR="00B1636E">
        <w:t>ffe zu ihrem Wirkungsort</w:t>
      </w:r>
      <w:r w:rsidR="00313845">
        <w:t xml:space="preserve"> allerdings</w:t>
      </w:r>
      <w:r w:rsidR="004056CD">
        <w:t xml:space="preserve"> meist über den Blutkreislauf </w:t>
      </w:r>
      <w:r w:rsidR="00BD2896">
        <w:t>erfolgt, kann</w:t>
      </w:r>
      <w:r w:rsidR="00B1636E">
        <w:t xml:space="preserve"> von der Annahme ausgegangen</w:t>
      </w:r>
      <w:r w:rsidR="00BD2896">
        <w:t xml:space="preserve"> werden</w:t>
      </w:r>
      <w:r w:rsidR="00B1636E">
        <w:t>, dass die Konzentration im Blut mit de</w:t>
      </w:r>
      <w:r w:rsidR="00BD2896">
        <w:t>r Konzentration am Zielorgan gut</w:t>
      </w:r>
      <w:r w:rsidR="00B1636E">
        <w:t xml:space="preserve"> korreliert. Auf Basis dieser Annahme wurde die Bioverfügbarkeit als eine pharmakologische Kenngröße folgendermaßen definiert:</w:t>
      </w:r>
      <w:r w:rsidR="004056CD">
        <w:t xml:space="preserve"> </w:t>
      </w:r>
      <w:r w:rsidR="00FC4A02">
        <w:t>Di</w:t>
      </w:r>
      <w:r w:rsidR="00B1636E">
        <w:t>e Bioverfügbarkeit (</w:t>
      </w:r>
      <w:r w:rsidR="00B1636E" w:rsidRPr="00505EF6">
        <w:rPr>
          <w:i/>
        </w:rPr>
        <w:t>F</w:t>
      </w:r>
      <w:r w:rsidR="00B1636E">
        <w:t xml:space="preserve">) </w:t>
      </w:r>
      <w:r w:rsidR="00FC4A02">
        <w:t xml:space="preserve">beschreibt, zu welchem Ausmaß und mit welcher Geschwindigkeit eine applizierte Arzneistoffdosis </w:t>
      </w:r>
      <w:r>
        <w:t>vom</w:t>
      </w:r>
      <w:r w:rsidR="004056CD">
        <w:t xml:space="preserve"> Organismus aufgenommen und im </w:t>
      </w:r>
      <w:r>
        <w:t>systemisch</w:t>
      </w:r>
      <w:r w:rsidR="00B1636E">
        <w:t>en Blutkreislauf verteilt wird</w:t>
      </w:r>
      <w:r w:rsidR="00B1636E">
        <w:rPr>
          <w:rStyle w:val="Endnotenzeichen"/>
        </w:rPr>
        <w:endnoteReference w:id="36"/>
      </w:r>
      <w:r w:rsidR="00B1636E">
        <w:t>.</w:t>
      </w:r>
      <w:r w:rsidR="00BD2896">
        <w:t xml:space="preserve"> </w:t>
      </w:r>
      <w:r w:rsidR="00486031">
        <w:t xml:space="preserve">Nach dieser Definition beträgt die Bioverfügbarkeit eines intravenös verabreichten Arzneimittels 100%. </w:t>
      </w:r>
      <w:r w:rsidR="00BD2896">
        <w:t>Die oral</w:t>
      </w:r>
      <w:r w:rsidR="006501B8">
        <w:t>e Bioverfügbarkeit ist definitionsgemäß eine absolute Bioverfügbarkeit und gibt die Bioverfügbarkeit einer peroral applizierten Substanz relativ zur intravenösen Gabe an.</w:t>
      </w:r>
      <w:r w:rsidR="00486031">
        <w:t xml:space="preserve"> </w:t>
      </w:r>
      <w:r w:rsidR="006501B8">
        <w:t xml:space="preserve">Sie </w:t>
      </w:r>
      <w:r w:rsidR="00486031">
        <w:t>stellt das Produkt aus dem im Darm absorbierten Wirk</w:t>
      </w:r>
      <w:r w:rsidR="00EB5785">
        <w:t>stoffanteil mit jeweils</w:t>
      </w:r>
      <w:r w:rsidR="006501B8">
        <w:t xml:space="preserve"> den Anteilen dar, die weder präsystemisch in der Darmwand noch bei der ersten Leberpassage</w:t>
      </w:r>
      <w:r w:rsidR="00021667">
        <w:t xml:space="preserve"> (</w:t>
      </w:r>
      <w:r w:rsidR="00021667" w:rsidRPr="00505EF6">
        <w:rPr>
          <w:i/>
        </w:rPr>
        <w:t>First-Pass</w:t>
      </w:r>
      <w:r w:rsidR="00021667">
        <w:t>)</w:t>
      </w:r>
      <w:r w:rsidR="006501B8">
        <w:t xml:space="preserve"> abgebaut wurden. </w:t>
      </w:r>
    </w:p>
    <w:p w14:paraId="2D6DC259" w14:textId="77777777" w:rsidR="00E6644E" w:rsidRDefault="008F6B3F" w:rsidP="00E6644E">
      <w:r>
        <w:t>Die orale Bioverfügbarkeit</w:t>
      </w:r>
      <w:r w:rsidR="00DB6565">
        <w:t xml:space="preserve"> eines Arzneistoffes</w:t>
      </w:r>
      <w:r>
        <w:t xml:space="preserve"> wird durch physiologische, physikochemische und biopharmazeutis</w:t>
      </w:r>
      <w:r w:rsidR="00B02B80">
        <w:t>che Faktoren beeinflusst. Die in</w:t>
      </w:r>
      <w:r>
        <w:t xml:space="preserve"> Abschnitt </w:t>
      </w:r>
      <w:r w:rsidR="00D16240">
        <w:fldChar w:fldCharType="begin"/>
      </w:r>
      <w:r>
        <w:instrText xml:space="preserve"> REF _Ref276583959 \n \h </w:instrText>
      </w:r>
      <w:r w:rsidR="00D16240">
        <w:fldChar w:fldCharType="separate"/>
      </w:r>
      <w:r w:rsidR="00711AB8">
        <w:t>1.3.2</w:t>
      </w:r>
      <w:r w:rsidR="00D16240">
        <w:fldChar w:fldCharType="end"/>
      </w:r>
      <w:r>
        <w:t xml:space="preserve"> beschriebenen physiologischen Barrieren tragen dazu bei, die systemische Verfügbarkeit peroral applizierter Peptide </w:t>
      </w:r>
      <w:r w:rsidR="00EB5F44">
        <w:t xml:space="preserve">und Proteine zu verringern. </w:t>
      </w:r>
      <w:r>
        <w:t xml:space="preserve">Betrachtungen </w:t>
      </w:r>
      <w:r w:rsidR="00EB5F44">
        <w:t>zur physikalischen und chemischen Stabilität der Wirkstoffe</w:t>
      </w:r>
      <w:r>
        <w:t xml:space="preserve"> erfolgen im anschließenden Abschnitt </w:t>
      </w:r>
      <w:r w:rsidR="00D16240">
        <w:fldChar w:fldCharType="begin"/>
      </w:r>
      <w:r>
        <w:instrText xml:space="preserve"> REF _Ref276584243 \n \h </w:instrText>
      </w:r>
      <w:r w:rsidR="00D16240">
        <w:fldChar w:fldCharType="separate"/>
      </w:r>
      <w:r w:rsidR="00711AB8">
        <w:t>1.4.2</w:t>
      </w:r>
      <w:r w:rsidR="00D16240">
        <w:fldChar w:fldCharType="end"/>
      </w:r>
      <w:r w:rsidR="00F14142">
        <w:t>. Als</w:t>
      </w:r>
      <w:r>
        <w:t xml:space="preserve"> bio</w:t>
      </w:r>
      <w:r w:rsidR="00F14142">
        <w:t>pharmazeutische Faktoren sind</w:t>
      </w:r>
      <w:r>
        <w:t xml:space="preserve"> im Wesent</w:t>
      </w:r>
      <w:r w:rsidR="00F14142">
        <w:t>lichen die Frei</w:t>
      </w:r>
      <w:r w:rsidR="00C25358">
        <w:t>setzung aus dem Arzneimittel,</w:t>
      </w:r>
      <w:r w:rsidR="00F14142">
        <w:t xml:space="preserve"> die Löslichkeit des </w:t>
      </w:r>
      <w:r w:rsidR="00F14142">
        <w:lastRenderedPageBreak/>
        <w:t>Wirkstoffes</w:t>
      </w:r>
      <w:r w:rsidR="00C25358">
        <w:t xml:space="preserve"> und dessen Permeabilität</w:t>
      </w:r>
      <w:r w:rsidR="00F14142">
        <w:t xml:space="preserve"> zu nennen. Im Blutkreislauf kann nur der Arzneistoffanteil verteilt werden, der</w:t>
      </w:r>
      <w:r w:rsidR="00EB5F44">
        <w:t xml:space="preserve"> z</w:t>
      </w:r>
      <w:r w:rsidR="00C52845">
        <w:t>u</w:t>
      </w:r>
      <w:r w:rsidR="00EB5F44">
        <w:t>vor</w:t>
      </w:r>
      <w:r w:rsidR="00F14142">
        <w:t xml:space="preserve"> aus dem Wirkstoffträger freigesetzt wurde. Die Untersuchung der Freisetzungseigenschaften ist daher eine Grundvoraussetzung zur </w:t>
      </w:r>
      <w:r w:rsidR="00EB5F44">
        <w:t>erfolgreichen Entwicklung einer galenischen Formulierung</w:t>
      </w:r>
      <w:r w:rsidR="00F14142">
        <w:t>.</w:t>
      </w:r>
    </w:p>
    <w:p w14:paraId="66C5AAD8" w14:textId="77777777" w:rsidR="00EB5F44" w:rsidRPr="00E6644E" w:rsidRDefault="00E76663" w:rsidP="00E6644E">
      <w:r>
        <w:t>Unter den genannten Einflussfaktoren stellt die Überwindung der enzymatischen und membranbedingten Resorptionsbarrieren ganz klar</w:t>
      </w:r>
      <w:r w:rsidR="00EB5F44">
        <w:t xml:space="preserve"> </w:t>
      </w:r>
      <w:r>
        <w:t xml:space="preserve">die </w:t>
      </w:r>
      <w:r w:rsidR="00EB5F44">
        <w:t>größte Herausforderung bei der Verbesserung der oralen Bioverfügbarkeit von Peptide</w:t>
      </w:r>
      <w:r>
        <w:t>n und Proteinen</w:t>
      </w:r>
      <w:r w:rsidR="00EB5F44">
        <w:t xml:space="preserve"> dar</w:t>
      </w:r>
      <w:r>
        <w:rPr>
          <w:rStyle w:val="Endnotenzeichen"/>
        </w:rPr>
        <w:endnoteReference w:id="37"/>
      </w:r>
      <w:r w:rsidR="00EB5F44">
        <w:t>.</w:t>
      </w:r>
    </w:p>
    <w:p w14:paraId="48380A7E" w14:textId="77777777" w:rsidR="00391870" w:rsidRDefault="008D2047" w:rsidP="001C6849">
      <w:pPr>
        <w:pStyle w:val="berschrift3"/>
      </w:pPr>
      <w:bookmarkStart w:id="39" w:name="_Ref276584243"/>
      <w:bookmarkStart w:id="40" w:name="_Toc294380167"/>
      <w:r w:rsidRPr="008D2047">
        <w:t>Stabilität von</w:t>
      </w:r>
      <w:r w:rsidR="00391870" w:rsidRPr="008D2047">
        <w:t xml:space="preserve"> Pepti</w:t>
      </w:r>
      <w:r w:rsidR="0091750B">
        <w:t>den und Proteinen</w:t>
      </w:r>
      <w:bookmarkEnd w:id="39"/>
      <w:bookmarkEnd w:id="40"/>
    </w:p>
    <w:p w14:paraId="28F75E70" w14:textId="77777777" w:rsidR="00C52845" w:rsidRDefault="00C53DDE" w:rsidP="00C52845">
      <w:r>
        <w:t>Es ist allgemein bekannt, dass die Stabilität von Peptiden und Proteinen vor alle</w:t>
      </w:r>
      <w:r w:rsidR="000C366E">
        <w:t>m in wässrigen Lösungen</w:t>
      </w:r>
      <w:r w:rsidR="00BF3074">
        <w:t xml:space="preserve"> oder bei Einwirkung äußerer Einflüsse</w:t>
      </w:r>
      <w:r>
        <w:t xml:space="preserve"> begrenzt ist. Dies stellt eine große Herausforderung bei der Formulierung von Arzneistoffen dieser Stoffklass</w:t>
      </w:r>
      <w:r w:rsidR="003840E1">
        <w:t xml:space="preserve">e dar. Bei der </w:t>
      </w:r>
      <w:r w:rsidR="00BF3300">
        <w:t>Auswahl der benötigten Hilfsstoffe und hinsichtlic</w:t>
      </w:r>
      <w:r w:rsidR="009D731A">
        <w:t>h der Herstellungsmethode muss</w:t>
      </w:r>
      <w:r w:rsidR="00BF3300">
        <w:t xml:space="preserve"> die</w:t>
      </w:r>
      <w:r>
        <w:t xml:space="preserve"> physikalische </w:t>
      </w:r>
      <w:r w:rsidR="000C366E">
        <w:t>und die chemische</w:t>
      </w:r>
      <w:r>
        <w:t xml:space="preserve"> Stabilität der Wirkstoffmoleküle</w:t>
      </w:r>
      <w:r w:rsidR="00BF3300">
        <w:t xml:space="preserve"> berücksichtigt werden</w:t>
      </w:r>
      <w:r>
        <w:t>.</w:t>
      </w:r>
      <w:r w:rsidR="00BF3300">
        <w:t xml:space="preserve"> </w:t>
      </w:r>
      <w:r w:rsidR="009D731A">
        <w:t xml:space="preserve">Zur Einschätzung der Bioverfügbarkeit und </w:t>
      </w:r>
      <w:r w:rsidR="00E21DF8">
        <w:t>der Pharmakokinetik ist zudem</w:t>
      </w:r>
      <w:r w:rsidR="009D731A">
        <w:t xml:space="preserve"> die enzymatische Stabili</w:t>
      </w:r>
      <w:r w:rsidR="00C25358">
        <w:t>tät zu betrachten. Vor allem nach</w:t>
      </w:r>
      <w:r w:rsidR="009D731A">
        <w:t xml:space="preserve"> peroraler Gabe sind Peptidarzneistoffe </w:t>
      </w:r>
      <w:r w:rsidR="0064152C">
        <w:t>dra</w:t>
      </w:r>
      <w:r w:rsidR="008F7708">
        <w:t>stischen Bedingungen ausgesetzt, die zur Verminderung der Bioverfügbarkeit beitragen.</w:t>
      </w:r>
    </w:p>
    <w:p w14:paraId="34EEC049" w14:textId="77777777" w:rsidR="00FF6497" w:rsidRDefault="00F77A22" w:rsidP="00C52845">
      <w:r>
        <w:t>Im Zusammenhang mit</w:t>
      </w:r>
      <w:r w:rsidR="00FF6497">
        <w:t xml:space="preserve"> der chemischen Stabilität von Proteinen werden </w:t>
      </w:r>
      <w:r w:rsidR="007A0B4C">
        <w:t xml:space="preserve">unter anderem </w:t>
      </w:r>
      <w:r w:rsidR="00FF6497">
        <w:t>Veränderungen in der Primärstruktur betrachtet, die beispielweise durch hydrolytische oder enzymatische Spaltung von Peptidbindungen verursacht we</w:t>
      </w:r>
      <w:r>
        <w:t>rden können.</w:t>
      </w:r>
      <w:r w:rsidR="007A0B4C">
        <w:t xml:space="preserve"> </w:t>
      </w:r>
      <w:r w:rsidR="00DD6721">
        <w:t xml:space="preserve">Diese Veränderungen sind in aller Regel irreversibel. </w:t>
      </w:r>
      <w:r w:rsidR="007A0B4C">
        <w:t>Weiterhin können bereits</w:t>
      </w:r>
      <w:r>
        <w:t xml:space="preserve"> </w:t>
      </w:r>
      <w:r w:rsidR="000C366E">
        <w:t>chemische Reaktionen der Aminosäurereste</w:t>
      </w:r>
      <w:r w:rsidR="00FF6497">
        <w:t xml:space="preserve"> wie zum Beis</w:t>
      </w:r>
      <w:r w:rsidR="007A0B4C">
        <w:t>piel</w:t>
      </w:r>
      <w:r w:rsidR="000C366E">
        <w:t xml:space="preserve"> Deamidierung</w:t>
      </w:r>
      <w:r w:rsidR="007A0B4C">
        <w:t>en</w:t>
      </w:r>
      <w:r w:rsidR="000C366E">
        <w:t>,</w:t>
      </w:r>
      <w:r w:rsidR="00313845">
        <w:t xml:space="preserve"> Säure-Base-</w:t>
      </w:r>
      <w:r w:rsidR="00402D60">
        <w:t>Reaktion</w:t>
      </w:r>
      <w:r w:rsidR="000C366E">
        <w:t>en oder Redoxreaktionen zu einem Funktionsverlust führen</w:t>
      </w:r>
      <w:r w:rsidR="007A0B4C">
        <w:t>, auch wenn es dabei nicht zu einer Spaltung der Peptidkette kommt</w:t>
      </w:r>
      <w:r w:rsidR="00D16240" w:rsidRPr="00022AAE">
        <w:rPr>
          <w:vertAlign w:val="superscript"/>
        </w:rPr>
        <w:fldChar w:fldCharType="begin"/>
      </w:r>
      <w:r w:rsidR="00022AAE" w:rsidRPr="00022AAE">
        <w:rPr>
          <w:vertAlign w:val="superscript"/>
        </w:rPr>
        <w:instrText xml:space="preserve"> NOTEREF _Ref276995979 \h </w:instrText>
      </w:r>
      <w:r w:rsidR="00D16240" w:rsidRPr="00022AAE">
        <w:rPr>
          <w:vertAlign w:val="superscript"/>
        </w:rPr>
      </w:r>
      <w:r w:rsidR="00D16240" w:rsidRPr="00022AAE">
        <w:rPr>
          <w:vertAlign w:val="superscript"/>
        </w:rPr>
        <w:fldChar w:fldCharType="separate"/>
      </w:r>
      <w:r w:rsidR="00711AB8">
        <w:rPr>
          <w:vertAlign w:val="superscript"/>
        </w:rPr>
        <w:t>38</w:t>
      </w:r>
      <w:r w:rsidR="00D16240" w:rsidRPr="00022AAE">
        <w:rPr>
          <w:vertAlign w:val="superscript"/>
        </w:rPr>
        <w:fldChar w:fldCharType="end"/>
      </w:r>
      <w:r w:rsidR="00FF6497">
        <w:t>.</w:t>
      </w:r>
      <w:r w:rsidR="00DD6721">
        <w:t xml:space="preserve"> </w:t>
      </w:r>
    </w:p>
    <w:p w14:paraId="465382F1" w14:textId="77777777" w:rsidR="00163E55" w:rsidRDefault="0014189B" w:rsidP="00C52845">
      <w:r>
        <w:t xml:space="preserve">Die physikalische Stabilität von Proteinen bezieht sich auf die Erhaltung der nativen Konformation der Moleküle. Das heißt, es werden Veränderungen in der Tertiärstruktur oder in Strukturebenen höherer Ordnung berücksichtigt, die in aller Regel zu einem Funktionsverlust führen. Auch die Bildung von Proteinaggregaten oder die Adsorption an Oberflächen stellen physikalische Effekte dar, die Einfluss auf die Funktion der Moleküle besitzen. </w:t>
      </w:r>
      <w:r w:rsidR="004E001F">
        <w:t>Veränderungen der Tertiärstruktur führen zum Verlust der nativen Proteinfaltung und wirken sich in der Regel auf die Löslichkeit der Moleküle aus. Die Folge ist häufig eine flockige Ausfällung der Proteine aus wässrigen Lösungen. Dieser Vorgang wird als Denaturierung bezeichnet</w:t>
      </w:r>
      <w:r w:rsidR="00163E55">
        <w:t>, sofern es dabei nicht zur Spaltung kovalenter Bindungen kommt</w:t>
      </w:r>
      <w:r w:rsidR="004E001F">
        <w:t>.</w:t>
      </w:r>
      <w:r w:rsidR="00163E55">
        <w:t xml:space="preserve"> Die prinzipiell reversible reduktive Spaltung von Disulfidbrückenbindungen stellt</w:t>
      </w:r>
      <w:r>
        <w:t xml:space="preserve"> diesbezüglich</w:t>
      </w:r>
      <w:r w:rsidR="00163E55">
        <w:t xml:space="preserve"> einen Grenzfall dar und wird allgemein zu den Denaturierungen gezählt.</w:t>
      </w:r>
    </w:p>
    <w:p w14:paraId="0CD329E7" w14:textId="77777777" w:rsidR="003C4541" w:rsidRDefault="00855495" w:rsidP="00C52845">
      <w:r>
        <w:lastRenderedPageBreak/>
        <w:t>Die Tertiärstruktur von Proteinen wird durch intramolekulare Wechselwirkungen unterschiedlicher Art stabilisiert. Diese sind zum einen elektrostatische Wechselwirkungen wie Ionenpaarbildung, Wasserstoffbrückenbindungen oder van-der-Waals-Kräfte und zum anderen hydrophobe Wechselwirkungen unpolarer Gruppen. Chemische Veränderungen der Aminosäurereste du</w:t>
      </w:r>
      <w:r w:rsidR="00E21DF8">
        <w:t>rch</w:t>
      </w:r>
      <w:r w:rsidR="003C4541">
        <w:t xml:space="preserve"> Deamidierung, Redoxreaktionen</w:t>
      </w:r>
      <w:r w:rsidR="00E21DF8">
        <w:t xml:space="preserve"> und</w:t>
      </w:r>
      <w:r>
        <w:t xml:space="preserve"> Säure-Base Reaktionen oder Veränderungen der Hyd</w:t>
      </w:r>
      <w:r w:rsidR="00E21DF8">
        <w:t>ratisierung beispielsweise aufgrund</w:t>
      </w:r>
      <w:r>
        <w:t xml:space="preserve"> hohe</w:t>
      </w:r>
      <w:r w:rsidR="00E21DF8">
        <w:t xml:space="preserve">r Salzkonzentrationen </w:t>
      </w:r>
      <w:r>
        <w:t>können sich auf elektrostatische intramolekulare Bindun</w:t>
      </w:r>
      <w:r w:rsidR="0014189B">
        <w:t>gen auswirken und dadurch zur Denaturierung</w:t>
      </w:r>
      <w:r>
        <w:t xml:space="preserve"> führen</w:t>
      </w:r>
      <w:bookmarkStart w:id="41" w:name="_Ref276995979"/>
      <w:r w:rsidR="00E21DF8">
        <w:rPr>
          <w:rStyle w:val="Endnotenzeichen"/>
        </w:rPr>
        <w:endnoteReference w:id="38"/>
      </w:r>
      <w:bookmarkEnd w:id="41"/>
      <w:r>
        <w:t>.</w:t>
      </w:r>
      <w:r w:rsidR="004E001F">
        <w:t xml:space="preserve"> </w:t>
      </w:r>
      <w:r w:rsidR="00163E55">
        <w:t>Weiterhin können Proteine auch durch eine Temperaturveränderung denaturiert werden (Hitzedenaturierung).</w:t>
      </w:r>
      <w:r w:rsidR="004E001F">
        <w:t xml:space="preserve"> Eine Denaturierung </w:t>
      </w:r>
      <w:r w:rsidR="00E21DF8">
        <w:t>kann</w:t>
      </w:r>
      <w:r w:rsidR="004E001F">
        <w:t xml:space="preserve"> häufig </w:t>
      </w:r>
      <w:r w:rsidR="00E21DF8">
        <w:t>reversibel</w:t>
      </w:r>
      <w:r w:rsidR="004E001F">
        <w:t xml:space="preserve"> sein, wenn sie</w:t>
      </w:r>
      <w:r w:rsidR="006E42D1">
        <w:t xml:space="preserve"> beispielsweise vom pH-Wert (Säure/Base), </w:t>
      </w:r>
      <w:r w:rsidR="00163E55">
        <w:t>dem Hydratisierungsstatus (Salzkonzentration</w:t>
      </w:r>
      <w:r w:rsidR="006E42D1">
        <w:t>)</w:t>
      </w:r>
      <w:r w:rsidR="00163E55">
        <w:t xml:space="preserve"> oder </w:t>
      </w:r>
      <w:r w:rsidR="004E001F">
        <w:t>der Temperatur</w:t>
      </w:r>
      <w:r w:rsidR="006E42D1">
        <w:t xml:space="preserve"> </w:t>
      </w:r>
      <w:r w:rsidR="00163E55">
        <w:t>abhängt</w:t>
      </w:r>
      <w:r w:rsidR="006E42D1">
        <w:t>.</w:t>
      </w:r>
      <w:r w:rsidR="00163E55">
        <w:t xml:space="preserve"> Die Denaturierung aufgrund der Spaltung von Disulfidbrückenbindungen i</w:t>
      </w:r>
      <w:r w:rsidR="0014189B">
        <w:t>st in der Regel</w:t>
      </w:r>
      <w:r w:rsidR="00022AAE">
        <w:t xml:space="preserve"> </w:t>
      </w:r>
      <w:r w:rsidR="00163E55">
        <w:t>irreversibel</w:t>
      </w:r>
      <w:r w:rsidR="00D16240" w:rsidRPr="00022AAE">
        <w:rPr>
          <w:vertAlign w:val="superscript"/>
        </w:rPr>
        <w:fldChar w:fldCharType="begin"/>
      </w:r>
      <w:r w:rsidR="00022AAE" w:rsidRPr="00022AAE">
        <w:rPr>
          <w:vertAlign w:val="superscript"/>
        </w:rPr>
        <w:instrText xml:space="preserve"> NOTEREF _Ref276995979 \h </w:instrText>
      </w:r>
      <w:r w:rsidR="00D16240" w:rsidRPr="00022AAE">
        <w:rPr>
          <w:vertAlign w:val="superscript"/>
        </w:rPr>
      </w:r>
      <w:r w:rsidR="00D16240" w:rsidRPr="00022AAE">
        <w:rPr>
          <w:vertAlign w:val="superscript"/>
        </w:rPr>
        <w:fldChar w:fldCharType="separate"/>
      </w:r>
      <w:r w:rsidR="00711AB8">
        <w:rPr>
          <w:vertAlign w:val="superscript"/>
        </w:rPr>
        <w:t>38</w:t>
      </w:r>
      <w:r w:rsidR="00D16240" w:rsidRPr="00022AAE">
        <w:rPr>
          <w:vertAlign w:val="superscript"/>
        </w:rPr>
        <w:fldChar w:fldCharType="end"/>
      </w:r>
      <w:r w:rsidR="00163E55">
        <w:t>.</w:t>
      </w:r>
    </w:p>
    <w:p w14:paraId="1BFB27EF" w14:textId="77777777" w:rsidR="0089728C" w:rsidRPr="00C52845" w:rsidRDefault="0089728C" w:rsidP="00C52845">
      <w:r>
        <w:t xml:space="preserve">Nicht alle der im Folgenden angeführten Aspekte finden in der vorliegenden Arbeit Berücksichtigung, da sie nicht in jedem Fall relevant für die verwendete Modellsubstanz sind. Da jedoch großen Wert auf die Übertragbarkeit der vorgestellten Konzepte auf andere Peptid- oder Proteinwirkstoffe gelegt wird, sollen sie nicht unerwähnt bleiben. Eine spezifische Betrachtung der verwendeten Modellsubstanz unter dem Aspekt der Stabilität erfolgt in Kapitel </w:t>
      </w:r>
      <w:r w:rsidR="00D16240">
        <w:fldChar w:fldCharType="begin"/>
      </w:r>
      <w:r>
        <w:instrText xml:space="preserve"> REF _Ref284184185 \n \h </w:instrText>
      </w:r>
      <w:r w:rsidR="00D16240">
        <w:fldChar w:fldCharType="separate"/>
      </w:r>
      <w:r w:rsidR="00711AB8">
        <w:t>3.3</w:t>
      </w:r>
      <w:r w:rsidR="00D16240">
        <w:fldChar w:fldCharType="end"/>
      </w:r>
      <w:r>
        <w:t>.</w:t>
      </w:r>
    </w:p>
    <w:p w14:paraId="0D37CB54" w14:textId="77777777" w:rsidR="00C52845" w:rsidRDefault="0091750B" w:rsidP="00C52845">
      <w:pPr>
        <w:pStyle w:val="berschrift4"/>
      </w:pPr>
      <w:bookmarkStart w:id="42" w:name="_Toc294380168"/>
      <w:r>
        <w:t>Stabilität im Herstellungsprozess</w:t>
      </w:r>
      <w:bookmarkEnd w:id="42"/>
    </w:p>
    <w:p w14:paraId="307FFE47" w14:textId="77777777" w:rsidR="00DA036B" w:rsidRPr="00DA036B" w:rsidRDefault="00DA036B" w:rsidP="00DA036B">
      <w:r>
        <w:t>Zur Kontrolle der Stabilität während des Herstellungsprozesses empfiehlt es sich</w:t>
      </w:r>
      <w:r w:rsidR="00C41629">
        <w:t xml:space="preserve"> I</w:t>
      </w:r>
      <w:r>
        <w:t>n-Prozess-Kontrollen</w:t>
      </w:r>
      <w:r w:rsidR="007B52F1">
        <w:t xml:space="preserve"> jeweils</w:t>
      </w:r>
      <w:r>
        <w:t xml:space="preserve"> nach kritischen Prozessschritten durchzuführen. Zum Nachweis der Stabilität und Integrität der Proteine müssen strukturspezifisch geeignete analytische Methoden ausgewählt werden. Kritische Prozessschritte bei der Herstellung von Formulierungen aus Peptiden oder Proteinen si</w:t>
      </w:r>
      <w:r w:rsidR="004C02D2">
        <w:t xml:space="preserve">nd </w:t>
      </w:r>
      <w:r w:rsidR="008F7708">
        <w:t>beispielsweise die Erhitzung</w:t>
      </w:r>
      <w:r w:rsidR="007B52F1">
        <w:t xml:space="preserve"> bei</w:t>
      </w:r>
      <w:r w:rsidR="004C02D2">
        <w:t xml:space="preserve"> Trocknungsprozessen oder auch die Trocknung allgemein,</w:t>
      </w:r>
      <w:r>
        <w:t xml:space="preserve"> das Mischen, Rühren oder Schütteln von Proteinlösungen, die Zugabe von Hilfsstoffen (Salze, Puffer, Polymere,</w:t>
      </w:r>
      <w:r w:rsidR="004C02D2">
        <w:t xml:space="preserve"> saure </w:t>
      </w:r>
      <w:r w:rsidR="00963FC9">
        <w:t>oder basische Stoffe</w:t>
      </w:r>
      <w:r>
        <w:t xml:space="preserve"> etc.), </w:t>
      </w:r>
      <w:r w:rsidR="004C02D2">
        <w:t>Einwirkungen von Säuren oder Laugen (pH-Wert), Scherbeanspruchungen oder allgemein mechanische Beanspruchungen (Homogenisatoren, Mischer, Tablett</w:t>
      </w:r>
      <w:r w:rsidR="00963FC9">
        <w:t>enpressen, Extruder, Pumpen</w:t>
      </w:r>
      <w:r w:rsidR="004C02D2">
        <w:t xml:space="preserve"> etc.)</w:t>
      </w:r>
      <w:r w:rsidR="007B52F1">
        <w:t xml:space="preserve"> und auch die Einwirkung hoher Drücke</w:t>
      </w:r>
      <w:r w:rsidR="004C02D2">
        <w:t>. Grundsätzlich sollte die Kompatibilität mit den Hilfsstoffen und die Auswirkung jedes Prozessschrittes untersucht werden. Eine gute Kenntnis der Proteinstruktur und des Prozesses ist für eine Abschätzung der Stabilität im Vorhinein immer hilfreich. Als Faustregel gilt, dass</w:t>
      </w:r>
      <w:r w:rsidR="007B52F1">
        <w:t xml:space="preserve"> </w:t>
      </w:r>
      <w:r w:rsidR="008F7708">
        <w:t>Prozessschritte, die zu</w:t>
      </w:r>
      <w:r w:rsidR="004C02D2">
        <w:t xml:space="preserve"> </w:t>
      </w:r>
      <w:r w:rsidR="007B52F1">
        <w:t>Produkttemperaturen</w:t>
      </w:r>
      <w:r w:rsidR="00D25750">
        <w:t xml:space="preserve"> oberhalb von 37 °</w:t>
      </w:r>
      <w:r w:rsidR="004C02D2">
        <w:t>C (Körpertemperatur)</w:t>
      </w:r>
      <w:r w:rsidR="008F7708">
        <w:t xml:space="preserve"> führen,</w:t>
      </w:r>
      <w:r w:rsidR="004C02D2">
        <w:t xml:space="preserve"> </w:t>
      </w:r>
      <w:r w:rsidR="007B52F1">
        <w:t>be</w:t>
      </w:r>
      <w:r w:rsidR="00C41629">
        <w:t>züglich der Stabilität von</w:t>
      </w:r>
      <w:r w:rsidR="007B52F1">
        <w:t xml:space="preserve"> Proteine</w:t>
      </w:r>
      <w:r w:rsidR="00C41629">
        <w:t>n</w:t>
      </w:r>
      <w:r w:rsidR="006C42A2">
        <w:t xml:space="preserve"> bereits</w:t>
      </w:r>
      <w:r w:rsidR="007B52F1">
        <w:t xml:space="preserve"> als kritisch betrachtet werden müssen</w:t>
      </w:r>
      <w:r w:rsidR="006C42A2">
        <w:t>. Temperaturen oberhalb von 5</w:t>
      </w:r>
      <w:r w:rsidR="00D25750">
        <w:t>0 °</w:t>
      </w:r>
      <w:r w:rsidR="006C42A2">
        <w:t>C führen in aller Regel zur Denaturierung von Proteinen</w:t>
      </w:r>
      <w:r w:rsidR="007B52F1">
        <w:t>.</w:t>
      </w:r>
      <w:r w:rsidR="008F7708">
        <w:t xml:space="preserve"> Die Absorption an Grenzflächen (Phasengrenzflächen in Emulsione</w:t>
      </w:r>
      <w:r w:rsidR="00963FC9">
        <w:t xml:space="preserve">n, Schläuche, Gefäße, </w:t>
      </w:r>
      <w:r w:rsidR="00963FC9">
        <w:lastRenderedPageBreak/>
        <w:t>Reaktoren</w:t>
      </w:r>
      <w:r w:rsidR="008F7708">
        <w:t xml:space="preserve"> etc.) kann auch zu einem Verlust des Proteins</w:t>
      </w:r>
      <w:r w:rsidR="006C42A2">
        <w:t xml:space="preserve"> aus einer Lösung</w:t>
      </w:r>
      <w:r w:rsidR="008F7708">
        <w:t xml:space="preserve"> oder zur Denaturierung führen</w:t>
      </w:r>
      <w:r w:rsidR="008F7708">
        <w:rPr>
          <w:rStyle w:val="Endnotenzeichen"/>
        </w:rPr>
        <w:endnoteReference w:id="39"/>
      </w:r>
      <w:r w:rsidR="008F7708">
        <w:t>.</w:t>
      </w:r>
    </w:p>
    <w:p w14:paraId="394ABC71" w14:textId="77777777" w:rsidR="00391870" w:rsidRDefault="0091750B" w:rsidP="00E71524">
      <w:pPr>
        <w:pStyle w:val="berschrift4"/>
      </w:pPr>
      <w:bookmarkStart w:id="43" w:name="_Toc294380169"/>
      <w:r>
        <w:t>Stabilität im Gastrointestinaltrakt</w:t>
      </w:r>
      <w:bookmarkEnd w:id="43"/>
    </w:p>
    <w:p w14:paraId="032BFBF1" w14:textId="77777777" w:rsidR="0064152C" w:rsidRDefault="00AE7B67" w:rsidP="00B43B33">
      <w:r>
        <w:t>Wie berei</w:t>
      </w:r>
      <w:r w:rsidR="00B02B80">
        <w:t>ts mehrfach erwähnt</w:t>
      </w:r>
      <w:r w:rsidR="007A0B4C">
        <w:t xml:space="preserve"> stellt das </w:t>
      </w:r>
      <w:r>
        <w:t>Milieu in unterschiedlichen Abschnitten des Gastrointestinaltraktes eine der grö</w:t>
      </w:r>
      <w:r w:rsidR="007A0B4C">
        <w:t>ß</w:t>
      </w:r>
      <w:r>
        <w:t>ten Hürden bei der perorale</w:t>
      </w:r>
      <w:r w:rsidR="007A0B4C">
        <w:t>n Gabe von Peptidarzneistoffen dar</w:t>
      </w:r>
      <w:r w:rsidR="007A0B4C">
        <w:rPr>
          <w:rStyle w:val="Endnotenzeichen"/>
        </w:rPr>
        <w:endnoteReference w:id="40"/>
      </w:r>
      <w:r w:rsidR="007A0B4C">
        <w:t>.</w:t>
      </w:r>
      <w:r>
        <w:t xml:space="preserve"> </w:t>
      </w:r>
      <w:r w:rsidR="007A0B4C">
        <w:t>Der Verdauungsapparat ist geradezu darauf spezialisiert, Proteine und Peptide abzubauen. Die hoch aktiven e</w:t>
      </w:r>
      <w:r>
        <w:t>iweißverdauenden Enzyme</w:t>
      </w:r>
      <w:r w:rsidR="007A0B4C">
        <w:t>, drastische pH Bedingungen, hohe Konzentrationen an Salzen und andere Nahrungsbestandteile</w:t>
      </w:r>
      <w:r w:rsidR="005B1A20">
        <w:t xml:space="preserve"> führen zu Aktivitätsverlusten durch Veränderungen der Konformation oder gar durch Zersetzung der Moleküle.</w:t>
      </w:r>
    </w:p>
    <w:p w14:paraId="496D0B91" w14:textId="77777777" w:rsidR="00855495" w:rsidRDefault="00C41629" w:rsidP="00262229">
      <w:r>
        <w:t>Typischerw</w:t>
      </w:r>
      <w:r w:rsidR="003C4541">
        <w:t xml:space="preserve">eise besitzen Proteine die höchste Stabilität bei pH-Werten im Bereich </w:t>
      </w:r>
      <w:r w:rsidR="001C5DC4">
        <w:t>ihres isoelektrischen Punktes (</w:t>
      </w:r>
      <w:r w:rsidR="00505EF6">
        <w:t xml:space="preserve">kurz: </w:t>
      </w:r>
      <w:r w:rsidR="001C5DC4">
        <w:t>IEP</w:t>
      </w:r>
      <w:r w:rsidR="003C4541">
        <w:t>). Die Nettoladung beträgt an diesem Punkt 0 und die gegensätzlich geladenen Gruppen tragen zur Stabilisierung der nativen Struktur bei</w:t>
      </w:r>
      <w:r w:rsidR="00D16240" w:rsidRPr="003C4541">
        <w:rPr>
          <w:vertAlign w:val="superscript"/>
        </w:rPr>
        <w:fldChar w:fldCharType="begin"/>
      </w:r>
      <w:r w:rsidR="003C4541" w:rsidRPr="003C4541">
        <w:rPr>
          <w:vertAlign w:val="superscript"/>
        </w:rPr>
        <w:instrText xml:space="preserve"> NOTEREF _Ref276995979 \h </w:instrText>
      </w:r>
      <w:r w:rsidR="00D16240" w:rsidRPr="003C4541">
        <w:rPr>
          <w:vertAlign w:val="superscript"/>
        </w:rPr>
      </w:r>
      <w:r w:rsidR="00D16240" w:rsidRPr="003C4541">
        <w:rPr>
          <w:vertAlign w:val="superscript"/>
        </w:rPr>
        <w:fldChar w:fldCharType="separate"/>
      </w:r>
      <w:r w:rsidR="00711AB8">
        <w:rPr>
          <w:vertAlign w:val="superscript"/>
        </w:rPr>
        <w:t>38</w:t>
      </w:r>
      <w:r w:rsidR="00D16240" w:rsidRPr="003C4541">
        <w:rPr>
          <w:vertAlign w:val="superscript"/>
        </w:rPr>
        <w:fldChar w:fldCharType="end"/>
      </w:r>
      <w:r w:rsidR="003C4541">
        <w:t xml:space="preserve">. Der saure pH-Wert </w:t>
      </w:r>
      <w:r w:rsidR="001C5DC4">
        <w:t>des Magens unterschreitet den IEP</w:t>
      </w:r>
      <w:r w:rsidR="003C4541">
        <w:t xml:space="preserve"> de</w:t>
      </w:r>
      <w:r w:rsidR="0080374F">
        <w:t>r meisten Proteine deutlich. Die Folge der Säureeinwirkung ist ein Funktionsverlust der Moleküle aufgrund einer Den</w:t>
      </w:r>
      <w:r w:rsidR="00FB75B6">
        <w:t>aturierung. Das saure Milieu des Magens begünstigt außerdem die säurekatalysierte Deamidierung von Aminosäureresten (Glutamin, Asparagin).</w:t>
      </w:r>
    </w:p>
    <w:p w14:paraId="77618A4C" w14:textId="77777777" w:rsidR="0080374F" w:rsidRDefault="00FB75B6" w:rsidP="00B43B33">
      <w:r>
        <w:t>D</w:t>
      </w:r>
      <w:r w:rsidR="001C5DC4">
        <w:t>er Einfluss der gastrointestinalen Enzymausstattung</w:t>
      </w:r>
      <w:r>
        <w:t xml:space="preserve"> auf peroral applizierte Pep</w:t>
      </w:r>
      <w:r w:rsidR="00B02B80">
        <w:t>tidarzneistoffe wurde bereits in</w:t>
      </w:r>
      <w:r>
        <w:t xml:space="preserve"> Abschnitt </w:t>
      </w:r>
      <w:r w:rsidR="00D16240">
        <w:fldChar w:fldCharType="begin"/>
      </w:r>
      <w:r>
        <w:instrText xml:space="preserve"> REF _Ref276583959 \n \h </w:instrText>
      </w:r>
      <w:r w:rsidR="00D16240">
        <w:fldChar w:fldCharType="separate"/>
      </w:r>
      <w:r w:rsidR="00711AB8">
        <w:t>1.3.2</w:t>
      </w:r>
      <w:r w:rsidR="00D16240">
        <w:fldChar w:fldCharType="end"/>
      </w:r>
      <w:r>
        <w:t xml:space="preserve"> „</w:t>
      </w:r>
      <w:r w:rsidR="00D16240">
        <w:fldChar w:fldCharType="begin"/>
      </w:r>
      <w:r>
        <w:instrText xml:space="preserve"> REF _Ref276583959 \h </w:instrText>
      </w:r>
      <w:r w:rsidR="00D16240">
        <w:fldChar w:fldCharType="separate"/>
      </w:r>
      <w:r w:rsidR="00711AB8">
        <w:t>Barrieren der intestinalen Stoffaufnahme</w:t>
      </w:r>
      <w:r w:rsidR="00D16240">
        <w:fldChar w:fldCharType="end"/>
      </w:r>
      <w:r>
        <w:t>“ ausführlich beschrieben.</w:t>
      </w:r>
    </w:p>
    <w:p w14:paraId="74038788" w14:textId="77777777" w:rsidR="00896C04" w:rsidRPr="00896C04" w:rsidRDefault="001C5DC4" w:rsidP="00B43B33">
      <w:pPr>
        <w:rPr>
          <w:iCs/>
        </w:rPr>
      </w:pPr>
      <w:r>
        <w:t xml:space="preserve">Grundvoraussetzung zur Beurteilung der Stabilität von Proteinen </w:t>
      </w:r>
      <w:r w:rsidR="00896C04">
        <w:t xml:space="preserve">im Verdauungstrakt </w:t>
      </w:r>
      <w:r>
        <w:t>ist eine möglichst genaue Kenntnis der Molekülstruktur (Aminosäuresequenz, intramolekulare Bindungen, Disulfidbrückenbindungen</w:t>
      </w:r>
      <w:r w:rsidR="00963FC9">
        <w:t>, 3D-Struktur</w:t>
      </w:r>
      <w:r w:rsidR="0023721A">
        <w:t xml:space="preserve"> etc.</w:t>
      </w:r>
      <w:r>
        <w:t xml:space="preserve">) und des IEP. </w:t>
      </w:r>
      <w:r w:rsidR="0023721A">
        <w:t xml:space="preserve">Mittlerweile existieren große und häufig frei zugängliche Datenbanken mit Informationen zu Proteinstrukturen. </w:t>
      </w:r>
      <w:r w:rsidR="00C41629">
        <w:rPr>
          <w:lang w:val="en-US"/>
        </w:rPr>
        <w:t>Im F</w:t>
      </w:r>
      <w:r w:rsidR="0023721A" w:rsidRPr="00726FEB">
        <w:rPr>
          <w:lang w:val="en-US"/>
        </w:rPr>
        <w:t>olgenden sollen einige der bekanntesten Proteindatenbanken genannt werden: PDB (</w:t>
      </w:r>
      <w:r w:rsidR="0023721A" w:rsidRPr="00726FEB">
        <w:rPr>
          <w:i/>
          <w:lang w:val="en-US"/>
        </w:rPr>
        <w:t>Protein Databank</w:t>
      </w:r>
      <w:r w:rsidR="00346B04" w:rsidRPr="00346B04">
        <w:rPr>
          <w:i/>
          <w:lang w:val="en-US"/>
        </w:rPr>
        <w:t xml:space="preserve"> </w:t>
      </w:r>
      <w:r w:rsidR="00346B04" w:rsidRPr="00726FEB">
        <w:rPr>
          <w:i/>
          <w:lang w:val="en-US"/>
        </w:rPr>
        <w:t>Brookhaven</w:t>
      </w:r>
      <w:r w:rsidR="0023721A" w:rsidRPr="00726FEB">
        <w:rPr>
          <w:lang w:val="en-US"/>
        </w:rPr>
        <w:t>), SCOP (</w:t>
      </w:r>
      <w:r w:rsidR="0023721A" w:rsidRPr="00726FEB">
        <w:rPr>
          <w:i/>
          <w:iCs/>
          <w:lang w:val="en-US"/>
        </w:rPr>
        <w:t>structural classification of proteins</w:t>
      </w:r>
      <w:r w:rsidR="0023721A" w:rsidRPr="00726FEB">
        <w:rPr>
          <w:iCs/>
          <w:lang w:val="en-US"/>
        </w:rPr>
        <w:t>), CATH (</w:t>
      </w:r>
      <w:r w:rsidR="0023721A" w:rsidRPr="00726FEB">
        <w:rPr>
          <w:i/>
          <w:iCs/>
          <w:lang w:val="en-US"/>
        </w:rPr>
        <w:t>classification by class, architecture, topology and homology</w:t>
      </w:r>
      <w:r w:rsidR="0023721A" w:rsidRPr="00726FEB">
        <w:rPr>
          <w:iCs/>
          <w:lang w:val="en-US"/>
        </w:rPr>
        <w:t>) oder FSSP (</w:t>
      </w:r>
      <w:r w:rsidR="0023721A" w:rsidRPr="00726FEB">
        <w:rPr>
          <w:i/>
          <w:iCs/>
          <w:lang w:val="en-US"/>
        </w:rPr>
        <w:t>fold classification based on structure-structure alignments of proteins</w:t>
      </w:r>
      <w:r w:rsidR="006C42A2" w:rsidRPr="00726FEB">
        <w:rPr>
          <w:iCs/>
          <w:lang w:val="en-US"/>
        </w:rPr>
        <w:t xml:space="preserve">). </w:t>
      </w:r>
      <w:r w:rsidR="006C42A2">
        <w:rPr>
          <w:iCs/>
        </w:rPr>
        <w:t>Sind keine</w:t>
      </w:r>
      <w:r w:rsidR="0023721A">
        <w:rPr>
          <w:iCs/>
        </w:rPr>
        <w:t xml:space="preserve"> Daten</w:t>
      </w:r>
      <w:r w:rsidR="006C42A2">
        <w:rPr>
          <w:iCs/>
        </w:rPr>
        <w:t xml:space="preserve"> bezüglich der Proteinstruktur</w:t>
      </w:r>
      <w:r w:rsidR="0023721A">
        <w:rPr>
          <w:iCs/>
        </w:rPr>
        <w:t xml:space="preserve"> verfügbar, kann eine Aufklärung der Sequenz beispielsweise </w:t>
      </w:r>
      <w:r w:rsidR="00896C04">
        <w:rPr>
          <w:iCs/>
        </w:rPr>
        <w:t>durch sequenzspezifische Spaltung der Proteine und Identifizierung der Bruchstücke mithilfe eines Massenspektrometers erfolgen. 3D-Strukturdaten können durch Kristallstrukturanalyse oder NMR-Spektroskopie gewonnen werden. Eine Vorhersage der Stabilität im Verdauungstrakt kann dann recht zuverlässig durch einen Abgleich der Proteinstruktur mit den typischen Spaltstellen der enteralen Peptidasen erfolgen. Werden dabei Stabilitätsprobleme identifiziert, müssen Maßnahmen zum Schutz de</w:t>
      </w:r>
      <w:r w:rsidR="00DA036B">
        <w:rPr>
          <w:iCs/>
        </w:rPr>
        <w:t xml:space="preserve">r Wirkstoffe vor dem Milieu des Verdauungstraktes </w:t>
      </w:r>
      <w:r w:rsidR="00DA036B">
        <w:rPr>
          <w:iCs/>
        </w:rPr>
        <w:lastRenderedPageBreak/>
        <w:t xml:space="preserve">getroffen werden. Unterschiedliche Möglichkeiten hierfür werden in Kapitel </w:t>
      </w:r>
      <w:r w:rsidR="00D16240">
        <w:rPr>
          <w:iCs/>
        </w:rPr>
        <w:fldChar w:fldCharType="begin"/>
      </w:r>
      <w:r w:rsidR="00DA036B">
        <w:rPr>
          <w:iCs/>
        </w:rPr>
        <w:instrText xml:space="preserve"> REF _Ref276513572 \n \h </w:instrText>
      </w:r>
      <w:r w:rsidR="00D16240">
        <w:rPr>
          <w:iCs/>
        </w:rPr>
      </w:r>
      <w:r w:rsidR="00D16240">
        <w:rPr>
          <w:iCs/>
        </w:rPr>
        <w:fldChar w:fldCharType="separate"/>
      </w:r>
      <w:r w:rsidR="00711AB8">
        <w:rPr>
          <w:iCs/>
        </w:rPr>
        <w:t>1.6</w:t>
      </w:r>
      <w:r w:rsidR="00D16240">
        <w:rPr>
          <w:iCs/>
        </w:rPr>
        <w:fldChar w:fldCharType="end"/>
      </w:r>
      <w:r w:rsidR="00DA036B">
        <w:rPr>
          <w:iCs/>
        </w:rPr>
        <w:t xml:space="preserve"> genauer beschrieben.</w:t>
      </w:r>
    </w:p>
    <w:p w14:paraId="46736B69" w14:textId="77777777" w:rsidR="00391870" w:rsidRDefault="00035EA0" w:rsidP="00B90911">
      <w:pPr>
        <w:pStyle w:val="berschrift2"/>
      </w:pPr>
      <w:r w:rsidRPr="00501895">
        <w:tab/>
      </w:r>
      <w:bookmarkStart w:id="44" w:name="_Toc294380170"/>
      <w:r w:rsidRPr="00501895">
        <w:t xml:space="preserve">Polymere zur </w:t>
      </w:r>
      <w:r w:rsidR="0006266E">
        <w:t>per</w:t>
      </w:r>
      <w:r w:rsidRPr="00501895">
        <w:t>oralen Verabreichung</w:t>
      </w:r>
      <w:bookmarkEnd w:id="44"/>
    </w:p>
    <w:p w14:paraId="54EC707D" w14:textId="77777777" w:rsidR="007759AC" w:rsidRPr="004A64E1" w:rsidRDefault="001E7C44" w:rsidP="004A64E1">
      <w:r>
        <w:t>Die Anforderungen</w:t>
      </w:r>
      <w:r w:rsidR="004E7825">
        <w:t xml:space="preserve"> </w:t>
      </w:r>
      <w:r>
        <w:t xml:space="preserve">an </w:t>
      </w:r>
      <w:r w:rsidR="004E7825">
        <w:t>eine F</w:t>
      </w:r>
      <w:r w:rsidR="00B54B51">
        <w:t>ormulierung zur erfolgreichen Verbesserung der oralen Bioverfügbarkeit von Peptiden oder Proteinen</w:t>
      </w:r>
      <w:r w:rsidR="00434180">
        <w:t xml:space="preserve"> sind</w:t>
      </w:r>
      <w:r>
        <w:t xml:space="preserve"> vielfältig.</w:t>
      </w:r>
      <w:r w:rsidR="00940468">
        <w:t xml:space="preserve"> </w:t>
      </w:r>
      <w:r>
        <w:t>D</w:t>
      </w:r>
      <w:r w:rsidR="00B54B51">
        <w:t xml:space="preserve">en pharmazeutischen Hilfsstoffen </w:t>
      </w:r>
      <w:r w:rsidR="00313845">
        <w:t>kommt hierbei</w:t>
      </w:r>
      <w:r>
        <w:t xml:space="preserve"> </w:t>
      </w:r>
      <w:r w:rsidR="00B54B51">
        <w:t>eine wesentliche Bedeutung zu.</w:t>
      </w:r>
      <w:r w:rsidR="007759AC">
        <w:t xml:space="preserve"> Natürliche </w:t>
      </w:r>
      <w:r w:rsidR="00751D79">
        <w:t xml:space="preserve">und synthetische Polymere </w:t>
      </w:r>
      <w:r>
        <w:t>erfüllen</w:t>
      </w:r>
      <w:r w:rsidR="008E55F4">
        <w:t xml:space="preserve"> ganz spezifische</w:t>
      </w:r>
      <w:r>
        <w:t xml:space="preserve"> Funktionen</w:t>
      </w:r>
      <w:r w:rsidR="007759AC">
        <w:t xml:space="preserve"> un</w:t>
      </w:r>
      <w:r w:rsidR="00F724B2">
        <w:t>d werden seit vielen Jahren</w:t>
      </w:r>
      <w:r w:rsidR="007759AC">
        <w:t xml:space="preserve"> erfolgreich in der Pharmazie eingesetzt. Daher soll im folgenden Kapitel ein Überblick über peroral einsetzbare pharmazeutische </w:t>
      </w:r>
      <w:r w:rsidR="001C4B61">
        <w:t>Polymere gegeben werden.</w:t>
      </w:r>
    </w:p>
    <w:p w14:paraId="0DA440FB" w14:textId="77777777" w:rsidR="00391870" w:rsidRDefault="00035EA0" w:rsidP="001C6849">
      <w:pPr>
        <w:pStyle w:val="berschrift3"/>
      </w:pPr>
      <w:bookmarkStart w:id="45" w:name="_Toc294380171"/>
      <w:r w:rsidRPr="00035EA0">
        <w:t>Natürliche Polymere</w:t>
      </w:r>
      <w:bookmarkEnd w:id="45"/>
    </w:p>
    <w:p w14:paraId="715DA14A" w14:textId="77777777" w:rsidR="005D60A7" w:rsidRDefault="005D60A7" w:rsidP="00FF6391">
      <w:pPr>
        <w:pStyle w:val="Listenabsatz"/>
        <w:numPr>
          <w:ilvl w:val="0"/>
          <w:numId w:val="22"/>
        </w:numPr>
        <w:spacing w:after="120"/>
        <w:ind w:left="714" w:hanging="357"/>
        <w:contextualSpacing w:val="0"/>
      </w:pPr>
      <w:r>
        <w:t>Alginsäure und Natriumalginat</w:t>
      </w:r>
    </w:p>
    <w:p w14:paraId="3001985B" w14:textId="77777777" w:rsidR="0055388E" w:rsidRDefault="00604CDF" w:rsidP="00975477">
      <w:pPr>
        <w:pStyle w:val="Listenabsatz"/>
        <w:spacing w:after="120"/>
        <w:contextualSpacing w:val="0"/>
      </w:pPr>
      <w:r>
        <w:t xml:space="preserve">Das Polysaccharid </w:t>
      </w:r>
      <w:r w:rsidR="005D60A7">
        <w:t xml:space="preserve">Alginsäure wird aus Braunalgen gewonnen und besteht aus </w:t>
      </w:r>
      <w:r>
        <w:t>1,4-glyc</w:t>
      </w:r>
      <w:r w:rsidR="00346B04">
        <w:t>osidisch verknüpften Uronsäurem</w:t>
      </w:r>
      <w:r>
        <w:t>olekülen. Die wässrige Lösung des Natriumsalzes bildet nach Zusatz einer Ca</w:t>
      </w:r>
      <w:r>
        <w:rPr>
          <w:vertAlign w:val="superscript"/>
        </w:rPr>
        <w:t>2+</w:t>
      </w:r>
      <w:r>
        <w:t>-Lösung ein hoch viskoses Gel. In der Pharmazie werden Alginate zur Stabilisierung von Emulsionen, zur Viskositätserhöhung oder als Bindemittel eingesetzt. J. D. Smart berichtete in 1982 über mukoadhäsive Eigenschaften von Natriumalginat</w:t>
      </w:r>
      <w:bookmarkStart w:id="46" w:name="_Ref271581429"/>
      <w:r>
        <w:rPr>
          <w:rStyle w:val="Endnotenzeichen"/>
        </w:rPr>
        <w:endnoteReference w:id="41"/>
      </w:r>
      <w:bookmarkEnd w:id="46"/>
      <w:r>
        <w:t>.</w:t>
      </w:r>
    </w:p>
    <w:p w14:paraId="483EBA4B" w14:textId="77777777" w:rsidR="0055388E" w:rsidRDefault="0055388E" w:rsidP="00975477">
      <w:pPr>
        <w:pStyle w:val="Listenabsatz"/>
        <w:spacing w:after="0"/>
      </w:pPr>
    </w:p>
    <w:p w14:paraId="297DA3EB" w14:textId="77777777" w:rsidR="0055388E" w:rsidRDefault="0055388E" w:rsidP="00FF6391">
      <w:pPr>
        <w:pStyle w:val="Listenabsatz"/>
        <w:numPr>
          <w:ilvl w:val="0"/>
          <w:numId w:val="22"/>
        </w:numPr>
        <w:spacing w:after="120"/>
        <w:ind w:left="714" w:hanging="357"/>
        <w:contextualSpacing w:val="0"/>
      </w:pPr>
      <w:r>
        <w:t>Chitosan</w:t>
      </w:r>
    </w:p>
    <w:p w14:paraId="54062B96" w14:textId="77777777" w:rsidR="0055388E" w:rsidRDefault="0055388E" w:rsidP="0055388E">
      <w:pPr>
        <w:pStyle w:val="Listenabsatz"/>
        <w:ind w:left="714"/>
      </w:pPr>
      <w:r>
        <w:t xml:space="preserve">Chitosan ist ein natürlich vorkommendes Polyaminosaccharid. Es wird durch </w:t>
      </w:r>
      <w:r w:rsidR="0057070E">
        <w:t xml:space="preserve">partielle </w:t>
      </w:r>
      <w:r>
        <w:t>Deacetylierung von Chtitin</w:t>
      </w:r>
      <w:r w:rsidR="00764B0B">
        <w:t xml:space="preserve"> gewonnen und besteht wie dieses aus </w:t>
      </w:r>
      <w:r w:rsidR="00764B0B">
        <w:sym w:font="Symbol" w:char="F062"/>
      </w:r>
      <w:r w:rsidR="00764B0B">
        <w:t>-1,4-glycosidisch verknüpften N</w:t>
      </w:r>
      <w:r w:rsidR="001F35E2">
        <w:t>-Acetylglucosaminresten</w:t>
      </w:r>
      <w:r w:rsidR="0057070E">
        <w:t xml:space="preserve"> (siehe </w:t>
      </w:r>
      <w:r w:rsidR="00D16240">
        <w:fldChar w:fldCharType="begin"/>
      </w:r>
      <w:r w:rsidR="0057070E">
        <w:instrText xml:space="preserve"> REF _Ref271573312 \h </w:instrText>
      </w:r>
      <w:r w:rsidR="00D16240">
        <w:fldChar w:fldCharType="separate"/>
      </w:r>
      <w:r w:rsidR="00711AB8" w:rsidRPr="001F35E2">
        <w:t xml:space="preserve">Abbildung </w:t>
      </w:r>
      <w:r w:rsidR="00711AB8">
        <w:rPr>
          <w:noProof/>
        </w:rPr>
        <w:t>3</w:t>
      </w:r>
      <w:r w:rsidR="00D16240">
        <w:fldChar w:fldCharType="end"/>
      </w:r>
      <w:r w:rsidR="0057070E">
        <w:t>)</w:t>
      </w:r>
      <w:r w:rsidR="001F35E2">
        <w:t>.</w:t>
      </w:r>
      <w:r w:rsidR="0057070E">
        <w:t xml:space="preserve"> Das zur Herstellung von Chitosan verwendete Chitin wird überwiegend aus dem Panzer von Krustentieren wie Krabben oder Garnelen gewonnen.</w:t>
      </w:r>
    </w:p>
    <w:p w14:paraId="0BC302B2" w14:textId="77777777" w:rsidR="001F35E2" w:rsidRDefault="001F35E2" w:rsidP="0055388E">
      <w:pPr>
        <w:pStyle w:val="Listenabsatz"/>
        <w:ind w:left="714"/>
      </w:pPr>
    </w:p>
    <w:p w14:paraId="534B1B0A" w14:textId="77777777" w:rsidR="001F35E2" w:rsidRDefault="001F35E2" w:rsidP="001F35E2">
      <w:pPr>
        <w:pStyle w:val="Listenabsatz"/>
        <w:ind w:left="714"/>
        <w:jc w:val="center"/>
      </w:pPr>
      <w:r>
        <w:rPr>
          <w:rFonts w:eastAsia="Times New Roman" w:cs="Times New Roman"/>
          <w:noProof/>
          <w:lang w:eastAsia="de-DE"/>
        </w:rPr>
        <w:lastRenderedPageBreak/>
        <w:drawing>
          <wp:inline distT="0" distB="0" distL="0" distR="0" wp14:anchorId="62FA1B0C" wp14:editId="2FEC8B4E">
            <wp:extent cx="2948728" cy="2458688"/>
            <wp:effectExtent l="0" t="0" r="0" b="5715"/>
            <wp:docPr id="1029" name="Bild 1" descr="http://upload.wikimedia.org/wikipedia/commons/thumb/b/bb/Chitosan_Synthese.svg/712px-Chitosan_Synthes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b/bb/Chitosan_Synthese.svg/712px-Chitosan_Synthese.svg.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48728" cy="2458688"/>
                    </a:xfrm>
                    <a:prstGeom prst="rect">
                      <a:avLst/>
                    </a:prstGeom>
                    <a:noFill/>
                    <a:ln>
                      <a:noFill/>
                    </a:ln>
                  </pic:spPr>
                </pic:pic>
              </a:graphicData>
            </a:graphic>
          </wp:inline>
        </w:drawing>
      </w:r>
    </w:p>
    <w:p w14:paraId="03592734" w14:textId="77777777" w:rsidR="0057070E" w:rsidRPr="00346B04" w:rsidRDefault="001F35E2" w:rsidP="00D96E56">
      <w:pPr>
        <w:pStyle w:val="Beschriftung"/>
        <w:spacing w:after="240"/>
        <w:ind w:firstLine="709"/>
        <w:rPr>
          <w:b w:val="0"/>
        </w:rPr>
      </w:pPr>
      <w:bookmarkStart w:id="47" w:name="_Ref271573312"/>
      <w:r w:rsidRPr="001F35E2">
        <w:t xml:space="preserve">Abbildung </w:t>
      </w:r>
      <w:fldSimple w:instr=" SEQ Abbildung \* ARABIC ">
        <w:r w:rsidR="00711AB8">
          <w:rPr>
            <w:noProof/>
          </w:rPr>
          <w:t>3</w:t>
        </w:r>
      </w:fldSimple>
      <w:bookmarkEnd w:id="47"/>
      <w:r>
        <w:rPr>
          <w:b w:val="0"/>
        </w:rPr>
        <w:t xml:space="preserve"> Herstellung von Chitosan durch</w:t>
      </w:r>
      <w:r w:rsidR="0057070E">
        <w:rPr>
          <w:b w:val="0"/>
        </w:rPr>
        <w:t xml:space="preserve"> enzymatische</w:t>
      </w:r>
      <w:r>
        <w:rPr>
          <w:b w:val="0"/>
        </w:rPr>
        <w:t xml:space="preserve"> Deacetylierung von Chitin</w:t>
      </w:r>
      <w:r w:rsidR="00313845">
        <w:rPr>
          <w:b w:val="0"/>
        </w:rPr>
        <w:t>.</w:t>
      </w:r>
    </w:p>
    <w:p w14:paraId="0E419DD5" w14:textId="77777777" w:rsidR="0057070E" w:rsidRDefault="0057070E" w:rsidP="0057070E">
      <w:pPr>
        <w:ind w:left="708"/>
      </w:pPr>
      <w:r>
        <w:t>Chitosan ist in sehr unters</w:t>
      </w:r>
      <w:r w:rsidR="00313845">
        <w:t>chiedlichen Qualitäten kommerziell erhältlich</w:t>
      </w:r>
      <w:r>
        <w:t>. Die Unterschiede betreffen das Molekulargewicht</w:t>
      </w:r>
      <w:r w:rsidR="0089513F">
        <w:t xml:space="preserve"> (10</w:t>
      </w:r>
      <w:r w:rsidR="00562166">
        <w:t xml:space="preserve"> –</w:t>
      </w:r>
      <w:r w:rsidR="0089513F">
        <w:t xml:space="preserve"> 650</w:t>
      </w:r>
      <w:r w:rsidR="00562166">
        <w:t xml:space="preserve"> </w:t>
      </w:r>
      <w:r w:rsidR="0089513F">
        <w:t>k</w:t>
      </w:r>
      <w:r w:rsidR="00562166">
        <w:t>Da)</w:t>
      </w:r>
      <w:r>
        <w:t>, die Viskosität s</w:t>
      </w:r>
      <w:r w:rsidR="0089513F">
        <w:t>owie den Deacetylierungsgrad (50</w:t>
      </w:r>
      <w:r>
        <w:t>-98%).</w:t>
      </w:r>
      <w:r w:rsidR="0089513F">
        <w:t xml:space="preserve"> In wässrigen Säuren unterhalb eines pH-Wert</w:t>
      </w:r>
      <w:r w:rsidR="00313845">
        <w:t>es von 6,4 ist Chitosan löslich und liegt</w:t>
      </w:r>
      <w:r w:rsidR="00903224">
        <w:t xml:space="preserve"> als Polykation vor.</w:t>
      </w:r>
    </w:p>
    <w:p w14:paraId="0650A0BE" w14:textId="77777777" w:rsidR="0089513F" w:rsidRDefault="0089513F" w:rsidP="0057070E">
      <w:pPr>
        <w:ind w:left="708"/>
      </w:pPr>
      <w:r>
        <w:t>Chitosa</w:t>
      </w:r>
      <w:r w:rsidR="000C031C">
        <w:t>n ist biokompatibel und bioabbaubar und wird in der Lebensmittelindustrie und in der Pharmazie seit vielen Jahren eingesetzt. Aufgrund seiner bioadhäsiven Eigenschaften</w:t>
      </w:r>
      <w:bookmarkStart w:id="48" w:name="_Ref271632443"/>
      <w:r w:rsidR="00101268">
        <w:rPr>
          <w:rStyle w:val="Endnotenzeichen"/>
        </w:rPr>
        <w:endnoteReference w:id="42"/>
      </w:r>
      <w:bookmarkEnd w:id="48"/>
      <w:r w:rsidR="000C031C">
        <w:t xml:space="preserve"> beschäftigt sich die pharmazeutische Forsch</w:t>
      </w:r>
      <w:r w:rsidR="00101268">
        <w:t>ung beispielsweise mit der Herstellung von Arzneistoffträgern aus Chitosan.</w:t>
      </w:r>
    </w:p>
    <w:p w14:paraId="5E333A84" w14:textId="77777777" w:rsidR="00154E9D" w:rsidRDefault="00154E9D" w:rsidP="00975477">
      <w:pPr>
        <w:spacing w:after="120"/>
        <w:ind w:left="709"/>
      </w:pPr>
      <w:r>
        <w:t>Außerdem besitzt C</w:t>
      </w:r>
      <w:r w:rsidR="00976166">
        <w:t>hitosan die Fähigkeit, die paraz</w:t>
      </w:r>
      <w:r>
        <w:t xml:space="preserve">elluläre Permeabilität </w:t>
      </w:r>
      <w:r w:rsidR="00976166">
        <w:t>durch e</w:t>
      </w:r>
      <w:r w:rsidR="00313845">
        <w:t>inen Cac</w:t>
      </w:r>
      <w:r w:rsidR="00976166">
        <w:t>o-2</w:t>
      </w:r>
      <w:r w:rsidR="00505EF6">
        <w:t xml:space="preserve"> Monolayer (kultivierte menschliche Dickdarmkarzinomzellen)</w:t>
      </w:r>
      <w:r w:rsidR="00976166">
        <w:t xml:space="preserve"> zu erhöhen</w:t>
      </w:r>
      <w:r w:rsidR="00976166">
        <w:rPr>
          <w:rStyle w:val="Endnotenzeichen"/>
        </w:rPr>
        <w:endnoteReference w:id="43"/>
      </w:r>
      <w:r w:rsidR="00976166">
        <w:t>. Ihm werden daher penetrationsfördernde Eigenschaften zugeschrieben.</w:t>
      </w:r>
      <w:r w:rsidR="000C5D51">
        <w:t xml:space="preserve"> Die</w:t>
      </w:r>
      <w:r w:rsidR="00FB7A77">
        <w:t>ser Effekt beruht</w:t>
      </w:r>
      <w:r w:rsidR="000C5D51">
        <w:t xml:space="preserve"> darauf, dass Chitosan in der Lag</w:t>
      </w:r>
      <w:r w:rsidR="00505EF6">
        <w:t xml:space="preserve">e ist, </w:t>
      </w:r>
      <w:r w:rsidR="00505EF6" w:rsidRPr="00313845">
        <w:rPr>
          <w:i/>
        </w:rPr>
        <w:t>Tight Junctions</w:t>
      </w:r>
      <w:r w:rsidR="00505EF6">
        <w:t xml:space="preserve"> von</w:t>
      </w:r>
      <w:r w:rsidR="00FB7A77">
        <w:t xml:space="preserve"> Darmepithelzellen vorübergehend</w:t>
      </w:r>
      <w:r w:rsidR="000C5D51">
        <w:t xml:space="preserve"> zu öffnen</w:t>
      </w:r>
      <w:r w:rsidR="00FB7A77">
        <w:rPr>
          <w:rStyle w:val="Endnotenzeichen"/>
        </w:rPr>
        <w:endnoteReference w:id="44"/>
      </w:r>
      <w:r w:rsidR="000C5D51">
        <w:t>.</w:t>
      </w:r>
      <w:r w:rsidR="00FB7A77">
        <w:t xml:space="preserve"> Hsu et al. versuchten den Mechanismus dieser Wirkung aufzuklären und fanden heraus, das</w:t>
      </w:r>
      <w:r w:rsidR="00505EF6">
        <w:t>s die Aktivierung von Integrinr</w:t>
      </w:r>
      <w:r w:rsidR="00FB7A77">
        <w:t>ezeptoren auf der Oberfläche der Zellmembran von Epithel</w:t>
      </w:r>
      <w:r w:rsidR="0000377A">
        <w:t>zellen durch Chitosan eine Kaskade</w:t>
      </w:r>
      <w:r w:rsidR="00505EF6">
        <w:t xml:space="preserve"> zur Störung des </w:t>
      </w:r>
      <w:r w:rsidR="00505EF6" w:rsidRPr="00313845">
        <w:rPr>
          <w:i/>
        </w:rPr>
        <w:t>Tight Junction</w:t>
      </w:r>
      <w:r w:rsidR="00505EF6">
        <w:t>-Proteink</w:t>
      </w:r>
      <w:r w:rsidR="0000377A">
        <w:t>omplexes auslöst</w:t>
      </w:r>
      <w:r w:rsidR="0000377A">
        <w:rPr>
          <w:rStyle w:val="Endnotenzeichen"/>
        </w:rPr>
        <w:endnoteReference w:id="45"/>
      </w:r>
      <w:r w:rsidR="0000377A">
        <w:t>.</w:t>
      </w:r>
    </w:p>
    <w:p w14:paraId="6E58BB35" w14:textId="77777777" w:rsidR="009721F7" w:rsidRDefault="009721F7" w:rsidP="00C93B4A">
      <w:pPr>
        <w:spacing w:after="120"/>
      </w:pPr>
    </w:p>
    <w:p w14:paraId="5D12D79D" w14:textId="77777777" w:rsidR="00862784" w:rsidRPr="0057070E" w:rsidRDefault="00C93B4A" w:rsidP="00402CAF">
      <w:pPr>
        <w:pStyle w:val="Listenabsatz"/>
        <w:contextualSpacing w:val="0"/>
      </w:pPr>
      <w:r>
        <w:t xml:space="preserve">Weitere </w:t>
      </w:r>
      <w:r w:rsidR="00402CAF">
        <w:t>natürliche Polymere, die als pharmazeutische Hilfsstoffe Verwendung finden,</w:t>
      </w:r>
      <w:r>
        <w:t xml:space="preserve"> sind Cellulose, Gelatine und </w:t>
      </w:r>
      <w:r w:rsidR="00862784">
        <w:t>Traganth</w:t>
      </w:r>
      <w:r>
        <w:t>.</w:t>
      </w:r>
      <w:r w:rsidR="00862784">
        <w:t xml:space="preserve"> </w:t>
      </w:r>
      <w:r w:rsidR="00402CAF">
        <w:t>Cellulose und Traganth sind pflanzlicher Herkunft, während Gelatine ein Stoffgemisch aus tierischen Proteinen ist. Diese Hilfsstoffe werden für sehr vielfältige Zwecke eingesetzt. Besonders zu beachten ist, dass</w:t>
      </w:r>
      <w:r w:rsidR="00B76BE2">
        <w:t xml:space="preserve"> Smart und Kellaway</w:t>
      </w:r>
      <w:r w:rsidR="00AB24F4">
        <w:t xml:space="preserve"> bereits</w:t>
      </w:r>
      <w:r w:rsidR="00402CAF">
        <w:t xml:space="preserve"> 1982</w:t>
      </w:r>
      <w:r w:rsidR="00B76BE2">
        <w:t xml:space="preserve"> </w:t>
      </w:r>
      <w:r w:rsidR="00AB24F4">
        <w:t>über</w:t>
      </w:r>
      <w:r w:rsidR="00402CAF">
        <w:t xml:space="preserve"> </w:t>
      </w:r>
      <w:r w:rsidR="00B76BE2">
        <w:t>mukoadäsive</w:t>
      </w:r>
      <w:r w:rsidR="00862784">
        <w:t xml:space="preserve"> Eigenschaften von Traganth</w:t>
      </w:r>
      <w:r w:rsidR="00AB24F4">
        <w:t xml:space="preserve"> berichteten</w:t>
      </w:r>
      <w:r w:rsidR="00D16240">
        <w:fldChar w:fldCharType="begin"/>
      </w:r>
      <w:r w:rsidR="00B76BE2">
        <w:instrText xml:space="preserve"> NOTEREF _Ref271581429 \f \h </w:instrText>
      </w:r>
      <w:r w:rsidR="00D16240">
        <w:fldChar w:fldCharType="separate"/>
      </w:r>
      <w:r w:rsidR="00711AB8" w:rsidRPr="00711AB8">
        <w:rPr>
          <w:rStyle w:val="Endnotenzeichen"/>
        </w:rPr>
        <w:t>41</w:t>
      </w:r>
      <w:r w:rsidR="00D16240">
        <w:fldChar w:fldCharType="end"/>
      </w:r>
      <w:r w:rsidR="00862784">
        <w:t>.</w:t>
      </w:r>
    </w:p>
    <w:p w14:paraId="36E68983" w14:textId="77777777" w:rsidR="00EC4F72" w:rsidRDefault="00B76BE2" w:rsidP="001C6849">
      <w:pPr>
        <w:pStyle w:val="berschrift3"/>
      </w:pPr>
      <w:bookmarkStart w:id="49" w:name="_Ref272096573"/>
      <w:bookmarkStart w:id="50" w:name="_Toc294380172"/>
      <w:r>
        <w:lastRenderedPageBreak/>
        <w:t>Semi-s</w:t>
      </w:r>
      <w:r w:rsidR="00035EA0" w:rsidRPr="00035EA0">
        <w:t>ynthetische Polymere</w:t>
      </w:r>
      <w:bookmarkEnd w:id="49"/>
      <w:bookmarkEnd w:id="50"/>
    </w:p>
    <w:p w14:paraId="45363A82" w14:textId="77777777" w:rsidR="00B76BE2" w:rsidRDefault="00060244" w:rsidP="00FF6391">
      <w:pPr>
        <w:pStyle w:val="Listenabsatz"/>
        <w:numPr>
          <w:ilvl w:val="0"/>
          <w:numId w:val="22"/>
        </w:numPr>
        <w:spacing w:after="120"/>
        <w:ind w:left="714" w:hanging="357"/>
        <w:contextualSpacing w:val="0"/>
      </w:pPr>
      <w:r>
        <w:t>Celluluosed</w:t>
      </w:r>
      <w:r w:rsidR="00EF2220">
        <w:t>erivate</w:t>
      </w:r>
    </w:p>
    <w:p w14:paraId="4C6F77D9" w14:textId="77777777" w:rsidR="003A3B92" w:rsidRDefault="00E2285B" w:rsidP="00EF2220">
      <w:pPr>
        <w:pStyle w:val="Listenabsatz"/>
        <w:contextualSpacing w:val="0"/>
      </w:pPr>
      <w:r>
        <w:t xml:space="preserve">Die </w:t>
      </w:r>
      <w:r w:rsidR="00903224">
        <w:t>Carboxymethylcellulose</w:t>
      </w:r>
      <w:r>
        <w:t>n</w:t>
      </w:r>
      <w:r w:rsidR="002C339B">
        <w:t xml:space="preserve"> (kurz: CMC)</w:t>
      </w:r>
      <w:r>
        <w:t xml:space="preserve"> sind</w:t>
      </w:r>
      <w:r w:rsidR="00903224">
        <w:t xml:space="preserve"> Derivat</w:t>
      </w:r>
      <w:r>
        <w:t>e</w:t>
      </w:r>
      <w:r w:rsidR="00903224">
        <w:t xml:space="preserve"> der Cellul</w:t>
      </w:r>
      <w:r>
        <w:t>ose, bei denen</w:t>
      </w:r>
      <w:r w:rsidR="002C339B">
        <w:t xml:space="preserve"> ein Teil der freien</w:t>
      </w:r>
      <w:r w:rsidR="00903224">
        <w:t xml:space="preserve"> Hydroxygruppen mit </w:t>
      </w:r>
      <w:r w:rsidR="002C339B">
        <w:t>Carboxy</w:t>
      </w:r>
      <w:r w:rsidR="00EF2220">
        <w:t>methyl-Resten verestert ist. CMC</w:t>
      </w:r>
      <w:r w:rsidR="002C339B">
        <w:t xml:space="preserve"> quillt in Wasser</w:t>
      </w:r>
      <w:r>
        <w:t>, ist aber nur in Lauge</w:t>
      </w:r>
      <w:r w:rsidR="003A3B92">
        <w:t>n</w:t>
      </w:r>
      <w:r w:rsidR="00EF2220">
        <w:t xml:space="preserve"> löslich während ihr Natriumsalz</w:t>
      </w:r>
      <w:r w:rsidR="002C339B">
        <w:t xml:space="preserve"> </w:t>
      </w:r>
      <w:r>
        <w:t xml:space="preserve">gut </w:t>
      </w:r>
      <w:r w:rsidR="002C339B">
        <w:t>in Wasser löslich</w:t>
      </w:r>
      <w:r w:rsidR="00A65E4E">
        <w:t xml:space="preserve"> ist und muk</w:t>
      </w:r>
      <w:r w:rsidR="00EF2220">
        <w:t>oadhäsive Eigenschaften besitzt</w:t>
      </w:r>
      <w:r w:rsidR="00D16240">
        <w:fldChar w:fldCharType="begin"/>
      </w:r>
      <w:r w:rsidR="00060244">
        <w:instrText xml:space="preserve"> NOTEREF _Ref271632443 \f \h </w:instrText>
      </w:r>
      <w:r w:rsidR="00D16240">
        <w:fldChar w:fldCharType="separate"/>
      </w:r>
      <w:r w:rsidR="00711AB8" w:rsidRPr="00711AB8">
        <w:rPr>
          <w:rStyle w:val="Endnotenzeichen"/>
        </w:rPr>
        <w:t>42</w:t>
      </w:r>
      <w:r w:rsidR="00D16240">
        <w:fldChar w:fldCharType="end"/>
      </w:r>
      <w:r w:rsidR="00EF2220">
        <w:t>.</w:t>
      </w:r>
    </w:p>
    <w:p w14:paraId="6B55ABE0" w14:textId="77777777" w:rsidR="00EF2220" w:rsidRDefault="00EF2220" w:rsidP="00975477">
      <w:pPr>
        <w:pStyle w:val="Listenabsatz"/>
        <w:spacing w:after="120"/>
        <w:contextualSpacing w:val="0"/>
      </w:pPr>
      <w:r>
        <w:t xml:space="preserve">Hydroxypropylmethylcellulose (kurz: HPMC) ist ein Gemisch aus Methyl- und Hydroxypropylethern der Cellulose. Sie </w:t>
      </w:r>
      <w:r w:rsidR="00060244">
        <w:t>wird in der Pharmazie als Feuchthaltemittel, Verdickungsmittel, Emulsionsstabilisator und für Tablettenüberzüge verwendet. Weitere Celluloseether wie Methylcellulose (</w:t>
      </w:r>
      <w:r w:rsidR="009E710C">
        <w:t xml:space="preserve">kurz: </w:t>
      </w:r>
      <w:r w:rsidR="00060244">
        <w:t>MC) und Hydroxypropylcellulose (</w:t>
      </w:r>
      <w:r w:rsidR="009E710C">
        <w:t xml:space="preserve">kurz: </w:t>
      </w:r>
      <w:r w:rsidR="00060244">
        <w:t xml:space="preserve">HPC) werden pharmazeutisch verwendet. In Tabletten verpresst bilden sie nach Kontakt mit Wasser </w:t>
      </w:r>
      <w:r w:rsidR="005A102B">
        <w:t>Hydrokolloid-</w:t>
      </w:r>
      <w:r w:rsidR="00060244">
        <w:t>Matrixstrukturen aus, die eine kontrollierte Wirkstofffreigabe ermöglichen.</w:t>
      </w:r>
    </w:p>
    <w:p w14:paraId="50AFADBB" w14:textId="77777777" w:rsidR="00060244" w:rsidRDefault="00060244" w:rsidP="00A74A07">
      <w:pPr>
        <w:pStyle w:val="Listenabsatz"/>
        <w:spacing w:after="0"/>
        <w:contextualSpacing w:val="0"/>
      </w:pPr>
    </w:p>
    <w:p w14:paraId="7EA8B46C" w14:textId="77777777" w:rsidR="00060244" w:rsidRDefault="00060244" w:rsidP="00FF6391">
      <w:pPr>
        <w:pStyle w:val="Listenabsatz"/>
        <w:numPr>
          <w:ilvl w:val="0"/>
          <w:numId w:val="22"/>
        </w:numPr>
        <w:spacing w:after="120"/>
        <w:ind w:left="714" w:hanging="357"/>
        <w:contextualSpacing w:val="0"/>
      </w:pPr>
      <w:r>
        <w:t>Chitosanderivate</w:t>
      </w:r>
    </w:p>
    <w:p w14:paraId="291E9D1B" w14:textId="77777777" w:rsidR="00060244" w:rsidRDefault="001F364A" w:rsidP="00060244">
      <w:pPr>
        <w:pStyle w:val="Listenabsatz"/>
        <w:contextualSpacing w:val="0"/>
      </w:pPr>
      <w:r>
        <w:t>D</w:t>
      </w:r>
      <w:r w:rsidR="00FA6D85">
        <w:t>ie penetrationsfördernde</w:t>
      </w:r>
      <w:r w:rsidR="00824A8D">
        <w:t xml:space="preserve"> und mukoadhäsive</w:t>
      </w:r>
      <w:r w:rsidR="00FA6D85">
        <w:t xml:space="preserve"> Wirkung</w:t>
      </w:r>
      <w:r>
        <w:t xml:space="preserve"> von Chitosan beruht </w:t>
      </w:r>
      <w:r w:rsidR="005F63A6">
        <w:t xml:space="preserve">unter anderem </w:t>
      </w:r>
      <w:r>
        <w:t xml:space="preserve">auf elektrostatischen Wechselwirkungen der protonierten </w:t>
      </w:r>
      <w:r w:rsidR="004B67B4">
        <w:t xml:space="preserve">und positiv geladenen </w:t>
      </w:r>
      <w:r>
        <w:t xml:space="preserve">Aminogruppen mit negativ geladenen Molekülresten des Mukus und der </w:t>
      </w:r>
      <w:r w:rsidRPr="00313845">
        <w:rPr>
          <w:i/>
        </w:rPr>
        <w:t>Tight Junctions</w:t>
      </w:r>
      <w:bookmarkStart w:id="51" w:name="_Ref282531682"/>
      <w:r>
        <w:rPr>
          <w:rStyle w:val="Endnotenzeichen"/>
        </w:rPr>
        <w:endnoteReference w:id="46"/>
      </w:r>
      <w:bookmarkEnd w:id="51"/>
      <w:r w:rsidR="00FA6D85">
        <w:t xml:space="preserve">. </w:t>
      </w:r>
      <w:r>
        <w:t xml:space="preserve">Chitosan </w:t>
      </w:r>
      <w:r w:rsidR="004B67B4">
        <w:t>muss aus diesem Grund</w:t>
      </w:r>
      <w:r w:rsidR="00FA6D85">
        <w:t xml:space="preserve"> in gelöster und protonierter Form vorliegen, um </w:t>
      </w:r>
      <w:r>
        <w:t>seine Wirkung entfalten</w:t>
      </w:r>
      <w:r w:rsidR="00FA6D85">
        <w:t xml:space="preserve"> zu können. Als schw</w:t>
      </w:r>
      <w:r w:rsidR="004D2036">
        <w:t>ache Base ist dies jedoch nur im sauren</w:t>
      </w:r>
      <w:r w:rsidR="00FA6D85">
        <w:t xml:space="preserve"> Milieu der Fall</w:t>
      </w:r>
      <w:r w:rsidR="004D2036">
        <w:t xml:space="preserve">, das im Gatrointestinaltrakt allenfalls im Magen vorliegt. </w:t>
      </w:r>
      <w:r w:rsidR="009447A6">
        <w:t>Um eine pH-Wert unabhängige</w:t>
      </w:r>
      <w:r w:rsidR="000070F3">
        <w:t>,</w:t>
      </w:r>
      <w:r w:rsidR="009447A6">
        <w:t xml:space="preserve"> </w:t>
      </w:r>
      <w:r w:rsidR="000070F3">
        <w:t xml:space="preserve">permanente positive </w:t>
      </w:r>
      <w:r w:rsidR="009447A6">
        <w:t xml:space="preserve">Ladung </w:t>
      </w:r>
      <w:r w:rsidR="000070F3">
        <w:t xml:space="preserve">des Chitosans </w:t>
      </w:r>
      <w:r w:rsidR="009447A6">
        <w:t>zu gewährleisten</w:t>
      </w:r>
      <w:r w:rsidR="000070F3">
        <w:t xml:space="preserve">, wurden </w:t>
      </w:r>
      <w:r w:rsidR="009447A6">
        <w:t>unterschie</w:t>
      </w:r>
      <w:r w:rsidR="000070F3">
        <w:t>dliche quaternisierte D</w:t>
      </w:r>
      <w:r w:rsidR="009447A6">
        <w:t>erivate wie beispielsweise N-Diethylmethylchitosan (DEMC), Triethylchitosan (TEC), Dimethylethylchitosan (DMEC) und N-Trimethylchitosanchlorid (TMC) hergestellt</w:t>
      </w:r>
      <w:r w:rsidR="009447A6">
        <w:rPr>
          <w:rStyle w:val="Endnotenzeichen"/>
        </w:rPr>
        <w:endnoteReference w:id="47"/>
      </w:r>
      <w:bookmarkStart w:id="52" w:name="_Ref271637238"/>
      <w:r w:rsidR="00DC69D1" w:rsidRPr="00DC69D1">
        <w:rPr>
          <w:vertAlign w:val="superscript"/>
        </w:rPr>
        <w:t>,</w:t>
      </w:r>
      <w:r w:rsidR="00115E8C">
        <w:rPr>
          <w:rStyle w:val="Endnotenzeichen"/>
        </w:rPr>
        <w:endnoteReference w:id="48"/>
      </w:r>
      <w:bookmarkEnd w:id="52"/>
      <w:r w:rsidR="00DC69D1" w:rsidRPr="00DC69D1">
        <w:rPr>
          <w:vertAlign w:val="superscript"/>
        </w:rPr>
        <w:t>,</w:t>
      </w:r>
      <w:r w:rsidR="00115E8C">
        <w:rPr>
          <w:rStyle w:val="Endnotenzeichen"/>
        </w:rPr>
        <w:endnoteReference w:id="49"/>
      </w:r>
      <w:r w:rsidR="009447A6">
        <w:t>.</w:t>
      </w:r>
      <w:r w:rsidR="000070F3">
        <w:t xml:space="preserve"> Im Zusammenhang mit peroralem Peptid Delivery hat</w:t>
      </w:r>
      <w:r w:rsidR="00954751">
        <w:t xml:space="preserve"> vor allem</w:t>
      </w:r>
      <w:r w:rsidR="000070F3">
        <w:t xml:space="preserve"> TMC</w:t>
      </w:r>
      <w:r w:rsidR="00954751">
        <w:t xml:space="preserve"> vielversprechende</w:t>
      </w:r>
      <w:r w:rsidR="000C5D51">
        <w:t xml:space="preserve"> Resultate</w:t>
      </w:r>
      <w:r w:rsidR="000070F3">
        <w:t xml:space="preserve"> gezeigt</w:t>
      </w:r>
      <w:bookmarkStart w:id="53" w:name="_Ref282531804"/>
      <w:r w:rsidR="00954751">
        <w:rPr>
          <w:rStyle w:val="Endnotenzeichen"/>
        </w:rPr>
        <w:endnoteReference w:id="50"/>
      </w:r>
      <w:bookmarkEnd w:id="53"/>
      <w:r w:rsidR="00DC69D1" w:rsidRPr="00DC69D1">
        <w:rPr>
          <w:vertAlign w:val="superscript"/>
        </w:rPr>
        <w:t>,</w:t>
      </w:r>
      <w:r w:rsidR="004F6361">
        <w:rPr>
          <w:rStyle w:val="Endnotenzeichen"/>
        </w:rPr>
        <w:endnoteReference w:id="51"/>
      </w:r>
      <w:r w:rsidR="000070F3">
        <w:t>.</w:t>
      </w:r>
    </w:p>
    <w:p w14:paraId="167DD0AE" w14:textId="77777777" w:rsidR="005A102B" w:rsidRDefault="00DC69D1" w:rsidP="005A102B">
      <w:pPr>
        <w:pStyle w:val="Listenabsatz"/>
        <w:contextualSpacing w:val="0"/>
      </w:pPr>
      <w:r>
        <w:t>Die mukoadhäsive Eigenschaft von Chitosan konnte</w:t>
      </w:r>
      <w:r w:rsidR="00824A8D">
        <w:t xml:space="preserve"> durch Thiolierung der Aminogruppen verstärkt werden</w:t>
      </w:r>
      <w:bookmarkStart w:id="54" w:name="_Ref277525736"/>
      <w:r w:rsidR="00824A8D">
        <w:rPr>
          <w:rStyle w:val="Endnotenzeichen"/>
        </w:rPr>
        <w:endnoteReference w:id="52"/>
      </w:r>
      <w:bookmarkEnd w:id="54"/>
      <w:r w:rsidR="00293F8B">
        <w:t xml:space="preserve">. Dieser Effekt beruht darauf, dass thiolierte Chitosanderivate, die sogenannten Thiomere, bei pH-Werten oberhalb von 5 in ihrer oxidierten Form vorliegen und somit besonders effektiv Disulfidbrückenbindungen </w:t>
      </w:r>
      <w:r w:rsidR="00EF4777">
        <w:t>zu Cystein-</w:t>
      </w:r>
      <w:r w:rsidR="005F63A6">
        <w:t>reichen Domänen der Glycoproteine des Muzins</w:t>
      </w:r>
      <w:r w:rsidR="005A102B">
        <w:t xml:space="preserve"> ausbilden können</w:t>
      </w:r>
      <w:bookmarkStart w:id="55" w:name="_Ref277521164"/>
      <w:r w:rsidR="005A102B">
        <w:rPr>
          <w:rStyle w:val="Endnotenzeichen"/>
        </w:rPr>
        <w:endnoteReference w:id="53"/>
      </w:r>
      <w:bookmarkEnd w:id="55"/>
      <w:r w:rsidR="005A102B">
        <w:t xml:space="preserve">. Dank der ausgeprägten Mukoadhäsivität und der Fähigkeit der </w:t>
      </w:r>
      <w:r w:rsidR="005A102B" w:rsidRPr="005A102B">
        <w:rPr>
          <w:i/>
        </w:rPr>
        <w:t>in situ</w:t>
      </w:r>
      <w:r w:rsidR="005A102B">
        <w:t xml:space="preserve"> Gelbildung </w:t>
      </w:r>
      <w:r w:rsidR="00C07676">
        <w:t>im Darm kann die Verweilzeit von Arzneimitteln, die mit Thiomeren formuliert wurden, im Dünndarm deutlich erhöht werden.</w:t>
      </w:r>
      <w:r w:rsidR="006A388E">
        <w:t xml:space="preserve"> D</w:t>
      </w:r>
      <w:r w:rsidR="00FF6391">
        <w:t>ie Verlängerung der</w:t>
      </w:r>
      <w:r w:rsidR="00C07676">
        <w:t xml:space="preserve"> Kontakt</w:t>
      </w:r>
      <w:r w:rsidR="00FF6391">
        <w:t>zeit</w:t>
      </w:r>
      <w:r w:rsidR="00C07676">
        <w:t xml:space="preserve"> </w:t>
      </w:r>
      <w:r w:rsidR="006A388E">
        <w:t xml:space="preserve">des </w:t>
      </w:r>
      <w:r w:rsidR="006A388E">
        <w:lastRenderedPageBreak/>
        <w:t>Arzneistoffträgers mit der Darmmukosa führt zu</w:t>
      </w:r>
      <w:r w:rsidR="00C07676">
        <w:t xml:space="preserve"> </w:t>
      </w:r>
      <w:r w:rsidR="006A388E">
        <w:t>höheren Konzentrationen schlecht permeabler Peptide oder Proteine in direkter Umgebung der Enterozyten. Dieser Effekt kann ebenfalls zur Resorptionserhöhung beitragen.</w:t>
      </w:r>
    </w:p>
    <w:p w14:paraId="73BB5BB4" w14:textId="77777777" w:rsidR="009E710C" w:rsidRPr="00B76BE2" w:rsidRDefault="00A77A32" w:rsidP="00B26CD0">
      <w:pPr>
        <w:pStyle w:val="Listenabsatz"/>
        <w:contextualSpacing w:val="0"/>
      </w:pPr>
      <w:r>
        <w:t xml:space="preserve">Ein weiterer nützlicher Effekt der </w:t>
      </w:r>
      <w:r w:rsidR="00DC69D1">
        <w:t>Thiomere im Zusammenhang mit der</w:t>
      </w:r>
      <w:r>
        <w:t xml:space="preserve"> </w:t>
      </w:r>
      <w:r w:rsidR="00DC69D1">
        <w:t>peroralen Gabe von Peptiden oder Proteinen</w:t>
      </w:r>
      <w:r>
        <w:t xml:space="preserve"> ist der </w:t>
      </w:r>
      <w:r w:rsidR="00086A02">
        <w:t xml:space="preserve">verbesserte </w:t>
      </w:r>
      <w:r>
        <w:t xml:space="preserve">Schutz der </w:t>
      </w:r>
      <w:r w:rsidR="00DC69D1">
        <w:t xml:space="preserve">empfindlichen </w:t>
      </w:r>
      <w:r>
        <w:t xml:space="preserve">Wirkstoffe gegen einen </w:t>
      </w:r>
      <w:r w:rsidR="008676F3">
        <w:t>enzymatischen Abbau. Sie sind in der Lage Metalloproteasen zu inaktivieren, indem sie deren Metallionen durch Bildung von Chelatkomplexen entziehen</w:t>
      </w:r>
      <w:r w:rsidR="008676F3">
        <w:rPr>
          <w:rStyle w:val="Endnotenzeichen"/>
        </w:rPr>
        <w:endnoteReference w:id="54"/>
      </w:r>
      <w:r w:rsidR="008676F3">
        <w:t>.</w:t>
      </w:r>
    </w:p>
    <w:p w14:paraId="75BA06F1" w14:textId="77777777" w:rsidR="00FF6391" w:rsidRDefault="00B76BE2" w:rsidP="00086A02">
      <w:pPr>
        <w:pStyle w:val="berschrift3"/>
      </w:pPr>
      <w:bookmarkStart w:id="56" w:name="_Ref272000492"/>
      <w:bookmarkStart w:id="57" w:name="_Toc294380173"/>
      <w:r>
        <w:t>S</w:t>
      </w:r>
      <w:r w:rsidR="00CD7796">
        <w:t>ynthetische Polymere</w:t>
      </w:r>
      <w:bookmarkEnd w:id="56"/>
      <w:bookmarkEnd w:id="57"/>
    </w:p>
    <w:p w14:paraId="7CA943CF" w14:textId="77777777" w:rsidR="00086A02" w:rsidRDefault="00933520" w:rsidP="00086A02">
      <w:pPr>
        <w:pStyle w:val="Listenabsatz"/>
        <w:numPr>
          <w:ilvl w:val="0"/>
          <w:numId w:val="22"/>
        </w:numPr>
        <w:spacing w:after="120"/>
        <w:ind w:left="714" w:hanging="357"/>
        <w:contextualSpacing w:val="0"/>
      </w:pPr>
      <w:r>
        <w:t>Polyacrylsäureester</w:t>
      </w:r>
    </w:p>
    <w:p w14:paraId="049B4A93" w14:textId="77777777" w:rsidR="00933520" w:rsidRPr="007E31E6" w:rsidRDefault="00086A02" w:rsidP="001B11D7">
      <w:pPr>
        <w:pStyle w:val="Listenabsatz"/>
      </w:pPr>
      <w:r>
        <w:t>Durch P</w:t>
      </w:r>
      <w:r w:rsidR="008C24F5">
        <w:t xml:space="preserve">olymerisation </w:t>
      </w:r>
      <w:r w:rsidR="00933520">
        <w:t>unter</w:t>
      </w:r>
      <w:r w:rsidR="001B11D7">
        <w:t xml:space="preserve">schiedlich substituierter Acrylsäuremonomere </w:t>
      </w:r>
      <w:r w:rsidR="00901081">
        <w:t xml:space="preserve">ist eine große Bandbreite an </w:t>
      </w:r>
      <w:r w:rsidR="00D17B09">
        <w:t>Polyacrylsäureestern mit ganz unterschie</w:t>
      </w:r>
      <w:r w:rsidR="00651F1E">
        <w:t>dlichen Funktionen herstellbar. Unter dem Handelsnamen Eudragit</w:t>
      </w:r>
      <w:r w:rsidR="00651F1E" w:rsidRPr="005C59DA">
        <w:rPr>
          <w:szCs w:val="24"/>
          <w:vertAlign w:val="superscript"/>
        </w:rPr>
        <w:sym w:font="Symbol" w:char="F0D2"/>
      </w:r>
      <w:r w:rsidR="00651F1E">
        <w:t xml:space="preserve"> vertreibt die Evonik Industries </w:t>
      </w:r>
      <w:r w:rsidR="00D82237">
        <w:t>AG eine breite Produktpalette kommerziell erhältlicher</w:t>
      </w:r>
      <w:r w:rsidR="00651F1E">
        <w:t xml:space="preserve"> und für die orale Anwendung zugelassene</w:t>
      </w:r>
      <w:r w:rsidR="00111446">
        <w:t>r pharmazeutischer Polymere auf Polyacrylat Basis</w:t>
      </w:r>
      <w:r w:rsidR="00D82237">
        <w:t>. Klassischer Weise werden die Eudragite als funktionale Überzugsmaterialen für Tabletten verwendet</w:t>
      </w:r>
      <w:r w:rsidR="00EF4777">
        <w:t>. E</w:t>
      </w:r>
      <w:r w:rsidR="00111446">
        <w:t xml:space="preserve">inige </w:t>
      </w:r>
      <w:r w:rsidR="005C59DA">
        <w:t>Produktt</w:t>
      </w:r>
      <w:r w:rsidR="00111446">
        <w:t>ypen befinden sich bereits seit Mitte der 1950er Jahre auf dem Markt</w:t>
      </w:r>
      <w:r w:rsidR="00D82237">
        <w:t>. Die Anwendungsmöglic</w:t>
      </w:r>
      <w:r w:rsidR="007E31E6">
        <w:t>hkeiten sind je nach verwendetem</w:t>
      </w:r>
      <w:r w:rsidR="00D82237">
        <w:t xml:space="preserve"> Typ vielfältig: magensaftresistente Überzüge, Ge</w:t>
      </w:r>
      <w:r w:rsidR="007E31E6">
        <w:t>schmacks- und Geruchsmaskierung, Überzüge mit Feuchtigkeitsschutz und kontrollierte Wirkstofffreisetzung mit gastrointestinalem Targeting. Die chemischen Strukturen der am häufigsten eingesetzten Eudragit</w:t>
      </w:r>
      <w:r w:rsidR="007E31E6" w:rsidRPr="005C59DA">
        <w:rPr>
          <w:szCs w:val="24"/>
          <w:vertAlign w:val="superscript"/>
        </w:rPr>
        <w:sym w:font="Symbol" w:char="F0D2"/>
      </w:r>
      <w:r w:rsidR="007E31E6">
        <w:t xml:space="preserve"> Polymere sind in </w:t>
      </w:r>
      <w:r w:rsidR="00D16240">
        <w:fldChar w:fldCharType="begin"/>
      </w:r>
      <w:r w:rsidR="007E31E6">
        <w:instrText xml:space="preserve"> REF _Ref271670658 \h </w:instrText>
      </w:r>
      <w:r w:rsidR="00D16240">
        <w:fldChar w:fldCharType="separate"/>
      </w:r>
      <w:r w:rsidR="00711AB8" w:rsidRPr="00933520">
        <w:t xml:space="preserve">Abbildung </w:t>
      </w:r>
      <w:r w:rsidR="00711AB8">
        <w:rPr>
          <w:noProof/>
        </w:rPr>
        <w:t>4</w:t>
      </w:r>
      <w:r w:rsidR="00D16240">
        <w:fldChar w:fldCharType="end"/>
      </w:r>
      <w:r w:rsidR="007E31E6">
        <w:t xml:space="preserve"> dargestellt.</w:t>
      </w:r>
    </w:p>
    <w:p w14:paraId="54888BF2" w14:textId="77777777" w:rsidR="001B11D7" w:rsidRDefault="001B11D7" w:rsidP="001B11D7">
      <w:pPr>
        <w:pStyle w:val="Listenabsatz"/>
      </w:pPr>
    </w:p>
    <w:p w14:paraId="156D92A4" w14:textId="77777777" w:rsidR="00EC7D11" w:rsidRDefault="00077E38" w:rsidP="00077E38">
      <w:pPr>
        <w:pStyle w:val="Listenabsatz"/>
        <w:spacing w:after="120"/>
      </w:pPr>
      <w:r>
        <w:t xml:space="preserve">  </w:t>
      </w:r>
      <w:r w:rsidR="006A55B4">
        <w:t xml:space="preserve">    </w:t>
      </w:r>
      <w:r>
        <w:t xml:space="preserve"> </w:t>
      </w:r>
      <w:r w:rsidR="00115A6A">
        <w:t xml:space="preserve">    </w:t>
      </w:r>
      <w:r>
        <w:t xml:space="preserve">  </w:t>
      </w:r>
      <w:r w:rsidR="00EC7D11">
        <w:rPr>
          <w:rFonts w:eastAsia="Times New Roman" w:cs="Times New Roman"/>
          <w:noProof/>
          <w:lang w:eastAsia="de-DE"/>
        </w:rPr>
        <w:drawing>
          <wp:inline distT="0" distB="0" distL="0" distR="0" wp14:anchorId="20A8F10D" wp14:editId="0C343EAA">
            <wp:extent cx="3282326" cy="1571930"/>
            <wp:effectExtent l="0" t="0" r="0" b="9525"/>
            <wp:docPr id="1032"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tps://www.medicinescomplete.com/mc/excipients/current/images/ExcpolymethacrylatesC001_default.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87955" cy="1574626"/>
                    </a:xfrm>
                    <a:prstGeom prst="rect">
                      <a:avLst/>
                    </a:prstGeom>
                    <a:noFill/>
                    <a:ln>
                      <a:noFill/>
                    </a:ln>
                  </pic:spPr>
                </pic:pic>
              </a:graphicData>
            </a:graphic>
          </wp:inline>
        </w:drawing>
      </w:r>
    </w:p>
    <w:p w14:paraId="279F5B3F" w14:textId="77777777" w:rsidR="00933520" w:rsidRDefault="00933520" w:rsidP="001B11D7">
      <w:pPr>
        <w:pStyle w:val="Beschriftung"/>
        <w:spacing w:after="120"/>
        <w:ind w:firstLine="709"/>
        <w:rPr>
          <w:b w:val="0"/>
        </w:rPr>
      </w:pPr>
      <w:bookmarkStart w:id="58" w:name="_Ref271670658"/>
      <w:r w:rsidRPr="00933520">
        <w:t xml:space="preserve">Abbildung </w:t>
      </w:r>
      <w:fldSimple w:instr=" SEQ Abbildung \* ARABIC ">
        <w:r w:rsidR="00711AB8">
          <w:rPr>
            <w:noProof/>
          </w:rPr>
          <w:t>4</w:t>
        </w:r>
      </w:fldSimple>
      <w:bookmarkEnd w:id="58"/>
      <w:r>
        <w:t xml:space="preserve"> </w:t>
      </w:r>
      <w:r>
        <w:rPr>
          <w:b w:val="0"/>
        </w:rPr>
        <w:t>Gr</w:t>
      </w:r>
      <w:r w:rsidR="00DB3B8B">
        <w:rPr>
          <w:b w:val="0"/>
        </w:rPr>
        <w:t>u</w:t>
      </w:r>
      <w:r w:rsidR="001B11D7">
        <w:rPr>
          <w:b w:val="0"/>
        </w:rPr>
        <w:t xml:space="preserve">ndstruktur </w:t>
      </w:r>
      <w:r w:rsidR="00111446">
        <w:rPr>
          <w:b w:val="0"/>
        </w:rPr>
        <w:t>der Eudragit</w:t>
      </w:r>
      <w:r w:rsidR="00111446">
        <w:rPr>
          <w:b w:val="0"/>
          <w:vertAlign w:val="superscript"/>
        </w:rPr>
        <w:sym w:font="Symbol" w:char="F0D2"/>
      </w:r>
      <w:r w:rsidR="00111446">
        <w:rPr>
          <w:b w:val="0"/>
        </w:rPr>
        <w:t xml:space="preserve"> </w:t>
      </w:r>
      <w:r w:rsidR="001B11D7">
        <w:rPr>
          <w:b w:val="0"/>
        </w:rPr>
        <w:t>Polyacrylsäureester</w:t>
      </w:r>
      <w:r w:rsidR="00111446">
        <w:rPr>
          <w:b w:val="0"/>
        </w:rPr>
        <w:t xml:space="preserve"> Produktfamilie</w:t>
      </w:r>
      <w:r w:rsidR="00EF4777">
        <w:rPr>
          <w:b w:val="0"/>
        </w:rPr>
        <w:t>.</w:t>
      </w:r>
      <w:r w:rsidR="00111446">
        <w:rPr>
          <w:b w:val="0"/>
        </w:rPr>
        <w:tab/>
      </w:r>
      <w:r w:rsidR="00DB3B8B">
        <w:rPr>
          <w:b w:val="0"/>
        </w:rPr>
        <w:tab/>
      </w:r>
      <w:r w:rsidR="00DB3B8B">
        <w:rPr>
          <w:b w:val="0"/>
        </w:rPr>
        <w:tab/>
      </w:r>
      <w:r w:rsidR="00DB3B8B">
        <w:rPr>
          <w:b w:val="0"/>
        </w:rPr>
        <w:tab/>
      </w:r>
      <w:r w:rsidR="00DB3B8B">
        <w:rPr>
          <w:b w:val="0"/>
        </w:rPr>
        <w:tab/>
      </w:r>
      <w:r>
        <w:rPr>
          <w:b w:val="0"/>
        </w:rPr>
        <w:t>R</w:t>
      </w:r>
      <w:r>
        <w:rPr>
          <w:b w:val="0"/>
          <w:vertAlign w:val="subscript"/>
        </w:rPr>
        <w:t>1</w:t>
      </w:r>
      <w:r>
        <w:rPr>
          <w:b w:val="0"/>
        </w:rPr>
        <w:t>=-CH</w:t>
      </w:r>
      <w:r>
        <w:rPr>
          <w:b w:val="0"/>
          <w:vertAlign w:val="subscript"/>
        </w:rPr>
        <w:t>3</w:t>
      </w:r>
      <w:r>
        <w:rPr>
          <w:b w:val="0"/>
        </w:rPr>
        <w:t>, R</w:t>
      </w:r>
      <w:r>
        <w:rPr>
          <w:b w:val="0"/>
          <w:vertAlign w:val="subscript"/>
        </w:rPr>
        <w:t>2</w:t>
      </w:r>
      <w:r>
        <w:rPr>
          <w:b w:val="0"/>
        </w:rPr>
        <w:t>=</w:t>
      </w:r>
      <w:r w:rsidR="00F50EB8">
        <w:rPr>
          <w:b w:val="0"/>
        </w:rPr>
        <w:t>-</w:t>
      </w:r>
      <w:r w:rsidR="00EC7D11">
        <w:rPr>
          <w:b w:val="0"/>
        </w:rPr>
        <w:t xml:space="preserve">H </w:t>
      </w:r>
      <w:r>
        <w:rPr>
          <w:b w:val="0"/>
        </w:rPr>
        <w:t>und R</w:t>
      </w:r>
      <w:r>
        <w:rPr>
          <w:b w:val="0"/>
          <w:vertAlign w:val="subscript"/>
        </w:rPr>
        <w:t>3</w:t>
      </w:r>
      <w:r>
        <w:rPr>
          <w:b w:val="0"/>
        </w:rPr>
        <w:t>=</w:t>
      </w:r>
      <w:r w:rsidR="00EC7D11">
        <w:rPr>
          <w:b w:val="0"/>
        </w:rPr>
        <w:t>-CH</w:t>
      </w:r>
      <w:r w:rsidR="00EC7D11">
        <w:rPr>
          <w:b w:val="0"/>
          <w:vertAlign w:val="subscript"/>
        </w:rPr>
        <w:t>3</w:t>
      </w:r>
      <w:r w:rsidR="00F50EB8">
        <w:rPr>
          <w:b w:val="0"/>
        </w:rPr>
        <w:t>, R</w:t>
      </w:r>
      <w:r w:rsidR="00F50EB8">
        <w:rPr>
          <w:b w:val="0"/>
          <w:vertAlign w:val="subscript"/>
        </w:rPr>
        <w:t>4</w:t>
      </w:r>
      <w:r w:rsidR="00F50EB8">
        <w:rPr>
          <w:b w:val="0"/>
        </w:rPr>
        <w:t>=-CH</w:t>
      </w:r>
      <w:r w:rsidR="00F50EB8">
        <w:rPr>
          <w:b w:val="0"/>
          <w:vertAlign w:val="subscript"/>
        </w:rPr>
        <w:t>3</w:t>
      </w:r>
      <w:r w:rsidR="00EC7D11">
        <w:rPr>
          <w:b w:val="0"/>
        </w:rPr>
        <w:t xml:space="preserve"> </w:t>
      </w:r>
      <w:r>
        <w:rPr>
          <w:b w:val="0"/>
        </w:rPr>
        <w:t>(Eudragit</w:t>
      </w:r>
      <w:r w:rsidRPr="00933520">
        <w:rPr>
          <w:b w:val="0"/>
          <w:vertAlign w:val="superscript"/>
        </w:rPr>
        <w:sym w:font="Symbol" w:char="F0D2"/>
      </w:r>
      <w:r>
        <w:rPr>
          <w:b w:val="0"/>
        </w:rPr>
        <w:t xml:space="preserve"> L und S);</w:t>
      </w:r>
      <w:r w:rsidR="00DB3B8B">
        <w:rPr>
          <w:b w:val="0"/>
        </w:rPr>
        <w:tab/>
      </w:r>
      <w:r w:rsidR="00DB3B8B">
        <w:rPr>
          <w:b w:val="0"/>
        </w:rPr>
        <w:tab/>
      </w:r>
      <w:r>
        <w:rPr>
          <w:b w:val="0"/>
        </w:rPr>
        <w:tab/>
      </w:r>
      <w:r>
        <w:rPr>
          <w:b w:val="0"/>
        </w:rPr>
        <w:tab/>
      </w:r>
      <w:r>
        <w:rPr>
          <w:b w:val="0"/>
        </w:rPr>
        <w:tab/>
        <w:t xml:space="preserve">       </w:t>
      </w:r>
      <w:r w:rsidR="00DB3B8B">
        <w:rPr>
          <w:b w:val="0"/>
        </w:rPr>
        <w:t xml:space="preserve">  </w:t>
      </w:r>
      <w:r w:rsidR="00DB3B8B">
        <w:rPr>
          <w:b w:val="0"/>
        </w:rPr>
        <w:tab/>
      </w:r>
      <w:r>
        <w:rPr>
          <w:b w:val="0"/>
        </w:rPr>
        <w:t>R</w:t>
      </w:r>
      <w:r>
        <w:rPr>
          <w:b w:val="0"/>
          <w:vertAlign w:val="subscript"/>
        </w:rPr>
        <w:t>1</w:t>
      </w:r>
      <w:r>
        <w:rPr>
          <w:b w:val="0"/>
        </w:rPr>
        <w:t>=-CH</w:t>
      </w:r>
      <w:r>
        <w:rPr>
          <w:b w:val="0"/>
          <w:vertAlign w:val="subscript"/>
        </w:rPr>
        <w:t>3</w:t>
      </w:r>
      <w:r>
        <w:rPr>
          <w:b w:val="0"/>
        </w:rPr>
        <w:t>, R</w:t>
      </w:r>
      <w:r w:rsidR="00973987">
        <w:rPr>
          <w:b w:val="0"/>
          <w:vertAlign w:val="subscript"/>
        </w:rPr>
        <w:t>2</w:t>
      </w:r>
      <w:r w:rsidR="00973987">
        <w:rPr>
          <w:b w:val="0"/>
        </w:rPr>
        <w:t>=</w:t>
      </w:r>
      <w:r w:rsidR="00F50EB8">
        <w:rPr>
          <w:b w:val="0"/>
        </w:rPr>
        <w:t>-H</w:t>
      </w:r>
      <w:r w:rsidR="00973987">
        <w:rPr>
          <w:b w:val="0"/>
        </w:rPr>
        <w:t xml:space="preserve"> und R</w:t>
      </w:r>
      <w:r w:rsidR="00973987">
        <w:rPr>
          <w:b w:val="0"/>
          <w:vertAlign w:val="subscript"/>
        </w:rPr>
        <w:t>3</w:t>
      </w:r>
      <w:r w:rsidR="00F50EB8">
        <w:rPr>
          <w:b w:val="0"/>
        </w:rPr>
        <w:t>=-H, R</w:t>
      </w:r>
      <w:r w:rsidR="00F50EB8">
        <w:rPr>
          <w:b w:val="0"/>
          <w:vertAlign w:val="subscript"/>
        </w:rPr>
        <w:t>4</w:t>
      </w:r>
      <w:r w:rsidR="00F50EB8">
        <w:rPr>
          <w:b w:val="0"/>
        </w:rPr>
        <w:t>=-CH</w:t>
      </w:r>
      <w:r w:rsidR="00F50EB8">
        <w:rPr>
          <w:b w:val="0"/>
          <w:vertAlign w:val="subscript"/>
        </w:rPr>
        <w:t>2</w:t>
      </w:r>
      <w:r w:rsidR="00F50EB8">
        <w:rPr>
          <w:b w:val="0"/>
        </w:rPr>
        <w:t>-CH</w:t>
      </w:r>
      <w:r w:rsidR="00F50EB8">
        <w:rPr>
          <w:b w:val="0"/>
          <w:vertAlign w:val="subscript"/>
        </w:rPr>
        <w:t>3</w:t>
      </w:r>
      <w:r w:rsidR="00973987">
        <w:rPr>
          <w:b w:val="0"/>
        </w:rPr>
        <w:t xml:space="preserve"> (Eudragit</w:t>
      </w:r>
      <w:r w:rsidR="00973987">
        <w:rPr>
          <w:b w:val="0"/>
          <w:vertAlign w:val="superscript"/>
        </w:rPr>
        <w:sym w:font="Symbol" w:char="F0D2"/>
      </w:r>
      <w:r w:rsidR="00973987">
        <w:rPr>
          <w:b w:val="0"/>
        </w:rPr>
        <w:t xml:space="preserve"> </w:t>
      </w:r>
      <w:r w:rsidR="00DB3B8B">
        <w:rPr>
          <w:b w:val="0"/>
        </w:rPr>
        <w:t>L100-55 und L30D-55);</w:t>
      </w:r>
      <w:r w:rsidR="00DB3B8B">
        <w:rPr>
          <w:b w:val="0"/>
        </w:rPr>
        <w:tab/>
      </w:r>
      <w:r w:rsidR="00DB3B8B">
        <w:rPr>
          <w:b w:val="0"/>
        </w:rPr>
        <w:tab/>
      </w:r>
      <w:r w:rsidR="00DB3B8B">
        <w:rPr>
          <w:b w:val="0"/>
        </w:rPr>
        <w:tab/>
      </w:r>
      <w:r w:rsidR="00DB3B8B">
        <w:rPr>
          <w:b w:val="0"/>
        </w:rPr>
        <w:tab/>
      </w:r>
      <w:r w:rsidR="00973987">
        <w:rPr>
          <w:b w:val="0"/>
        </w:rPr>
        <w:t>R</w:t>
      </w:r>
      <w:r w:rsidR="00973987">
        <w:rPr>
          <w:b w:val="0"/>
          <w:vertAlign w:val="subscript"/>
        </w:rPr>
        <w:t>1</w:t>
      </w:r>
      <w:r w:rsidR="00F50EB8">
        <w:rPr>
          <w:b w:val="0"/>
        </w:rPr>
        <w:t>=-H</w:t>
      </w:r>
      <w:r w:rsidR="00973987">
        <w:rPr>
          <w:b w:val="0"/>
        </w:rPr>
        <w:t>, R</w:t>
      </w:r>
      <w:r w:rsidR="00973987">
        <w:rPr>
          <w:b w:val="0"/>
          <w:vertAlign w:val="subscript"/>
        </w:rPr>
        <w:t>2</w:t>
      </w:r>
      <w:r w:rsidR="00973987">
        <w:rPr>
          <w:b w:val="0"/>
        </w:rPr>
        <w:t>=-CH</w:t>
      </w:r>
      <w:r w:rsidR="00F50EB8">
        <w:rPr>
          <w:b w:val="0"/>
          <w:vertAlign w:val="subscript"/>
        </w:rPr>
        <w:t>2</w:t>
      </w:r>
      <w:r w:rsidR="00F50EB8">
        <w:rPr>
          <w:b w:val="0"/>
        </w:rPr>
        <w:t>-CH</w:t>
      </w:r>
      <w:r w:rsidR="00F50EB8">
        <w:rPr>
          <w:b w:val="0"/>
          <w:vertAlign w:val="subscript"/>
        </w:rPr>
        <w:t>3</w:t>
      </w:r>
      <w:r w:rsidR="00973987">
        <w:rPr>
          <w:b w:val="0"/>
        </w:rPr>
        <w:t xml:space="preserve"> und R</w:t>
      </w:r>
      <w:r w:rsidR="00973987">
        <w:rPr>
          <w:b w:val="0"/>
          <w:vertAlign w:val="subscript"/>
        </w:rPr>
        <w:t>3</w:t>
      </w:r>
      <w:r w:rsidR="00F50EB8">
        <w:rPr>
          <w:b w:val="0"/>
        </w:rPr>
        <w:t>=-</w:t>
      </w:r>
      <w:r w:rsidR="00973987">
        <w:rPr>
          <w:b w:val="0"/>
        </w:rPr>
        <w:t>CH</w:t>
      </w:r>
      <w:r w:rsidR="00973987">
        <w:rPr>
          <w:b w:val="0"/>
          <w:vertAlign w:val="subscript"/>
        </w:rPr>
        <w:t>3</w:t>
      </w:r>
      <w:r w:rsidR="00DB3B8B">
        <w:rPr>
          <w:b w:val="0"/>
        </w:rPr>
        <w:t xml:space="preserve"> ,R</w:t>
      </w:r>
      <w:r w:rsidR="00DB3B8B">
        <w:rPr>
          <w:b w:val="0"/>
          <w:vertAlign w:val="subscript"/>
        </w:rPr>
        <w:t>4</w:t>
      </w:r>
      <w:r w:rsidR="00DB3B8B">
        <w:rPr>
          <w:b w:val="0"/>
        </w:rPr>
        <w:t>=-CH</w:t>
      </w:r>
      <w:r w:rsidR="00DB3B8B">
        <w:rPr>
          <w:b w:val="0"/>
          <w:vertAlign w:val="subscript"/>
        </w:rPr>
        <w:t>3</w:t>
      </w:r>
      <w:r w:rsidR="00973987">
        <w:rPr>
          <w:b w:val="0"/>
        </w:rPr>
        <w:t xml:space="preserve"> (Eudragit</w:t>
      </w:r>
      <w:r w:rsidR="00973987">
        <w:rPr>
          <w:b w:val="0"/>
          <w:vertAlign w:val="superscript"/>
        </w:rPr>
        <w:sym w:font="Symbol" w:char="F0D2"/>
      </w:r>
      <w:r w:rsidR="00DB3B8B">
        <w:rPr>
          <w:b w:val="0"/>
        </w:rPr>
        <w:t xml:space="preserve"> NE30D);</w:t>
      </w:r>
      <w:r w:rsidR="00DB3B8B">
        <w:rPr>
          <w:b w:val="0"/>
        </w:rPr>
        <w:tab/>
      </w:r>
      <w:r w:rsidR="00DB3B8B">
        <w:rPr>
          <w:b w:val="0"/>
        </w:rPr>
        <w:tab/>
      </w:r>
      <w:r w:rsidR="00DB3B8B">
        <w:rPr>
          <w:b w:val="0"/>
        </w:rPr>
        <w:tab/>
      </w:r>
      <w:r w:rsidR="00DB3B8B">
        <w:rPr>
          <w:b w:val="0"/>
        </w:rPr>
        <w:tab/>
      </w:r>
      <w:r w:rsidR="00DB3B8B">
        <w:rPr>
          <w:b w:val="0"/>
        </w:rPr>
        <w:tab/>
      </w:r>
      <w:r w:rsidR="00DB3B8B">
        <w:rPr>
          <w:b w:val="0"/>
        </w:rPr>
        <w:tab/>
      </w:r>
      <w:r w:rsidR="00973987">
        <w:rPr>
          <w:b w:val="0"/>
        </w:rPr>
        <w:t>R</w:t>
      </w:r>
      <w:r w:rsidR="00973987">
        <w:rPr>
          <w:b w:val="0"/>
          <w:vertAlign w:val="subscript"/>
        </w:rPr>
        <w:t>1</w:t>
      </w:r>
      <w:r w:rsidR="00973987">
        <w:rPr>
          <w:b w:val="0"/>
        </w:rPr>
        <w:t>=-CH</w:t>
      </w:r>
      <w:r w:rsidR="00973987">
        <w:rPr>
          <w:b w:val="0"/>
          <w:vertAlign w:val="subscript"/>
        </w:rPr>
        <w:t>3</w:t>
      </w:r>
      <w:r w:rsidR="00973987">
        <w:rPr>
          <w:b w:val="0"/>
        </w:rPr>
        <w:t>, R</w:t>
      </w:r>
      <w:r w:rsidR="00973987">
        <w:rPr>
          <w:b w:val="0"/>
          <w:vertAlign w:val="subscript"/>
        </w:rPr>
        <w:t>2</w:t>
      </w:r>
      <w:r w:rsidR="00DB3B8B">
        <w:rPr>
          <w:b w:val="0"/>
        </w:rPr>
        <w:t>=-CH</w:t>
      </w:r>
      <w:r w:rsidR="00DB3B8B">
        <w:rPr>
          <w:b w:val="0"/>
          <w:vertAlign w:val="subscript"/>
        </w:rPr>
        <w:t>2</w:t>
      </w:r>
      <w:r w:rsidR="00DB3B8B">
        <w:rPr>
          <w:b w:val="0"/>
        </w:rPr>
        <w:t>CH</w:t>
      </w:r>
      <w:r w:rsidR="00DB3B8B">
        <w:rPr>
          <w:b w:val="0"/>
          <w:vertAlign w:val="subscript"/>
        </w:rPr>
        <w:t>2</w:t>
      </w:r>
      <w:r w:rsidR="00DB3B8B">
        <w:rPr>
          <w:b w:val="0"/>
        </w:rPr>
        <w:t>N</w:t>
      </w:r>
      <w:r w:rsidR="00DB3B8B">
        <w:rPr>
          <w:b w:val="0"/>
          <w:vertAlign w:val="superscript"/>
        </w:rPr>
        <w:t>+</w:t>
      </w:r>
      <w:r w:rsidR="00DB3B8B">
        <w:rPr>
          <w:b w:val="0"/>
        </w:rPr>
        <w:t>(CH</w:t>
      </w:r>
      <w:r w:rsidR="00DB3B8B">
        <w:rPr>
          <w:b w:val="0"/>
          <w:vertAlign w:val="subscript"/>
        </w:rPr>
        <w:t>3</w:t>
      </w:r>
      <w:r w:rsidR="00DB3B8B">
        <w:rPr>
          <w:b w:val="0"/>
        </w:rPr>
        <w:t>)</w:t>
      </w:r>
      <w:r w:rsidR="00DB3B8B">
        <w:rPr>
          <w:b w:val="0"/>
          <w:vertAlign w:val="subscript"/>
        </w:rPr>
        <w:t>3</w:t>
      </w:r>
      <w:r w:rsidR="00DB3B8B">
        <w:rPr>
          <w:b w:val="0"/>
        </w:rPr>
        <w:t>Cl</w:t>
      </w:r>
      <w:r w:rsidR="00DB3B8B">
        <w:rPr>
          <w:b w:val="0"/>
          <w:vertAlign w:val="superscript"/>
        </w:rPr>
        <w:t>-</w:t>
      </w:r>
      <w:r w:rsidR="00DB3B8B">
        <w:rPr>
          <w:b w:val="0"/>
        </w:rPr>
        <w:t>,</w:t>
      </w:r>
      <w:r w:rsidR="00973987">
        <w:rPr>
          <w:b w:val="0"/>
        </w:rPr>
        <w:t xml:space="preserve"> R</w:t>
      </w:r>
      <w:r w:rsidR="00973987">
        <w:rPr>
          <w:b w:val="0"/>
          <w:vertAlign w:val="subscript"/>
        </w:rPr>
        <w:t>3</w:t>
      </w:r>
      <w:r w:rsidR="00DB3B8B">
        <w:rPr>
          <w:b w:val="0"/>
        </w:rPr>
        <w:t>=-CH</w:t>
      </w:r>
      <w:r w:rsidR="00DB3B8B">
        <w:rPr>
          <w:b w:val="0"/>
          <w:vertAlign w:val="subscript"/>
        </w:rPr>
        <w:t>3</w:t>
      </w:r>
      <w:r w:rsidR="00DB3B8B">
        <w:rPr>
          <w:b w:val="0"/>
        </w:rPr>
        <w:t>, R</w:t>
      </w:r>
      <w:r w:rsidR="00DB3B8B">
        <w:rPr>
          <w:b w:val="0"/>
          <w:vertAlign w:val="subscript"/>
        </w:rPr>
        <w:t>4</w:t>
      </w:r>
      <w:r w:rsidR="00DB3B8B">
        <w:rPr>
          <w:b w:val="0"/>
        </w:rPr>
        <w:t>=-CH</w:t>
      </w:r>
      <w:r w:rsidR="00DB3B8B">
        <w:rPr>
          <w:b w:val="0"/>
          <w:vertAlign w:val="subscript"/>
        </w:rPr>
        <w:t>3</w:t>
      </w:r>
      <w:r w:rsidR="00DB3B8B">
        <w:rPr>
          <w:b w:val="0"/>
        </w:rPr>
        <w:t>, R</w:t>
      </w:r>
      <w:r w:rsidR="00DB3B8B">
        <w:rPr>
          <w:b w:val="0"/>
          <w:vertAlign w:val="subscript"/>
        </w:rPr>
        <w:t>1a</w:t>
      </w:r>
      <w:r w:rsidR="00DB3B8B">
        <w:rPr>
          <w:b w:val="0"/>
        </w:rPr>
        <w:t>=-H, R</w:t>
      </w:r>
      <w:r w:rsidR="00DB3B8B">
        <w:rPr>
          <w:b w:val="0"/>
          <w:vertAlign w:val="subscript"/>
        </w:rPr>
        <w:t>2a</w:t>
      </w:r>
      <w:r w:rsidR="00DB3B8B">
        <w:rPr>
          <w:b w:val="0"/>
        </w:rPr>
        <w:t>=-CH</w:t>
      </w:r>
      <w:r w:rsidR="00DB3B8B">
        <w:rPr>
          <w:b w:val="0"/>
          <w:vertAlign w:val="subscript"/>
        </w:rPr>
        <w:t>2</w:t>
      </w:r>
      <w:r w:rsidR="00DB3B8B">
        <w:rPr>
          <w:b w:val="0"/>
        </w:rPr>
        <w:t>-CH</w:t>
      </w:r>
      <w:r w:rsidR="00DB3B8B">
        <w:rPr>
          <w:b w:val="0"/>
          <w:vertAlign w:val="subscript"/>
        </w:rPr>
        <w:t>3</w:t>
      </w:r>
      <w:r w:rsidR="00DB3B8B">
        <w:rPr>
          <w:b w:val="0"/>
        </w:rPr>
        <w:t xml:space="preserve"> </w:t>
      </w:r>
      <w:r w:rsidR="00973987">
        <w:rPr>
          <w:b w:val="0"/>
        </w:rPr>
        <w:t>(Eudragit</w:t>
      </w:r>
      <w:r w:rsidR="00973987" w:rsidRPr="00973987">
        <w:rPr>
          <w:b w:val="0"/>
          <w:vertAlign w:val="superscript"/>
        </w:rPr>
        <w:sym w:font="Symbol" w:char="F0D2"/>
      </w:r>
      <w:r w:rsidR="00973987">
        <w:rPr>
          <w:b w:val="0"/>
        </w:rPr>
        <w:t xml:space="preserve"> RL und RS)</w:t>
      </w:r>
    </w:p>
    <w:p w14:paraId="277C462C" w14:textId="77777777" w:rsidR="00DB3B8B" w:rsidRDefault="001B11D7" w:rsidP="001B11D7">
      <w:pPr>
        <w:spacing w:after="0"/>
      </w:pPr>
      <w:r>
        <w:tab/>
      </w:r>
    </w:p>
    <w:p w14:paraId="659CC7FF" w14:textId="77777777" w:rsidR="001B11D7" w:rsidRDefault="00860C7C" w:rsidP="00975477">
      <w:pPr>
        <w:spacing w:after="120"/>
        <w:ind w:left="709"/>
      </w:pPr>
      <w:r>
        <w:lastRenderedPageBreak/>
        <w:t>Die Eudragit</w:t>
      </w:r>
      <w:r w:rsidRPr="005C59DA">
        <w:rPr>
          <w:szCs w:val="24"/>
          <w:vertAlign w:val="superscript"/>
        </w:rPr>
        <w:sym w:font="Symbol" w:char="F0D2"/>
      </w:r>
      <w:r w:rsidR="00111446">
        <w:t xml:space="preserve"> Typen L,</w:t>
      </w:r>
      <w:r>
        <w:t xml:space="preserve"> S</w:t>
      </w:r>
      <w:r w:rsidR="00111446">
        <w:t xml:space="preserve"> und L-55</w:t>
      </w:r>
      <w:r>
        <w:t xml:space="preserve"> werden als magensaftresisten</w:t>
      </w:r>
      <w:r w:rsidR="00111446">
        <w:t>te Überzüge verwendet</w:t>
      </w:r>
      <w:r>
        <w:t>, die sich erst bei höheren pH-Werten im Darm auflösen</w:t>
      </w:r>
      <w:r w:rsidR="00D92F26">
        <w:t xml:space="preserve"> und den Wirkstoff gezielt</w:t>
      </w:r>
      <w:r w:rsidR="00AA21EE">
        <w:t xml:space="preserve"> in bestimmten Darmabschnitten</w:t>
      </w:r>
      <w:r w:rsidR="00111446">
        <w:t xml:space="preserve"> freigeben</w:t>
      </w:r>
      <w:r>
        <w:t>. Die Typen NE, RL und RS sind</w:t>
      </w:r>
      <w:r w:rsidR="00A65E4E">
        <w:t xml:space="preserve"> im Darm</w:t>
      </w:r>
      <w:r>
        <w:t xml:space="preserve"> unlöslich und eignen sich zur Modifizierung der Wirkstofffreiset</w:t>
      </w:r>
      <w:r w:rsidR="00963FC9">
        <w:t>zung (Retardierung, Verzögerung</w:t>
      </w:r>
      <w:r>
        <w:t xml:space="preserve"> etc.). Eudragit</w:t>
      </w:r>
      <w:r w:rsidRPr="00345897">
        <w:rPr>
          <w:szCs w:val="24"/>
          <w:vertAlign w:val="superscript"/>
        </w:rPr>
        <w:sym w:font="Symbol" w:char="F0D2"/>
      </w:r>
      <w:r>
        <w:t xml:space="preserve"> E </w:t>
      </w:r>
      <w:r w:rsidR="00111446">
        <w:t>wird als Schutzüberzug gegen Feuchtigkeit und zur Geschmacks</w:t>
      </w:r>
      <w:r w:rsidR="00DC69D1">
        <w:t>- und Geruchs</w:t>
      </w:r>
      <w:r w:rsidR="00111446">
        <w:t>maskierung eingesetzt und löst sich bereits im</w:t>
      </w:r>
      <w:r w:rsidR="00DC69D1">
        <w:t xml:space="preserve"> sauren</w:t>
      </w:r>
      <w:r w:rsidR="00111446">
        <w:t xml:space="preserve"> Magensaft auf. </w:t>
      </w:r>
      <w:r>
        <w:t>Durch Mischung unterschiedlicher Eudragit</w:t>
      </w:r>
      <w:r w:rsidRPr="00345897">
        <w:rPr>
          <w:szCs w:val="24"/>
          <w:vertAlign w:val="superscript"/>
        </w:rPr>
        <w:sym w:font="Symbol" w:char="F0D2"/>
      </w:r>
      <w:r w:rsidR="00EF4777">
        <w:t>-</w:t>
      </w:r>
      <w:r>
        <w:t>Typen können ihre Eigenschaften ganz individuellen Anforderungen angepasst werden.</w:t>
      </w:r>
    </w:p>
    <w:p w14:paraId="4AB15C73" w14:textId="77777777" w:rsidR="00111446" w:rsidRDefault="00D92F26" w:rsidP="009E710C">
      <w:pPr>
        <w:spacing w:after="120"/>
        <w:ind w:left="709"/>
      </w:pPr>
      <w:r>
        <w:t>Die Eudragit</w:t>
      </w:r>
      <w:r w:rsidR="00B240B0" w:rsidRPr="00276636">
        <w:rPr>
          <w:b/>
          <w:vertAlign w:val="superscript"/>
        </w:rPr>
        <w:t>®</w:t>
      </w:r>
      <w:r>
        <w:t xml:space="preserve"> Polymere sind biokompatibel und bei oraler Einnahme nicht toxisch. Sie </w:t>
      </w:r>
      <w:r w:rsidR="00127053">
        <w:t>gelangen nicht in den systemischen Blutkreislauf und werden unverändert wieder ausgeschieden, da sie nicht vom Darm resorbiert werden.</w:t>
      </w:r>
    </w:p>
    <w:p w14:paraId="11348750" w14:textId="77777777" w:rsidR="009E710C" w:rsidRDefault="009E710C" w:rsidP="009E710C">
      <w:pPr>
        <w:spacing w:after="120"/>
        <w:ind w:left="709"/>
      </w:pPr>
    </w:p>
    <w:p w14:paraId="2737D23E" w14:textId="77777777" w:rsidR="00111446" w:rsidRDefault="00367912" w:rsidP="00662B07">
      <w:pPr>
        <w:pStyle w:val="Listenabsatz"/>
        <w:numPr>
          <w:ilvl w:val="0"/>
          <w:numId w:val="22"/>
        </w:numPr>
        <w:spacing w:after="120"/>
        <w:ind w:left="714" w:hanging="357"/>
        <w:contextualSpacing w:val="0"/>
      </w:pPr>
      <w:r>
        <w:t>Polyacrylsäure</w:t>
      </w:r>
    </w:p>
    <w:p w14:paraId="2389679F" w14:textId="77777777" w:rsidR="00662B07" w:rsidRDefault="00662B07" w:rsidP="00C06BED">
      <w:pPr>
        <w:pStyle w:val="Listenabsatz"/>
        <w:contextualSpacing w:val="0"/>
      </w:pPr>
      <w:r>
        <w:t>Hochmolekulare Polymere der Acrylsäure, auch als Carbomere bezeichnet, werden von der Lubrizol Corporation unter dem Handelsnamen Carbopol</w:t>
      </w:r>
      <w:r w:rsidRPr="00662B07">
        <w:rPr>
          <w:vertAlign w:val="superscript"/>
        </w:rPr>
        <w:sym w:font="Symbol" w:char="F0D2"/>
      </w:r>
      <w:r w:rsidR="0067588D">
        <w:t xml:space="preserve"> vertrieben. Es sind unterschiedliche Typen in pha</w:t>
      </w:r>
      <w:r w:rsidR="001D310C">
        <w:t>rmazeutischer Qualität verfügbar</w:t>
      </w:r>
      <w:r w:rsidR="0067588D">
        <w:t>, die sich in ihrem mittleren Mo</w:t>
      </w:r>
      <w:r w:rsidR="001D310C">
        <w:t>lekulargewicht unterscheiden. Sie werden</w:t>
      </w:r>
      <w:r w:rsidR="0067588D">
        <w:t xml:space="preserve"> in der pharmazeutischen Technologie als Gelbildner, Feuchthaltemittel, zur Viskositätserhöhung und als Bindemittel in Tabletten eingesetzt.</w:t>
      </w:r>
    </w:p>
    <w:p w14:paraId="69590318" w14:textId="77777777" w:rsidR="00B1696B" w:rsidRDefault="00C06BED" w:rsidP="003C651B">
      <w:pPr>
        <w:pStyle w:val="Listenabsatz"/>
        <w:spacing w:after="120"/>
        <w:contextualSpacing w:val="0"/>
      </w:pPr>
      <w:r>
        <w:t>Polyacrylsäure besitzt mukoadhäsive Eigenschaften, die auf mechanischen, physikalischen und elektrostatischen Wechselwirkungen</w:t>
      </w:r>
      <w:r w:rsidR="0007004F">
        <w:t xml:space="preserve"> mit Mucinen</w:t>
      </w:r>
      <w:r>
        <w:t xml:space="preserve"> beruhen. </w:t>
      </w:r>
    </w:p>
    <w:p w14:paraId="16D8A2BD" w14:textId="77777777" w:rsidR="009E710C" w:rsidRDefault="009E710C" w:rsidP="003C651B">
      <w:pPr>
        <w:pStyle w:val="Listenabsatz"/>
        <w:spacing w:after="120"/>
        <w:contextualSpacing w:val="0"/>
      </w:pPr>
    </w:p>
    <w:p w14:paraId="0FE7D92C" w14:textId="77777777" w:rsidR="00C06BED" w:rsidRDefault="00A94B61" w:rsidP="00D92F26">
      <w:pPr>
        <w:pStyle w:val="Listenabsatz"/>
        <w:numPr>
          <w:ilvl w:val="0"/>
          <w:numId w:val="22"/>
        </w:numPr>
        <w:spacing w:after="120"/>
        <w:ind w:left="714" w:hanging="357"/>
        <w:contextualSpacing w:val="0"/>
      </w:pPr>
      <w:r>
        <w:t>Polycarbophil</w:t>
      </w:r>
    </w:p>
    <w:p w14:paraId="4C831C6A" w14:textId="77777777" w:rsidR="00D92F26" w:rsidRDefault="00F465F4" w:rsidP="00CD7A53">
      <w:pPr>
        <w:pStyle w:val="Listenabsatz"/>
        <w:spacing w:after="120"/>
        <w:contextualSpacing w:val="0"/>
      </w:pPr>
      <w:r>
        <w:t>Polycarbophil besteht aus Polymerketten der Acrylsäure, die mit</w:t>
      </w:r>
      <w:r w:rsidR="006D79AC">
        <w:t xml:space="preserve"> Divinylglycol quervernetzt wurden</w:t>
      </w:r>
      <w:r>
        <w:t>. Es ist nicht wasserlöslich, quillt aber</w:t>
      </w:r>
      <w:r w:rsidR="006D79AC">
        <w:t xml:space="preserve"> unter Wasseraufnahme</w:t>
      </w:r>
      <w:r>
        <w:t xml:space="preserve"> bis </w:t>
      </w:r>
      <w:r w:rsidR="006D79AC">
        <w:t>zum 1000 fachen seines ursprünglichen Volumens. Unter den pharmazeutisch verwendeten Polymeren zählt es zu denen mit der höchsten Mukoadhäsivität. Außerdem kann es die intestinale Resorption von Wirkstoffen</w:t>
      </w:r>
      <w:r w:rsidR="00CD7A53">
        <w:t xml:space="preserve"> erhöhen</w:t>
      </w:r>
      <w:r w:rsidR="00D16240">
        <w:fldChar w:fldCharType="begin"/>
      </w:r>
      <w:r w:rsidR="006D79AC">
        <w:instrText xml:space="preserve"> NOTEREF _Ref271632443 \f \h </w:instrText>
      </w:r>
      <w:r w:rsidR="00D16240">
        <w:fldChar w:fldCharType="separate"/>
      </w:r>
      <w:r w:rsidR="00711AB8" w:rsidRPr="00711AB8">
        <w:rPr>
          <w:rStyle w:val="Endnotenzeichen"/>
        </w:rPr>
        <w:t>42</w:t>
      </w:r>
      <w:r w:rsidR="00D16240">
        <w:fldChar w:fldCharType="end"/>
      </w:r>
      <w:r w:rsidR="006D79AC">
        <w:t>.</w:t>
      </w:r>
    </w:p>
    <w:p w14:paraId="5CE5E785" w14:textId="77777777" w:rsidR="00CD7A53" w:rsidRDefault="00CD7A53" w:rsidP="00CD7A53">
      <w:pPr>
        <w:pStyle w:val="Listenabsatz"/>
        <w:spacing w:after="0"/>
      </w:pPr>
    </w:p>
    <w:p w14:paraId="7AEFD16C" w14:textId="77777777" w:rsidR="00CD7A53" w:rsidRPr="00612975" w:rsidRDefault="00CD7A53" w:rsidP="00E80D3F">
      <w:pPr>
        <w:pStyle w:val="Listenabsatz"/>
        <w:numPr>
          <w:ilvl w:val="0"/>
          <w:numId w:val="22"/>
        </w:numPr>
        <w:spacing w:after="120"/>
        <w:ind w:left="714" w:hanging="357"/>
        <w:contextualSpacing w:val="0"/>
        <w:rPr>
          <w:lang w:val="en-US"/>
        </w:rPr>
      </w:pPr>
      <w:r w:rsidRPr="00612975">
        <w:rPr>
          <w:lang w:val="en-US"/>
        </w:rPr>
        <w:t>Polylactid</w:t>
      </w:r>
      <w:r w:rsidR="00E80D3F" w:rsidRPr="00612975">
        <w:rPr>
          <w:lang w:val="en-US"/>
        </w:rPr>
        <w:t xml:space="preserve"> (P</w:t>
      </w:r>
      <w:r w:rsidR="00BF6A52" w:rsidRPr="00612975">
        <w:rPr>
          <w:lang w:val="en-US"/>
        </w:rPr>
        <w:t>L</w:t>
      </w:r>
      <w:r w:rsidR="00E80D3F" w:rsidRPr="00612975">
        <w:rPr>
          <w:lang w:val="en-US"/>
        </w:rPr>
        <w:t>LA</w:t>
      </w:r>
      <w:r w:rsidR="00BF6A52" w:rsidRPr="00612975">
        <w:rPr>
          <w:lang w:val="en-US"/>
        </w:rPr>
        <w:t>, PDLA</w:t>
      </w:r>
      <w:r w:rsidR="00E80D3F" w:rsidRPr="00612975">
        <w:rPr>
          <w:lang w:val="en-US"/>
        </w:rPr>
        <w:t>)</w:t>
      </w:r>
      <w:r w:rsidR="00BF6A52" w:rsidRPr="00612975">
        <w:rPr>
          <w:lang w:val="en-US"/>
        </w:rPr>
        <w:t xml:space="preserve"> / Polylactid-co-G</w:t>
      </w:r>
      <w:r w:rsidRPr="00612975">
        <w:rPr>
          <w:lang w:val="en-US"/>
        </w:rPr>
        <w:t>lycolid</w:t>
      </w:r>
      <w:r w:rsidR="00E80D3F" w:rsidRPr="00612975">
        <w:rPr>
          <w:lang w:val="en-US"/>
        </w:rPr>
        <w:t xml:space="preserve"> (PLGA) / Poly</w:t>
      </w:r>
      <w:r w:rsidR="00BF6A52" w:rsidRPr="00612975">
        <w:rPr>
          <w:lang w:val="en-US"/>
        </w:rPr>
        <w:t>c</w:t>
      </w:r>
      <w:r w:rsidR="00E80D3F" w:rsidRPr="00612975">
        <w:rPr>
          <w:lang w:val="en-US"/>
        </w:rPr>
        <w:t>aprolacton (PCL)</w:t>
      </w:r>
      <w:r w:rsidR="00B225E0">
        <w:rPr>
          <w:lang w:val="en-US"/>
        </w:rPr>
        <w:t xml:space="preserve"> und Derivate</w:t>
      </w:r>
    </w:p>
    <w:p w14:paraId="5D4222F4" w14:textId="77777777" w:rsidR="00B06BED" w:rsidRDefault="00BF6A52" w:rsidP="00B06BED">
      <w:pPr>
        <w:pStyle w:val="Listenabsatz"/>
        <w:contextualSpacing w:val="0"/>
      </w:pPr>
      <w:r>
        <w:t xml:space="preserve">Die Polymere </w:t>
      </w:r>
      <w:r w:rsidR="00B96CC7">
        <w:t>Polylactid (</w:t>
      </w:r>
      <w:r>
        <w:t>PLA</w:t>
      </w:r>
      <w:r w:rsidR="00B96CC7">
        <w:t>)</w:t>
      </w:r>
      <w:r>
        <w:t xml:space="preserve">, </w:t>
      </w:r>
      <w:r w:rsidR="00B96CC7">
        <w:t>Poly</w:t>
      </w:r>
      <w:r w:rsidR="00EF4777">
        <w:t>l</w:t>
      </w:r>
      <w:r w:rsidR="00B96CC7">
        <w:t>actid-co-Glycolid (</w:t>
      </w:r>
      <w:r>
        <w:t>PLGA</w:t>
      </w:r>
      <w:r w:rsidR="00B96CC7">
        <w:t>)</w:t>
      </w:r>
      <w:r>
        <w:t xml:space="preserve"> und </w:t>
      </w:r>
      <w:r w:rsidR="00B96CC7">
        <w:t>Poly-</w:t>
      </w:r>
      <w:r w:rsidR="00B96CC7">
        <w:sym w:font="Symbol" w:char="F065"/>
      </w:r>
      <w:r w:rsidR="00B96CC7">
        <w:t>-Caprolacton (</w:t>
      </w:r>
      <w:r>
        <w:t>PCL</w:t>
      </w:r>
      <w:r w:rsidR="00B96CC7">
        <w:t>)</w:t>
      </w:r>
      <w:r>
        <w:t xml:space="preserve"> sind</w:t>
      </w:r>
      <w:r w:rsidR="00D0613E">
        <w:t xml:space="preserve"> biokompatible und bioabbaubar</w:t>
      </w:r>
      <w:r w:rsidR="00345897">
        <w:t>e Polyester, die in zahlreichen</w:t>
      </w:r>
      <w:r w:rsidR="00D0613E">
        <w:t xml:space="preserve"> behördlich zugelassenen Arzneimitteln</w:t>
      </w:r>
      <w:r w:rsidR="00EF4777">
        <w:t xml:space="preserve"> und Medizinprodukten</w:t>
      </w:r>
      <w:r w:rsidR="00D0613E">
        <w:t xml:space="preserve"> enthalten sind</w:t>
      </w:r>
      <w:r w:rsidR="00D16240">
        <w:fldChar w:fldCharType="begin"/>
      </w:r>
      <w:r w:rsidR="00EF4777">
        <w:instrText xml:space="preserve"> NOTEREF _Ref275896201 \f \h </w:instrText>
      </w:r>
      <w:r w:rsidR="00D16240">
        <w:fldChar w:fldCharType="separate"/>
      </w:r>
      <w:r w:rsidR="00711AB8" w:rsidRPr="00711AB8">
        <w:rPr>
          <w:rStyle w:val="Endnotenzeichen"/>
        </w:rPr>
        <w:t>123</w:t>
      </w:r>
      <w:r w:rsidR="00D16240">
        <w:fldChar w:fldCharType="end"/>
      </w:r>
      <w:r w:rsidR="00D0613E">
        <w:t xml:space="preserve">. Da </w:t>
      </w:r>
      <w:r w:rsidR="00D0613E">
        <w:lastRenderedPageBreak/>
        <w:t xml:space="preserve">ihre </w:t>
      </w:r>
      <w:r w:rsidR="00B225E0">
        <w:t>pharmazeutische Anwendung</w:t>
      </w:r>
      <w:r w:rsidR="00CF39F0">
        <w:t xml:space="preserve"> sehr sicher und toxikologisch unbedenklich ist,</w:t>
      </w:r>
      <w:r w:rsidR="00D0613E">
        <w:t xml:space="preserve"> besitzen sie den GRAS Status (Generally recognized as safe) der</w:t>
      </w:r>
      <w:r w:rsidR="00CF39F0">
        <w:t xml:space="preserve"> Food an</w:t>
      </w:r>
      <w:r w:rsidR="005F48A5">
        <w:t>d Drug Administration (</w:t>
      </w:r>
      <w:r w:rsidR="00625C22">
        <w:t xml:space="preserve">kurz: </w:t>
      </w:r>
      <w:r w:rsidR="005F48A5">
        <w:t>FDA</w:t>
      </w:r>
      <w:r w:rsidR="00B225E0">
        <w:t xml:space="preserve">, </w:t>
      </w:r>
      <w:r w:rsidR="00625C22">
        <w:t>Arzneimittelzulassung</w:t>
      </w:r>
      <w:r w:rsidR="00573304">
        <w:t>sbehörde der USA</w:t>
      </w:r>
      <w:r w:rsidR="00625C22">
        <w:t>)</w:t>
      </w:r>
      <w:r w:rsidR="00CF39F0">
        <w:t xml:space="preserve">. </w:t>
      </w:r>
      <w:r w:rsidR="00B06BED" w:rsidRPr="00B06BED">
        <w:t xml:space="preserve">Sie gehören zu den am meisten untersuchten </w:t>
      </w:r>
      <w:r w:rsidR="00625C22">
        <w:t>Hilfsstoffen für die</w:t>
      </w:r>
      <w:r w:rsidR="00573304">
        <w:t xml:space="preserve"> kontrollierte Wirkstofffreisetzung</w:t>
      </w:r>
      <w:r w:rsidR="00B06BED">
        <w:rPr>
          <w:rStyle w:val="Endnotenzeichen"/>
        </w:rPr>
        <w:endnoteReference w:id="55"/>
      </w:r>
      <w:r w:rsidR="00B06BED" w:rsidRPr="00B06BED">
        <w:t>.</w:t>
      </w:r>
    </w:p>
    <w:p w14:paraId="4D43DB42" w14:textId="77777777" w:rsidR="00E80D3F" w:rsidRDefault="00B96CC7" w:rsidP="00E80D3F">
      <w:pPr>
        <w:pStyle w:val="Listenabsatz"/>
        <w:contextualSpacing w:val="0"/>
      </w:pPr>
      <w:r>
        <w:t xml:space="preserve">Alle drei Polymertypen können per Ringöffnungspolymerisation </w:t>
      </w:r>
      <w:r w:rsidR="001E6561">
        <w:t>unter Verwendu</w:t>
      </w:r>
      <w:r w:rsidR="0072211D">
        <w:t>ng unterschiedlicher</w:t>
      </w:r>
      <w:r w:rsidR="001E6561">
        <w:t xml:space="preserve"> Makroinitiatoren </w:t>
      </w:r>
      <w:r w:rsidR="00A41D11">
        <w:t xml:space="preserve">synthetisiert </w:t>
      </w:r>
      <w:r w:rsidR="0072211D">
        <w:t>werden. Als Monomere</w:t>
      </w:r>
      <w:r w:rsidR="001E6561">
        <w:t xml:space="preserve"> für die Synthese von PLA und PLGA</w:t>
      </w:r>
      <w:r w:rsidR="0072211D">
        <w:t xml:space="preserve"> dienen</w:t>
      </w:r>
      <w:r w:rsidR="001E6561">
        <w:t xml:space="preserve"> nicht</w:t>
      </w:r>
      <w:r w:rsidR="00757629">
        <w:t xml:space="preserve"> die Grundeinheiten</w:t>
      </w:r>
      <w:r w:rsidR="001E6561">
        <w:t xml:space="preserve"> Milchsäure </w:t>
      </w:r>
      <w:r w:rsidR="0072211D">
        <w:t>und Glycolsäure, sondern deren cyc</w:t>
      </w:r>
      <w:r w:rsidR="001E6561">
        <w:t>lische Diester Lactid und Glycolid.</w:t>
      </w:r>
      <w:r w:rsidR="00A41D11">
        <w:t xml:space="preserve"> </w:t>
      </w:r>
      <w:r w:rsidR="0072211D">
        <w:t xml:space="preserve">Der Syntheseprozess ist in </w:t>
      </w:r>
      <w:r w:rsidR="00D16240">
        <w:fldChar w:fldCharType="begin"/>
      </w:r>
      <w:r w:rsidR="0072211D">
        <w:instrText xml:space="preserve"> REF _Ref271753716 \h </w:instrText>
      </w:r>
      <w:r w:rsidR="00D16240">
        <w:fldChar w:fldCharType="separate"/>
      </w:r>
      <w:r w:rsidR="00711AB8" w:rsidRPr="009E710C">
        <w:t xml:space="preserve">Abbildung </w:t>
      </w:r>
      <w:r w:rsidR="00711AB8">
        <w:rPr>
          <w:noProof/>
        </w:rPr>
        <w:t>5</w:t>
      </w:r>
      <w:r w:rsidR="00D16240">
        <w:fldChar w:fldCharType="end"/>
      </w:r>
      <w:r w:rsidR="0072211D">
        <w:t xml:space="preserve"> schematisch dargestellt. </w:t>
      </w:r>
      <w:r w:rsidR="00FB1A9B">
        <w:t>Eine ausführliche Beschreibung d</w:t>
      </w:r>
      <w:r w:rsidR="00757629">
        <w:t>er Polymersynthese wurde von Dieter Bendix im Jahre 1997 veröffentlicht</w:t>
      </w:r>
      <w:bookmarkStart w:id="59" w:name="_Ref285208435"/>
      <w:r w:rsidR="001A6BA1">
        <w:rPr>
          <w:rStyle w:val="Endnotenzeichen"/>
        </w:rPr>
        <w:endnoteReference w:id="56"/>
      </w:r>
      <w:bookmarkEnd w:id="59"/>
      <w:r w:rsidR="00757629">
        <w:t>, der seinerzeit Mitarbeiter der Boehringer Ingelheim AG war</w:t>
      </w:r>
      <w:r w:rsidR="001A6BA1">
        <w:t>. Bis zur Übernahme der Resomer</w:t>
      </w:r>
      <w:r w:rsidR="001A6BA1" w:rsidRPr="001A6BA1">
        <w:rPr>
          <w:rFonts w:cs="Times New Roman"/>
          <w:vertAlign w:val="superscript"/>
        </w:rPr>
        <w:t>®</w:t>
      </w:r>
      <w:r w:rsidR="001A6BA1">
        <w:t xml:space="preserve"> Produktsparte durch Evonik in 2011 wurden Polylactide für medizinische Anwendungen von Boehringer</w:t>
      </w:r>
      <w:r w:rsidR="00AA21EE">
        <w:t xml:space="preserve"> Ingelheim</w:t>
      </w:r>
      <w:r w:rsidR="001A6BA1">
        <w:t xml:space="preserve"> produziert.</w:t>
      </w:r>
    </w:p>
    <w:p w14:paraId="3F3F4D0A" w14:textId="77777777" w:rsidR="00B96CC7" w:rsidRDefault="00B96CC7" w:rsidP="00E80D3F">
      <w:pPr>
        <w:pStyle w:val="Listenabsatz"/>
      </w:pPr>
    </w:p>
    <w:p w14:paraId="7A7B5F35" w14:textId="77777777" w:rsidR="00B96CC7" w:rsidRDefault="00B96CC7" w:rsidP="00DA5F05">
      <w:pPr>
        <w:pStyle w:val="Listenabsatz"/>
        <w:spacing w:after="120"/>
        <w:jc w:val="center"/>
      </w:pPr>
      <w:r>
        <w:rPr>
          <w:noProof/>
          <w:lang w:eastAsia="de-DE"/>
        </w:rPr>
        <w:drawing>
          <wp:inline distT="0" distB="0" distL="0" distR="0" wp14:anchorId="4B54C969" wp14:editId="0EBFB031">
            <wp:extent cx="5758180" cy="2127250"/>
            <wp:effectExtent l="0" t="0" r="0" b="6350"/>
            <wp:docPr id="1033"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lum bright="-3000" contrast="7000"/>
                      <a:extLst>
                        <a:ext uri="{28A0092B-C50C-407E-A947-70E740481C1C}">
                          <a14:useLocalDpi xmlns:a14="http://schemas.microsoft.com/office/drawing/2010/main" val="0"/>
                        </a:ext>
                      </a:extLst>
                    </a:blip>
                    <a:srcRect/>
                    <a:stretch>
                      <a:fillRect/>
                    </a:stretch>
                  </pic:blipFill>
                  <pic:spPr bwMode="auto">
                    <a:xfrm>
                      <a:off x="0" y="0"/>
                      <a:ext cx="5758180" cy="2127250"/>
                    </a:xfrm>
                    <a:prstGeom prst="rect">
                      <a:avLst/>
                    </a:prstGeom>
                    <a:noFill/>
                    <a:ln>
                      <a:noFill/>
                    </a:ln>
                  </pic:spPr>
                </pic:pic>
              </a:graphicData>
            </a:graphic>
          </wp:inline>
        </w:drawing>
      </w:r>
    </w:p>
    <w:p w14:paraId="6A0067A4" w14:textId="77777777" w:rsidR="0072211D" w:rsidRPr="009E710C" w:rsidRDefault="00A41D11" w:rsidP="009E710C">
      <w:pPr>
        <w:pStyle w:val="Beschriftung"/>
      </w:pPr>
      <w:bookmarkStart w:id="60" w:name="_Ref271753716"/>
      <w:r w:rsidRPr="009E710C">
        <w:t xml:space="preserve">Abbildung </w:t>
      </w:r>
      <w:fldSimple w:instr=" SEQ Abbildung \* ARABIC ">
        <w:r w:rsidR="00711AB8">
          <w:rPr>
            <w:noProof/>
          </w:rPr>
          <w:t>5</w:t>
        </w:r>
      </w:fldSimple>
      <w:bookmarkEnd w:id="60"/>
      <w:r w:rsidRPr="009E710C">
        <w:t xml:space="preserve"> </w:t>
      </w:r>
      <w:r w:rsidRPr="009E710C">
        <w:rPr>
          <w:b w:val="0"/>
        </w:rPr>
        <w:t>Schematische Darstellung der Synthese von PLA, PLGA und PCL per Ringöffnungspolymerisation</w:t>
      </w:r>
      <w:r w:rsidR="00057BAF">
        <w:fldChar w:fldCharType="begin"/>
      </w:r>
      <w:r w:rsidR="00057BAF">
        <w:instrText xml:space="preserve"> NOTEREF _Ref285208435 \f \h  \* MERGEFORMAT </w:instrText>
      </w:r>
      <w:r w:rsidR="00057BAF">
        <w:fldChar w:fldCharType="separate"/>
      </w:r>
      <w:r w:rsidR="00711AB8" w:rsidRPr="00711AB8">
        <w:rPr>
          <w:rStyle w:val="Endnotenzeichen"/>
          <w:b w:val="0"/>
        </w:rPr>
        <w:t>56</w:t>
      </w:r>
      <w:r w:rsidR="00057BAF">
        <w:fldChar w:fldCharType="end"/>
      </w:r>
      <w:r w:rsidR="00EF4777" w:rsidRPr="009E710C">
        <w:rPr>
          <w:b w:val="0"/>
        </w:rPr>
        <w:t>.</w:t>
      </w:r>
    </w:p>
    <w:p w14:paraId="2C94F44B" w14:textId="77777777" w:rsidR="009E710C" w:rsidRDefault="009E710C" w:rsidP="002D55FA">
      <w:pPr>
        <w:ind w:left="708"/>
      </w:pPr>
    </w:p>
    <w:p w14:paraId="696CA26E" w14:textId="77777777" w:rsidR="0072211D" w:rsidRDefault="0072211D" w:rsidP="002D55FA">
      <w:pPr>
        <w:ind w:left="708"/>
      </w:pPr>
      <w:r>
        <w:t>Durch Variati</w:t>
      </w:r>
      <w:r w:rsidR="00B06BED">
        <w:t xml:space="preserve">on der Kettenlänge, des Anteils der jeweiligen Isomere </w:t>
      </w:r>
      <w:r w:rsidR="00A65E4E">
        <w:t>des Lactids (D- und</w:t>
      </w:r>
      <w:r>
        <w:t xml:space="preserve"> L-Konformation), der Monomer-</w:t>
      </w:r>
      <w:r w:rsidR="00A65E4E">
        <w:t>Anteile bei der Bildung von Cop</w:t>
      </w:r>
      <w:r>
        <w:t>olymeren und durch Kombination der unterschiedlichen Monomere miteinander ist eine große Bandbreite an Polymeren</w:t>
      </w:r>
      <w:r w:rsidR="00A65E4E">
        <w:t xml:space="preserve"> und Cop</w:t>
      </w:r>
      <w:r w:rsidR="002D55FA">
        <w:t>olymeren</w:t>
      </w:r>
      <w:r>
        <w:t xml:space="preserve"> mit untersch</w:t>
      </w:r>
      <w:r w:rsidR="00B06BED">
        <w:t>iedlichen</w:t>
      </w:r>
      <w:r w:rsidR="00611141">
        <w:t xml:space="preserve"> Eigenschaften herstellbar. Die</w:t>
      </w:r>
      <w:r w:rsidR="00B06BED">
        <w:t xml:space="preserve"> Variation dieser Parameter bewirkt Veränderungen in der Kristallinität und der Hydrophilie der Polymere, was wiederum Auswirkungen auf </w:t>
      </w:r>
      <w:r w:rsidR="007A692E">
        <w:t xml:space="preserve">die </w:t>
      </w:r>
      <w:r w:rsidR="00B06BED">
        <w:t xml:space="preserve">Verkapselungseffizienz und </w:t>
      </w:r>
      <w:r w:rsidR="007A692E">
        <w:t>das Freisetzungsprofil</w:t>
      </w:r>
      <w:r w:rsidR="00B06BED">
        <w:t xml:space="preserve"> von Wirkstoffen</w:t>
      </w:r>
      <w:r w:rsidR="007A692E">
        <w:t xml:space="preserve"> hat und die Abbauzeiten im Organismus deutlich beeinflusst.</w:t>
      </w:r>
      <w:r w:rsidR="00611141">
        <w:t xml:space="preserve"> Die Abbaubarkeit und d</w:t>
      </w:r>
      <w:r w:rsidR="00E50E93">
        <w:t>ie Hydrophilie der Polymere können</w:t>
      </w:r>
      <w:r w:rsidR="00611141">
        <w:t xml:space="preserve"> weiterhin durch Bildung von Blockcopolymeren mit Polyethylenglycol</w:t>
      </w:r>
      <w:r w:rsidR="002D55FA">
        <w:t xml:space="preserve"> (PEG)</w:t>
      </w:r>
      <w:r w:rsidR="00611141">
        <w:t>-Blöcken variiert werden.</w:t>
      </w:r>
    </w:p>
    <w:p w14:paraId="07A05737" w14:textId="77777777" w:rsidR="0094148B" w:rsidRDefault="005F48A5" w:rsidP="0094148B">
      <w:pPr>
        <w:ind w:left="697"/>
      </w:pPr>
      <w:r>
        <w:lastRenderedPageBreak/>
        <w:t>PLA und</w:t>
      </w:r>
      <w:r w:rsidR="00A564D1">
        <w:t xml:space="preserve"> PLGA Polymere in pharmazeutischer Qualität sind unter dem </w:t>
      </w:r>
      <w:r w:rsidR="0094148B">
        <w:t xml:space="preserve">kommerziellen </w:t>
      </w:r>
      <w:r w:rsidR="00A564D1">
        <w:t>Namen Resomer</w:t>
      </w:r>
      <w:r w:rsidR="00E50E93">
        <w:rPr>
          <w:szCs w:val="24"/>
          <w:vertAlign w:val="superscript"/>
        </w:rPr>
        <w:t>®</w:t>
      </w:r>
      <w:r w:rsidR="00A564D1">
        <w:t xml:space="preserve"> bekannt und werden</w:t>
      </w:r>
      <w:r w:rsidR="00573304">
        <w:t xml:space="preserve"> heute</w:t>
      </w:r>
      <w:r w:rsidR="00A564D1">
        <w:t xml:space="preserve"> von der Evonik Industries A</w:t>
      </w:r>
      <w:r w:rsidR="0094148B">
        <w:t xml:space="preserve">G </w:t>
      </w:r>
      <w:r w:rsidR="006A55B4">
        <w:t xml:space="preserve">produziert und </w:t>
      </w:r>
      <w:r w:rsidR="00573304">
        <w:t>vertrieben.</w:t>
      </w:r>
    </w:p>
    <w:p w14:paraId="2D3E991F" w14:textId="77777777" w:rsidR="00611141" w:rsidRDefault="005F48A5" w:rsidP="00C36548">
      <w:pPr>
        <w:ind w:left="697"/>
      </w:pPr>
      <w:r>
        <w:t>Sie</w:t>
      </w:r>
      <w:r w:rsidR="0094148B">
        <w:t xml:space="preserve"> sind die am besten untersuchten Materialien</w:t>
      </w:r>
      <w:r w:rsidR="00A564D1">
        <w:t xml:space="preserve"> zur Herstellung von partikulären Arzneistoffträgern </w:t>
      </w:r>
      <w:r w:rsidR="0094148B">
        <w:t xml:space="preserve">zur kontrollierten Wirkstofffreigabe </w:t>
      </w:r>
      <w:r w:rsidR="00A564D1">
        <w:t>im nano- und mikroskaligen Größenbereich</w:t>
      </w:r>
      <w:r w:rsidR="0094148B">
        <w:rPr>
          <w:rStyle w:val="Endnotenzeichen"/>
        </w:rPr>
        <w:endnoteReference w:id="57"/>
      </w:r>
      <w:r w:rsidR="00A564D1">
        <w:t>.</w:t>
      </w:r>
      <w:r w:rsidR="002C2C74">
        <w:t xml:space="preserve"> Ihre </w:t>
      </w:r>
      <w:r w:rsidR="00F10DDF">
        <w:t xml:space="preserve">hydrolytischen </w:t>
      </w:r>
      <w:r w:rsidR="002C2C74">
        <w:t>Abbauprodukte Milchsäure und Glycolsäure sind körpereigene Substanzen und werden daher auf natürlichem Weg ohne to</w:t>
      </w:r>
      <w:r w:rsidR="00F10DDF">
        <w:t>xische Zwischenprodukte eliminiert</w:t>
      </w:r>
      <w:r w:rsidR="00E42C3C">
        <w:rPr>
          <w:rStyle w:val="Endnotenzeichen"/>
        </w:rPr>
        <w:endnoteReference w:id="58"/>
      </w:r>
      <w:r w:rsidR="002C2C74">
        <w:t>. Da die Hydrolyse der Polyester dur</w:t>
      </w:r>
      <w:r w:rsidR="005943C5">
        <w:t>ch Säure katalysiert wird, kann auch von einem autokatalytischen Abbau gesprochen werden</w:t>
      </w:r>
      <w:r w:rsidR="002C2C74">
        <w:t>. Dies</w:t>
      </w:r>
      <w:r w:rsidR="005943C5">
        <w:t xml:space="preserve"> ist bei PCL nicht der Fall, da bei dessen Hydrolyse </w:t>
      </w:r>
      <w:r w:rsidR="002C2C74">
        <w:t>keine sauren Abbauprodukte entstehen. Die Abbauzeiten von PCL sind daher im Vergleich zu denen der anderen beiden Polyester deutlich erhöht und können</w:t>
      </w:r>
      <w:r w:rsidR="00303412">
        <w:t xml:space="preserve"> mehrere Jahre betragen</w:t>
      </w:r>
      <w:r w:rsidR="002C2C74">
        <w:t xml:space="preserve">. </w:t>
      </w:r>
      <w:r w:rsidR="00AB55BE">
        <w:t>Bis zu einem Anteil von maximal 50% verringert sich d</w:t>
      </w:r>
      <w:r w:rsidR="002C2C74">
        <w:t>ie Abbauzeit von PLGA</w:t>
      </w:r>
      <w:r w:rsidR="00F10DDF">
        <w:t xml:space="preserve"> mit steigendem Glycolid-Anteil</w:t>
      </w:r>
      <w:r w:rsidR="00F10DDF">
        <w:rPr>
          <w:rStyle w:val="Endnotenzeichen"/>
        </w:rPr>
        <w:endnoteReference w:id="59"/>
      </w:r>
      <w:r w:rsidR="00EF6E3B">
        <w:t>. Sie</w:t>
      </w:r>
      <w:r w:rsidR="001B2EAA">
        <w:t xml:space="preserve"> erhöht sich, wenn die Endgruppen durch Ve</w:t>
      </w:r>
      <w:r w:rsidR="00AA21EE">
        <w:t>resterung hydrophober gemacht we</w:t>
      </w:r>
      <w:r w:rsidR="001B2EAA">
        <w:t xml:space="preserve">rden. </w:t>
      </w:r>
      <w:r w:rsidR="00BD7909">
        <w:t>Weiterhin wird die Abbauzei</w:t>
      </w:r>
      <w:r w:rsidR="00303412">
        <w:t>t verlängert, wenn innerhalb des PLA Anteils</w:t>
      </w:r>
      <w:r w:rsidR="00BD7909">
        <w:t xml:space="preserve"> der Anteil eines bestimmten Isomers überwiegt oder </w:t>
      </w:r>
      <w:r w:rsidR="00345897">
        <w:t xml:space="preserve">wenn er </w:t>
      </w:r>
      <w:r w:rsidR="00BD7909">
        <w:t>ausschließlich aus einem der beiden Isomere besteht</w:t>
      </w:r>
      <w:r w:rsidR="00BD7909">
        <w:rPr>
          <w:rStyle w:val="Endnotenzeichen"/>
        </w:rPr>
        <w:endnoteReference w:id="60"/>
      </w:r>
      <w:r w:rsidR="00BD7909">
        <w:t>. In diesem Fall können sich</w:t>
      </w:r>
      <w:r w:rsidR="00573304">
        <w:t xml:space="preserve"> größere</w:t>
      </w:r>
      <w:r w:rsidR="00BD7909">
        <w:t xml:space="preserve"> kristalline Bereiche ausbilden, w</w:t>
      </w:r>
      <w:r w:rsidR="00345897">
        <w:t>as bei Verwendung des</w:t>
      </w:r>
      <w:r w:rsidR="00BD7909">
        <w:t xml:space="preserve"> Racemat</w:t>
      </w:r>
      <w:r w:rsidR="00345897">
        <w:t>s</w:t>
      </w:r>
      <w:r w:rsidR="00573304">
        <w:t xml:space="preserve"> nicht möglich</w:t>
      </w:r>
      <w:r w:rsidR="00BD7909">
        <w:t xml:space="preserve"> ist.</w:t>
      </w:r>
    </w:p>
    <w:p w14:paraId="55850052" w14:textId="77777777" w:rsidR="00927F09" w:rsidRDefault="00C36548" w:rsidP="00927F09">
      <w:pPr>
        <w:ind w:left="697"/>
      </w:pPr>
      <w:r>
        <w:t>Die Mikroverkapselung von hydrophilen Wirkstoffen der BCS Kla</w:t>
      </w:r>
      <w:r w:rsidR="00927F09">
        <w:t>sse III</w:t>
      </w:r>
      <w:r>
        <w:t xml:space="preserve"> hat sich mit PLA und PLGA Polymeren in der Vergangenheit </w:t>
      </w:r>
      <w:r w:rsidR="0043682D">
        <w:t xml:space="preserve">häufig </w:t>
      </w:r>
      <w:r>
        <w:t>als schwierig</w:t>
      </w:r>
      <w:r w:rsidR="000B55BD">
        <w:t xml:space="preserve"> </w:t>
      </w:r>
      <w:r w:rsidR="0043682D">
        <w:t>erwiesen, da die Polymere aufgrund ihres</w:t>
      </w:r>
      <w:r w:rsidR="00E50E93">
        <w:t xml:space="preserve"> hydrophoben</w:t>
      </w:r>
      <w:r w:rsidR="0043682D">
        <w:t xml:space="preserve"> Charakters eine relativ geringe Affinität zu</w:t>
      </w:r>
      <w:r w:rsidR="00712C21">
        <w:t xml:space="preserve"> hydrophilen Stoffen besitzen</w:t>
      </w:r>
      <w:r>
        <w:t>. Die Verkapselungseffizienz</w:t>
      </w:r>
      <w:r w:rsidR="00DE67B1">
        <w:t xml:space="preserve"> dieser Polymere für solche Wirkstoffe war dement</w:t>
      </w:r>
      <w:r w:rsidR="006A0E72">
        <w:t>sprechend stets relativ niedrig und die Freisetzungseigen</w:t>
      </w:r>
      <w:r w:rsidR="00487466">
        <w:t>-</w:t>
      </w:r>
      <w:r w:rsidR="006A0E72">
        <w:t>schaften</w:t>
      </w:r>
      <w:r w:rsidR="00712C21">
        <w:t xml:space="preserve"> aufgrund starker</w:t>
      </w:r>
      <w:r w:rsidR="00B42C92">
        <w:t xml:space="preserve"> Porenbildung</w:t>
      </w:r>
      <w:r w:rsidR="006A0E72">
        <w:t xml:space="preserve"> eher unvo</w:t>
      </w:r>
      <w:r w:rsidR="007266A1">
        <w:t>rteilhaft</w:t>
      </w:r>
      <w:r w:rsidR="00573304">
        <w:rPr>
          <w:rStyle w:val="Endnotenzeichen"/>
        </w:rPr>
        <w:endnoteReference w:id="61"/>
      </w:r>
      <w:r w:rsidR="00712C21">
        <w:t xml:space="preserve">. </w:t>
      </w:r>
    </w:p>
    <w:p w14:paraId="6A6A1D42" w14:textId="77777777" w:rsidR="00C36548" w:rsidRPr="00D53ECE" w:rsidRDefault="00712C21" w:rsidP="002C2C74">
      <w:pPr>
        <w:ind w:left="697"/>
        <w:contextualSpacing/>
        <w:rPr>
          <w:color w:val="FF0000"/>
        </w:rPr>
      </w:pPr>
      <w:r>
        <w:t xml:space="preserve">Mit dem Ziel die </w:t>
      </w:r>
      <w:r w:rsidR="007266A1">
        <w:t>Verkapselungseffizienz</w:t>
      </w:r>
      <w:r>
        <w:t xml:space="preserve"> zu erhöhen</w:t>
      </w:r>
      <w:r w:rsidR="007266A1">
        <w:t xml:space="preserve"> u</w:t>
      </w:r>
      <w:r>
        <w:t>nd günstigere Fr</w:t>
      </w:r>
      <w:r w:rsidR="00BE3992">
        <w:t>eisetzungs</w:t>
      </w:r>
      <w:r w:rsidR="00927F09">
        <w:t>-</w:t>
      </w:r>
      <w:r w:rsidR="00BE3992">
        <w:t>profile zu erzielen</w:t>
      </w:r>
      <w:r>
        <w:t>,</w:t>
      </w:r>
      <w:r w:rsidR="00071063">
        <w:t xml:space="preserve"> stellten unterschiedliche Arbeitskreise</w:t>
      </w:r>
      <w:r w:rsidR="007266A1">
        <w:t xml:space="preserve"> </w:t>
      </w:r>
      <w:r w:rsidR="00071063">
        <w:t xml:space="preserve">diverse Derivate </w:t>
      </w:r>
      <w:r w:rsidR="006A0E72">
        <w:t>Polylactid</w:t>
      </w:r>
      <w:r w:rsidR="003C651B">
        <w:t>-</w:t>
      </w:r>
      <w:r w:rsidR="006A0E72">
        <w:t>ba</w:t>
      </w:r>
      <w:r>
        <w:t>sierte</w:t>
      </w:r>
      <w:r w:rsidR="00071063">
        <w:t>r</w:t>
      </w:r>
      <w:r w:rsidR="00B42C92">
        <w:t xml:space="preserve"> Polymere</w:t>
      </w:r>
      <w:r w:rsidR="00071063">
        <w:t xml:space="preserve"> mit stärker hydrophilen Eigenschaften her</w:t>
      </w:r>
      <w:r w:rsidR="006A0E72">
        <w:t>.</w:t>
      </w:r>
      <w:r w:rsidR="0043682D">
        <w:t xml:space="preserve"> Dazu wurde</w:t>
      </w:r>
      <w:r>
        <w:t xml:space="preserve"> beispielsweise</w:t>
      </w:r>
      <w:r w:rsidR="00071063">
        <w:t xml:space="preserve"> von Breitenbach et al.</w:t>
      </w:r>
      <w:r w:rsidR="00BE3992">
        <w:t xml:space="preserve"> </w:t>
      </w:r>
      <w:r w:rsidR="0043682D">
        <w:t>Polyvinylalkohol (</w:t>
      </w:r>
      <w:r w:rsidR="003C651B">
        <w:t xml:space="preserve">kurz: </w:t>
      </w:r>
      <w:r w:rsidR="0043682D">
        <w:t>PVA) mit PLA oder PLGA Pol</w:t>
      </w:r>
      <w:r w:rsidR="00FA22A7">
        <w:t>ymerketten verestert, wobei PVA das Polymerrückrat bildete</w:t>
      </w:r>
      <w:r w:rsidR="00F830BE">
        <w:rPr>
          <w:rStyle w:val="Endnotenzeichen"/>
        </w:rPr>
        <w:endnoteReference w:id="62"/>
      </w:r>
      <w:r w:rsidR="00BE3992">
        <w:t>.</w:t>
      </w:r>
      <w:r w:rsidR="00FA22A7">
        <w:t xml:space="preserve"> In einem weiteren Schritt wurd</w:t>
      </w:r>
      <w:r w:rsidR="003B20A0">
        <w:t>en diese Polymere durch Anknüpfung</w:t>
      </w:r>
      <w:r w:rsidR="00FA22A7">
        <w:t xml:space="preserve"> von</w:t>
      </w:r>
      <w:r w:rsidR="00BA4A87">
        <w:t xml:space="preserve"> Diethylami</w:t>
      </w:r>
      <w:r w:rsidR="00071063">
        <w:t>no</w:t>
      </w:r>
      <w:r w:rsidR="00927F09">
        <w:t>propylamin (DEAPA) nochmals</w:t>
      </w:r>
      <w:r w:rsidR="00E529B8">
        <w:t xml:space="preserve"> modifiziert</w:t>
      </w:r>
      <w:bookmarkStart w:id="61" w:name="_Ref286244532"/>
      <w:r w:rsidR="002C1F56">
        <w:rPr>
          <w:rStyle w:val="Endnotenzeichen"/>
        </w:rPr>
        <w:endnoteReference w:id="63"/>
      </w:r>
      <w:bookmarkEnd w:id="61"/>
      <w:r w:rsidR="00FA22A7">
        <w:t>.</w:t>
      </w:r>
      <w:r w:rsidR="00E529B8">
        <w:t xml:space="preserve"> Auf diese Weise wurden </w:t>
      </w:r>
      <w:r w:rsidR="00BA4A87">
        <w:t>sehr gut wasserlösliche amphiphile positiv geladene Polyelektrolyte erhalten, die sich nach einer gezielten Optimierung sehr gut zur Herstellung von Polyelektrolytkomplexen (PEC) mit Insulin eigneten. Der Beladungsgrad</w:t>
      </w:r>
      <w:r w:rsidR="00071063">
        <w:t xml:space="preserve"> von</w:t>
      </w:r>
      <w:r w:rsidR="00BB5503">
        <w:t xml:space="preserve"> Partikel</w:t>
      </w:r>
      <w:r w:rsidR="00071063">
        <w:t>n</w:t>
      </w:r>
      <w:r w:rsidR="00BA4A87">
        <w:t xml:space="preserve"> kon</w:t>
      </w:r>
      <w:r w:rsidR="00BB5503">
        <w:t>nte</w:t>
      </w:r>
      <w:r w:rsidR="00FC5B7F">
        <w:t xml:space="preserve"> durch Verwendung dieser</w:t>
      </w:r>
      <w:r w:rsidR="007B4782">
        <w:t xml:space="preserve"> Polyeletrolyte</w:t>
      </w:r>
      <w:r w:rsidR="00BB5503">
        <w:t xml:space="preserve"> im Vergleich zu</w:t>
      </w:r>
      <w:r w:rsidR="00BA4A87">
        <w:t xml:space="preserve"> </w:t>
      </w:r>
      <w:r w:rsidR="00BB5503">
        <w:t xml:space="preserve">handelsüblichem </w:t>
      </w:r>
      <w:r w:rsidR="00BA4A87">
        <w:t>PLGA deutlich erhö</w:t>
      </w:r>
      <w:r w:rsidR="00BB5503">
        <w:t>ht werden</w:t>
      </w:r>
      <w:r w:rsidR="00D16240">
        <w:fldChar w:fldCharType="begin"/>
      </w:r>
      <w:r w:rsidR="007B4782">
        <w:instrText xml:space="preserve"> NOTEREF _Ref286244532 \f \h </w:instrText>
      </w:r>
      <w:r w:rsidR="00D16240">
        <w:fldChar w:fldCharType="separate"/>
      </w:r>
      <w:r w:rsidR="00711AB8" w:rsidRPr="00711AB8">
        <w:rPr>
          <w:rStyle w:val="Endnotenzeichen"/>
        </w:rPr>
        <w:t>63</w:t>
      </w:r>
      <w:r w:rsidR="00D16240">
        <w:fldChar w:fldCharType="end"/>
      </w:r>
      <w:r w:rsidR="00BB5503">
        <w:t>.</w:t>
      </w:r>
      <w:r w:rsidR="0068274B">
        <w:t xml:space="preserve"> </w:t>
      </w:r>
      <w:r w:rsidR="00BB5503">
        <w:t>Ein w</w:t>
      </w:r>
      <w:r w:rsidR="00927F09">
        <w:t xml:space="preserve">eiterer Vorteil dieser </w:t>
      </w:r>
      <w:r w:rsidR="00927F09">
        <w:lastRenderedPageBreak/>
        <w:t>Polymere war, dass sich</w:t>
      </w:r>
      <w:r w:rsidR="00BB5503">
        <w:t xml:space="preserve"> </w:t>
      </w:r>
      <w:r w:rsidR="0068274B">
        <w:t>Nanopartikel bzw. PEC</w:t>
      </w:r>
      <w:r w:rsidR="00927F09">
        <w:t xml:space="preserve"> mit Insulin</w:t>
      </w:r>
      <w:r w:rsidR="00BA4A87">
        <w:t xml:space="preserve"> spontan aus wässrigen Lösungen</w:t>
      </w:r>
      <w:r w:rsidR="00927F09">
        <w:t xml:space="preserve"> bildeten, weshalb</w:t>
      </w:r>
      <w:r w:rsidR="00BB5503">
        <w:t xml:space="preserve"> vollständig auf organisc</w:t>
      </w:r>
      <w:r w:rsidR="00A43F16">
        <w:t>he Lösungsmittel, die üblicherw</w:t>
      </w:r>
      <w:r w:rsidR="00BB5503">
        <w:t xml:space="preserve">eise bei der Herstellung von Nanopartikeln benötigt werden, verzichtet werden konnte. Ein Nachteil dieser Polymere </w:t>
      </w:r>
      <w:r w:rsidR="00487466">
        <w:t xml:space="preserve">hinsichtlich einer breiten Anwendung </w:t>
      </w:r>
      <w:r w:rsidR="00BB5503">
        <w:t>ist</w:t>
      </w:r>
      <w:r w:rsidR="00FC5B7F">
        <w:t xml:space="preserve"> jedoch</w:t>
      </w:r>
      <w:r w:rsidR="00BB5503">
        <w:t>, dass sie</w:t>
      </w:r>
      <w:r w:rsidR="00927F09">
        <w:t xml:space="preserve"> ganz</w:t>
      </w:r>
      <w:r w:rsidR="00487466">
        <w:t xml:space="preserve"> speziell für den Wirkstoff</w:t>
      </w:r>
      <w:r w:rsidR="00BB5503">
        <w:t xml:space="preserve"> Insulin konzipiert wurden. Die Verwertbarkeit für andere Peptide oder Proteine is</w:t>
      </w:r>
      <w:r w:rsidR="00927F09">
        <w:t>t aufg</w:t>
      </w:r>
      <w:r w:rsidR="00487466">
        <w:t>rund dieser hoch spezifischen</w:t>
      </w:r>
      <w:r w:rsidR="00927F09">
        <w:t xml:space="preserve"> Ausrichtung voraussichtlich nicht gegeben.</w:t>
      </w:r>
    </w:p>
    <w:p w14:paraId="03F15428" w14:textId="77777777" w:rsidR="00391870" w:rsidRDefault="00B60678" w:rsidP="00B90911">
      <w:pPr>
        <w:pStyle w:val="berschrift2"/>
      </w:pPr>
      <w:r w:rsidRPr="00501895">
        <w:tab/>
      </w:r>
      <w:bookmarkStart w:id="62" w:name="_Ref276513572"/>
      <w:bookmarkStart w:id="63" w:name="_Toc294380174"/>
      <w:r w:rsidR="00CA5C00" w:rsidRPr="00501895">
        <w:t>Strategien zur Bioverfügbarkeitsverbesserung von Peptiden und Proteinen</w:t>
      </w:r>
      <w:bookmarkEnd w:id="62"/>
      <w:bookmarkEnd w:id="63"/>
    </w:p>
    <w:p w14:paraId="5C363A94" w14:textId="77777777" w:rsidR="00EB04C7" w:rsidRDefault="00833E27" w:rsidP="00EB04C7">
      <w:r>
        <w:t xml:space="preserve">Die Anfänge in der Entwicklung spezieller Formulierungen zur Verbesserung der oralen Bioverfügbarkeit von Peptiden und Proteinen reichen bis in die späten 1960er Jahre zurück, als </w:t>
      </w:r>
      <w:r w:rsidR="00683CF1">
        <w:t xml:space="preserve">Liposomen </w:t>
      </w:r>
      <w:r w:rsidR="00BC4DCF">
        <w:t>zur Verwendung als</w:t>
      </w:r>
      <w:r w:rsidR="00071063">
        <w:t xml:space="preserve"> peroral applizierbare Arzneistoffträger für Proteine vorgestellt</w:t>
      </w:r>
      <w:r w:rsidR="00BC4DCF">
        <w:t xml:space="preserve"> wurden</w:t>
      </w:r>
      <w:r w:rsidR="00BC4DCF">
        <w:rPr>
          <w:rStyle w:val="Endnotenzeichen"/>
        </w:rPr>
        <w:endnoteReference w:id="64"/>
      </w:r>
      <w:r w:rsidR="00BC4DCF">
        <w:t>.</w:t>
      </w:r>
      <w:r w:rsidR="00CA614E">
        <w:t xml:space="preserve"> Während</w:t>
      </w:r>
      <w:r w:rsidR="00BD7531">
        <w:t xml:space="preserve"> sich die Bemü</w:t>
      </w:r>
      <w:r w:rsidR="001B7774">
        <w:t xml:space="preserve">hungen </w:t>
      </w:r>
      <w:r w:rsidR="00AD569E">
        <w:t xml:space="preserve">der Formulierungsentwicklung </w:t>
      </w:r>
      <w:r w:rsidR="001B7774">
        <w:t>zunächst im Wesentlichen auf</w:t>
      </w:r>
      <w:r w:rsidR="00136714">
        <w:t xml:space="preserve"> In</w:t>
      </w:r>
      <w:r w:rsidR="001B7774">
        <w:t xml:space="preserve">sulin konzentrierten, stieg der Bedarf an nicht invasiven Formulierungen für hydrophile Makromoleküle mit stetig wachsender </w:t>
      </w:r>
      <w:r w:rsidR="001E3898">
        <w:t>Anz</w:t>
      </w:r>
      <w:r w:rsidR="001B7774">
        <w:t>ahl neu zugelassener Peptidarzneistof</w:t>
      </w:r>
      <w:r w:rsidR="005155E5">
        <w:t>fe</w:t>
      </w:r>
      <w:r w:rsidR="00CA614E">
        <w:t xml:space="preserve"> im Laufe der Zeit</w:t>
      </w:r>
      <w:r w:rsidR="00A17682">
        <w:t xml:space="preserve"> an. </w:t>
      </w:r>
      <w:r w:rsidR="00CA614E">
        <w:t xml:space="preserve">Die Zulassung neuer Substanzen schritt dabei deutlich schneller voran als die </w:t>
      </w:r>
      <w:r w:rsidR="001E3898">
        <w:t>Entwicklung effektiver nicht</w:t>
      </w:r>
      <w:r w:rsidR="00A17682">
        <w:t>invasiver Formul</w:t>
      </w:r>
      <w:r w:rsidR="00CA614E">
        <w:t>ierungen</w:t>
      </w:r>
      <w:r w:rsidR="005F5E9A">
        <w:rPr>
          <w:rStyle w:val="Endnotenzeichen"/>
        </w:rPr>
        <w:endnoteReference w:id="65"/>
      </w:r>
      <w:r w:rsidR="00CA614E">
        <w:t>,</w:t>
      </w:r>
      <w:r w:rsidR="005F5E9A" w:rsidRPr="007033EE">
        <w:rPr>
          <w:rStyle w:val="Endnotenzeichen"/>
          <w:vertAlign w:val="baseline"/>
        </w:rPr>
        <w:t xml:space="preserve"> </w:t>
      </w:r>
      <w:r w:rsidR="00CA614E">
        <w:t>sodass bis heute i</w:t>
      </w:r>
      <w:r w:rsidR="00C828CE">
        <w:t>m Bereich der Formulierungsentwicklung</w:t>
      </w:r>
      <w:r w:rsidR="00992BFB">
        <w:t xml:space="preserve"> für diese Substanzklasse</w:t>
      </w:r>
      <w:r w:rsidR="00CA614E">
        <w:t xml:space="preserve"> </w:t>
      </w:r>
      <w:r w:rsidR="00C828CE">
        <w:t>ein immenser Nachholbedarf</w:t>
      </w:r>
      <w:r w:rsidR="00CA614E">
        <w:t xml:space="preserve"> besteht</w:t>
      </w:r>
      <w:r w:rsidR="00C828CE">
        <w:t>.</w:t>
      </w:r>
    </w:p>
    <w:p w14:paraId="27721483" w14:textId="77777777" w:rsidR="00C828CE" w:rsidRPr="00EB04C7" w:rsidRDefault="00C828CE" w:rsidP="00EB04C7">
      <w:r>
        <w:t>Einige der bisher vielversprechendsten Ansätze</w:t>
      </w:r>
      <w:r w:rsidR="00992BFB">
        <w:t xml:space="preserve"> zur Verbesserung der oralen Bioverfügbarkeit von Peptidarzneistoffen</w:t>
      </w:r>
      <w:r>
        <w:t xml:space="preserve"> werden in</w:t>
      </w:r>
      <w:r w:rsidR="00C55092">
        <w:t xml:space="preserve"> den folgenden Abschnitten </w:t>
      </w:r>
      <w:r>
        <w:t>vorgestellt.</w:t>
      </w:r>
    </w:p>
    <w:p w14:paraId="5E89A9C6" w14:textId="77777777" w:rsidR="0060528A" w:rsidRDefault="00BD7531" w:rsidP="001C6849">
      <w:pPr>
        <w:pStyle w:val="berschrift3"/>
      </w:pPr>
      <w:bookmarkStart w:id="64" w:name="_Ref277805943"/>
      <w:bookmarkStart w:id="65" w:name="_Toc294380175"/>
      <w:r>
        <w:t xml:space="preserve">Chemische </w:t>
      </w:r>
      <w:r w:rsidR="00EB2EFA">
        <w:t xml:space="preserve">Modifikationen </w:t>
      </w:r>
      <w:r>
        <w:t>von</w:t>
      </w:r>
      <w:r w:rsidR="00FC5C25">
        <w:t xml:space="preserve"> Peptid-</w:t>
      </w:r>
      <w:r w:rsidR="009957A8">
        <w:t xml:space="preserve"> und</w:t>
      </w:r>
      <w:r w:rsidR="001E7252">
        <w:t xml:space="preserve"> Protein</w:t>
      </w:r>
      <w:r w:rsidR="00FC5C25">
        <w:t>arzneistoffe</w:t>
      </w:r>
      <w:r>
        <w:t>n</w:t>
      </w:r>
      <w:bookmarkEnd w:id="64"/>
      <w:bookmarkEnd w:id="65"/>
    </w:p>
    <w:p w14:paraId="6242F602" w14:textId="77777777" w:rsidR="00F330DE" w:rsidRDefault="007D4856" w:rsidP="00C828CE">
      <w:r>
        <w:t xml:space="preserve">Durch </w:t>
      </w:r>
      <w:r w:rsidR="000A614D">
        <w:t>chemische Modifikationen endogener Pept</w:t>
      </w:r>
      <w:r>
        <w:t>ide lassen sich häufig</w:t>
      </w:r>
      <w:r w:rsidR="000A614D">
        <w:t xml:space="preserve"> Verbesserungen der biopharmazeutischen</w:t>
      </w:r>
      <w:r>
        <w:t xml:space="preserve"> Eigenschaften und der pha</w:t>
      </w:r>
      <w:r w:rsidR="00152512">
        <w:t>rmakologischen Wirkung der Wirkstoffe</w:t>
      </w:r>
      <w:r w:rsidR="000A22E2">
        <w:t xml:space="preserve"> erreichen. Die </w:t>
      </w:r>
      <w:r>
        <w:t>Möglichkeite</w:t>
      </w:r>
      <w:r w:rsidR="000A22E2">
        <w:t>n sind vielfältig und betreffen beispielsweise</w:t>
      </w:r>
      <w:r>
        <w:t xml:space="preserve"> Veränderungen funktioneller Seitengruppen</w:t>
      </w:r>
      <w:r w:rsidR="000A22E2">
        <w:t>, den Austausch von Aminosäuren oder</w:t>
      </w:r>
      <w:r>
        <w:t xml:space="preserve"> die Konjug</w:t>
      </w:r>
      <w:r w:rsidR="000A22E2">
        <w:t>ation mit speziellen</w:t>
      </w:r>
      <w:r w:rsidR="00C31333">
        <w:t xml:space="preserve"> funktionalen</w:t>
      </w:r>
      <w:r w:rsidR="000A22E2">
        <w:t xml:space="preserve"> Molekülen. Die Derivatisierung endständiger Aminogruppen, der Austausch von natürlich konfigurierten L- gegen D-Aminosäuren, die Zyklisierung von Peptiden und die Deriv</w:t>
      </w:r>
      <w:r w:rsidR="002A02C2">
        <w:t>atisieru</w:t>
      </w:r>
      <w:r w:rsidR="006F102D">
        <w:t>ng des C-Terminus</w:t>
      </w:r>
      <w:r w:rsidR="002A02C2">
        <w:t xml:space="preserve"> </w:t>
      </w:r>
      <w:r w:rsidR="00FA43D2">
        <w:t>sind ei</w:t>
      </w:r>
      <w:r w:rsidR="00152512">
        <w:t>nige der am häufigsten beschriebenen</w:t>
      </w:r>
      <w:r w:rsidR="00FA43D2">
        <w:t xml:space="preserve"> Modifikationsmöglichkeiten</w:t>
      </w:r>
      <w:r w:rsidR="006F102D">
        <w:t xml:space="preserve"> in diesem Zusammenhang</w:t>
      </w:r>
      <w:r w:rsidR="00FA43D2">
        <w:rPr>
          <w:rStyle w:val="Endnotenzeichen"/>
        </w:rPr>
        <w:endnoteReference w:id="66"/>
      </w:r>
      <w:r w:rsidR="00FA43D2">
        <w:t xml:space="preserve">. </w:t>
      </w:r>
      <w:r w:rsidR="008469EB">
        <w:t>Beispielsweise wurde d</w:t>
      </w:r>
      <w:r w:rsidR="006F102D">
        <w:t>urch Deaminierung des Cysteins in Position 1 und</w:t>
      </w:r>
      <w:r w:rsidR="00513419">
        <w:t xml:space="preserve"> </w:t>
      </w:r>
      <w:r w:rsidR="006F102D">
        <w:t xml:space="preserve">den Austausch von L-Arginin </w:t>
      </w:r>
      <w:r w:rsidR="001E3898">
        <w:t>an</w:t>
      </w:r>
      <w:r w:rsidR="00562E3C">
        <w:t xml:space="preserve"> Position 8 </w:t>
      </w:r>
      <w:r w:rsidR="006F102D">
        <w:t>durch sein</w:t>
      </w:r>
      <w:r w:rsidR="008469EB">
        <w:t xml:space="preserve">e D-Form </w:t>
      </w:r>
      <w:r w:rsidR="00C31333">
        <w:t>die enzymatische Stabilität</w:t>
      </w:r>
      <w:r w:rsidR="006F102D">
        <w:t xml:space="preserve"> und </w:t>
      </w:r>
      <w:r w:rsidR="00DA7728">
        <w:t>die Membranpermeabilität</w:t>
      </w:r>
      <w:r w:rsidR="006F102D">
        <w:t xml:space="preserve"> des </w:t>
      </w:r>
      <w:r w:rsidR="00513419">
        <w:t>körpereigenen antidiuretischen Peptidh</w:t>
      </w:r>
      <w:r w:rsidR="006F102D">
        <w:t>ormo</w:t>
      </w:r>
      <w:r w:rsidR="008469EB">
        <w:t>nes Vasopress</w:t>
      </w:r>
      <w:r w:rsidR="00DA7728">
        <w:t>in enorm erhöht</w:t>
      </w:r>
      <w:r w:rsidR="00562E3C">
        <w:t xml:space="preserve">. Durch den Einsatz der </w:t>
      </w:r>
      <w:r w:rsidR="00513419">
        <w:t>optimierten Strukt</w:t>
      </w:r>
      <w:r w:rsidR="00182157">
        <w:t>ur, die später unter dem Namen Desmopressin (DDAVP) zugelassen</w:t>
      </w:r>
      <w:r w:rsidR="009E2F6F">
        <w:t xml:space="preserve"> </w:t>
      </w:r>
      <w:r w:rsidR="009E2F6F">
        <w:lastRenderedPageBreak/>
        <w:t>wurde, konnte selbst nach Reduzierung der applizierten Menge auf</w:t>
      </w:r>
      <w:r w:rsidR="00152512">
        <w:t xml:space="preserve"> unter</w:t>
      </w:r>
      <w:r w:rsidR="00B02B80">
        <w:t xml:space="preserve"> 2% der sonst üblichen Dosis</w:t>
      </w:r>
      <w:r w:rsidR="009E2F6F">
        <w:t xml:space="preserve"> </w:t>
      </w:r>
      <w:r w:rsidR="00513419">
        <w:t>eine noch effektivere Wirkung als mit</w:t>
      </w:r>
      <w:r w:rsidR="009E2F6F">
        <w:t xml:space="preserve"> dem natürlichen Peptidhormon</w:t>
      </w:r>
      <w:r w:rsidR="00513419">
        <w:t xml:space="preserve"> erziel</w:t>
      </w:r>
      <w:r w:rsidR="009E2F6F">
        <w:t>t werden</w:t>
      </w:r>
      <w:r w:rsidR="00C31333">
        <w:rPr>
          <w:rStyle w:val="Endnotenzeichen"/>
        </w:rPr>
        <w:endnoteReference w:id="67"/>
      </w:r>
      <w:r w:rsidR="00C31333">
        <w:t>.</w:t>
      </w:r>
    </w:p>
    <w:p w14:paraId="3DE485D7" w14:textId="77777777" w:rsidR="00C828CE" w:rsidRDefault="00F330DE" w:rsidP="00C828CE">
      <w:r>
        <w:t>Morley et al. fanden heraus, dass durch Alkylierung des N-Terminus (Acetylierung oder Formylierung) Peptide oder Proteine vor einem Abbau durch Aminopeptidasen geschützt werden können</w:t>
      </w:r>
      <w:r>
        <w:rPr>
          <w:rStyle w:val="Endnotenzeichen"/>
        </w:rPr>
        <w:endnoteReference w:id="68"/>
      </w:r>
      <w:r>
        <w:t>.</w:t>
      </w:r>
    </w:p>
    <w:p w14:paraId="02EF5E27" w14:textId="77777777" w:rsidR="009E2F6F" w:rsidRDefault="009E2F6F" w:rsidP="00C828CE">
      <w:r>
        <w:t>Eine weitere Modifikation, die für eine Reihe von Peptidwirkstoffen deutliche Verbesserungen der biopharmazeut</w:t>
      </w:r>
      <w:r w:rsidR="00BE77A9">
        <w:t>ischen Eigenschaften mit sich brachte</w:t>
      </w:r>
      <w:r>
        <w:t>, stellt die Kopplung mit Polyethy</w:t>
      </w:r>
      <w:r w:rsidR="00BE77A9">
        <w:t>lenglycol (PEG) dar. Die Erkenntnis</w:t>
      </w:r>
      <w:r>
        <w:t>, dass die koval</w:t>
      </w:r>
      <w:r w:rsidR="00BE77A9">
        <w:t xml:space="preserve">ente Kopplung von PEG-Ketten an Wirkstoffmoleküle zu einer höheren Stabilität gegenüber Proteasen, einer geringeren Immunogenität und einer verminderten renalen Ausscheidung führt, geht auf Arbeiten von Frank F. Davis und </w:t>
      </w:r>
      <w:r w:rsidR="00BE77A9" w:rsidRPr="00BE77A9">
        <w:t>Abraham Abuchowski</w:t>
      </w:r>
      <w:r w:rsidR="001E3898">
        <w:t xml:space="preserve"> aus</w:t>
      </w:r>
      <w:r w:rsidR="00BE77A9">
        <w:t xml:space="preserve"> den 1970er Jahren zurück</w:t>
      </w:r>
      <w:r w:rsidR="00BE77A9">
        <w:rPr>
          <w:rStyle w:val="Endnotenzeichen"/>
        </w:rPr>
        <w:endnoteReference w:id="69"/>
      </w:r>
      <w:r w:rsidR="00BE77A9">
        <w:t>.</w:t>
      </w:r>
      <w:r w:rsidR="00152512">
        <w:t xml:space="preserve"> Die Kopplung von</w:t>
      </w:r>
      <w:r w:rsidR="00E7525A">
        <w:t xml:space="preserve"> Makromolekülen mit PEG wird auch als PEGylierung bezeichnet.</w:t>
      </w:r>
    </w:p>
    <w:p w14:paraId="33FBB7DD" w14:textId="77777777" w:rsidR="00BE77A9" w:rsidRDefault="00182157" w:rsidP="00C828CE">
      <w:r>
        <w:t>Neben Verbesserungen der Wirksamkeit und der Plasmahalbwertszeit sind außerdem</w:t>
      </w:r>
      <w:r w:rsidR="00152512">
        <w:t xml:space="preserve"> Modifikationen bekannt, die eine Erhöhung der Permeabilität bewirken</w:t>
      </w:r>
      <w:r>
        <w:t xml:space="preserve">. </w:t>
      </w:r>
      <w:r w:rsidR="00E7525A">
        <w:t>Beispielsweise kann d</w:t>
      </w:r>
      <w:r>
        <w:t>urch Konjugation von Peptidmolekülen mit Liganden, die Targets für eine rezeptorverm</w:t>
      </w:r>
      <w:r w:rsidR="00E7525A">
        <w:t>ittelte Endozytose darstellen, die</w:t>
      </w:r>
      <w:r w:rsidR="0062128B">
        <w:t xml:space="preserve"> Permeabilität</w:t>
      </w:r>
      <w:r w:rsidR="00E7525A">
        <w:t xml:space="preserve"> der Wirkstoffmoleküle</w:t>
      </w:r>
      <w:r w:rsidR="0062128B">
        <w:t xml:space="preserve"> </w:t>
      </w:r>
      <w:r w:rsidR="003B1105">
        <w:t xml:space="preserve">durch die Darmepithelschicht </w:t>
      </w:r>
      <w:r w:rsidR="0062128B">
        <w:t>erhöht werden</w:t>
      </w:r>
      <w:r w:rsidR="000C7288">
        <w:rPr>
          <w:rStyle w:val="Endnotenzeichen"/>
        </w:rPr>
        <w:endnoteReference w:id="70"/>
      </w:r>
      <w:r w:rsidR="00562E3C">
        <w:rPr>
          <w:vertAlign w:val="superscript"/>
        </w:rPr>
        <w:t>,</w:t>
      </w:r>
      <w:r w:rsidR="00562E3C">
        <w:rPr>
          <w:rStyle w:val="Endnotenzeichen"/>
        </w:rPr>
        <w:endnoteReference w:id="71"/>
      </w:r>
      <w:r w:rsidR="0062128B">
        <w:t>. Ein Beispiel für diese Strategie stellt d</w:t>
      </w:r>
      <w:r w:rsidR="003B1105">
        <w:t>ie Kopplung mit Transferrin dar. S</w:t>
      </w:r>
      <w:r w:rsidR="0062128B">
        <w:t xml:space="preserve">chlecht permeable Moleküle </w:t>
      </w:r>
      <w:r w:rsidR="003B1105">
        <w:t xml:space="preserve">werden </w:t>
      </w:r>
      <w:r w:rsidR="00562E3C">
        <w:t>nach Kopplung mit Transferrin</w:t>
      </w:r>
      <w:r w:rsidR="00152512">
        <w:t xml:space="preserve"> </w:t>
      </w:r>
      <w:r w:rsidR="0062128B">
        <w:t>durch Transferrin-Rezeptor-vermittelte Endozyt</w:t>
      </w:r>
      <w:r w:rsidR="003B1105">
        <w:t>ose übe</w:t>
      </w:r>
      <w:r w:rsidR="00562E3C">
        <w:t xml:space="preserve">r die Darmschleimhaut </w:t>
      </w:r>
      <w:r w:rsidR="006B4B01">
        <w:t>aufgenommen</w:t>
      </w:r>
      <w:r w:rsidR="0062128B">
        <w:t>. Shah et al. koppelten Transferrin über eine Disulfidbrücke an Insulin und untersuchten anschließend den Transport des Konjugates durch</w:t>
      </w:r>
      <w:r w:rsidR="003B1105">
        <w:t xml:space="preserve"> einen Mono</w:t>
      </w:r>
      <w:r w:rsidR="001E3898">
        <w:t>l</w:t>
      </w:r>
      <w:r w:rsidR="003B1105">
        <w:t>ayer von kultivierten Darmkrebszellen. Sie stellten dabei fest, dass der Tr</w:t>
      </w:r>
      <w:r w:rsidR="001E3898">
        <w:t>ansport des Transferrin-Insulin-</w:t>
      </w:r>
      <w:r w:rsidR="003B1105">
        <w:t>Konjugates durch d</w:t>
      </w:r>
      <w:r w:rsidR="007033EE">
        <w:t>en Zell-Layer</w:t>
      </w:r>
      <w:r w:rsidR="003B1105">
        <w:t xml:space="preserve"> im Vergleich zu r</w:t>
      </w:r>
      <w:r w:rsidR="00E7525A">
        <w:t>einem Insulin um das 5- bis 15-F</w:t>
      </w:r>
      <w:r w:rsidR="003B1105">
        <w:t>ache erhöht war</w:t>
      </w:r>
      <w:r w:rsidR="003B1105">
        <w:rPr>
          <w:rStyle w:val="Endnotenzeichen"/>
        </w:rPr>
        <w:endnoteReference w:id="72"/>
      </w:r>
      <w:r w:rsidR="003B1105">
        <w:t>.</w:t>
      </w:r>
    </w:p>
    <w:p w14:paraId="5AC96DE1" w14:textId="77777777" w:rsidR="000C7288" w:rsidRDefault="005F5E9A" w:rsidP="00C828CE">
      <w:r>
        <w:t>Als weitere Möglichkeit zur Permeabilitätserhöhung</w:t>
      </w:r>
      <w:r w:rsidR="000C7288">
        <w:t xml:space="preserve"> wurden </w:t>
      </w:r>
      <w:r w:rsidR="006B4B01">
        <w:t xml:space="preserve">hydrophobe Fettsäurereste an schlecht permeable Peptidmoleküle gekoppelt. Die Peptide werden auf diese Weise insgesamt hydrophober und können leichter durch Biomembranen hindurch diffundieren. </w:t>
      </w:r>
      <w:r>
        <w:t xml:space="preserve">Diese Strategie hat die Verbesserung des transzellulären Transportweges zum Ziel. </w:t>
      </w:r>
      <w:r w:rsidR="006B4B01">
        <w:t>Unterschiedliche Fettsäuren wie beispielsweise Palmitinsäure, Caprylsäure, Buttersäure oder Laurinsäure wurden mit Peptiden wie Desmopressin</w:t>
      </w:r>
      <w:r w:rsidR="006B4B01">
        <w:rPr>
          <w:rStyle w:val="Endnotenzeichen"/>
        </w:rPr>
        <w:endnoteReference w:id="73"/>
      </w:r>
      <w:r>
        <w:t xml:space="preserve"> oder Insulin</w:t>
      </w:r>
      <w:r>
        <w:rPr>
          <w:rStyle w:val="Endnotenzeichen"/>
        </w:rPr>
        <w:endnoteReference w:id="74"/>
      </w:r>
      <w:r w:rsidR="007033EE">
        <w:t xml:space="preserve"> gekoppelt. Die Konjugate zeigten eine erhöhte Plasmahalbwertszeit, eine verbesserte Permeabilität und eine höhere enzymatische Stabilität gegenüber Proteasen.</w:t>
      </w:r>
    </w:p>
    <w:p w14:paraId="7C894459" w14:textId="77777777" w:rsidR="00D9668B" w:rsidRDefault="00152512" w:rsidP="00C828CE">
      <w:r>
        <w:lastRenderedPageBreak/>
        <w:t>Eine Möglichkeit zur Löslichkeitsverbesserung und zur Erleichterung des parazellulären Transportweges stellt die Bildung von Salzen</w:t>
      </w:r>
      <w:r w:rsidR="000C7288">
        <w:t xml:space="preserve"> oder die</w:t>
      </w:r>
      <w:r w:rsidR="005F4DD5">
        <w:t xml:space="preserve"> kovalente</w:t>
      </w:r>
      <w:r w:rsidR="000C7288">
        <w:t xml:space="preserve"> Kopplung mit hydrophilen Molekülresten</w:t>
      </w:r>
      <w:r>
        <w:t xml:space="preserve"> dar.</w:t>
      </w:r>
    </w:p>
    <w:p w14:paraId="391014F3" w14:textId="77777777" w:rsidR="006F54BA" w:rsidRDefault="007033EE" w:rsidP="00C828CE">
      <w:r>
        <w:t>Ein</w:t>
      </w:r>
      <w:r w:rsidR="00224DD0">
        <w:t>ige der beschriebenen chemischen Modifikationen</w:t>
      </w:r>
      <w:r>
        <w:t xml:space="preserve"> waren für bestimm</w:t>
      </w:r>
      <w:r w:rsidR="00224DD0">
        <w:t>te Peptide sehr erfolgreich, sodass seit geraumer Zeit vielfältige Peptidanaloga mit verbesserten biopharmazeutischen Eigenschaften erfolgreich in der Arzneimitteltherapie eingesetzt werden (Minirin</w:t>
      </w:r>
      <w:r w:rsidR="00224DD0">
        <w:rPr>
          <w:vertAlign w:val="superscript"/>
        </w:rPr>
        <w:sym w:font="Symbol" w:char="F0D2"/>
      </w:r>
      <w:r w:rsidR="00224DD0">
        <w:t>, Pegasys</w:t>
      </w:r>
      <w:r w:rsidR="00224DD0" w:rsidRPr="00224DD0">
        <w:rPr>
          <w:vertAlign w:val="superscript"/>
        </w:rPr>
        <w:sym w:font="Symbol" w:char="F0D2"/>
      </w:r>
      <w:r w:rsidR="00224DD0">
        <w:t>,</w:t>
      </w:r>
      <w:r w:rsidR="00423E47">
        <w:t xml:space="preserve"> Pegintron</w:t>
      </w:r>
      <w:r w:rsidR="00423E47">
        <w:rPr>
          <w:vertAlign w:val="superscript"/>
        </w:rPr>
        <w:sym w:font="Symbol" w:char="F0D2"/>
      </w:r>
      <w:r w:rsidR="00423E47">
        <w:t>,</w:t>
      </w:r>
      <w:r w:rsidR="00224DD0">
        <w:t xml:space="preserve"> Levemir</w:t>
      </w:r>
      <w:r w:rsidR="00224DD0">
        <w:rPr>
          <w:vertAlign w:val="superscript"/>
        </w:rPr>
        <w:sym w:font="Symbol" w:char="F0D2"/>
      </w:r>
      <w:r w:rsidR="00224DD0">
        <w:t>, Lantus</w:t>
      </w:r>
      <w:r w:rsidR="00224DD0">
        <w:rPr>
          <w:vertAlign w:val="superscript"/>
        </w:rPr>
        <w:sym w:font="Symbol" w:char="F0D2"/>
      </w:r>
      <w:r w:rsidR="00224DD0">
        <w:t xml:space="preserve"> etc.). </w:t>
      </w:r>
      <w:r w:rsidR="00423E47">
        <w:t xml:space="preserve">Ein entscheidender Durchbruch in der Verbesserung der oralen Bioverfügbarkeit ist jedoch auch auf diesem Wege bislang nicht gelungen. </w:t>
      </w:r>
    </w:p>
    <w:p w14:paraId="3900899E" w14:textId="77777777" w:rsidR="007033EE" w:rsidRPr="00224DD0" w:rsidRDefault="00423E47" w:rsidP="00C828CE">
      <w:r>
        <w:t xml:space="preserve">Ein </w:t>
      </w:r>
      <w:r w:rsidR="006F54BA">
        <w:t xml:space="preserve">grundsätzlicher </w:t>
      </w:r>
      <w:r>
        <w:t>Nachteil dieser Strategie ist, dass eine Übertragung der vielversprechendsten Konzepte auf die gesamte Stoffklasse der Peptide und Proteine nicht möglich ist, da Modifikat</w:t>
      </w:r>
      <w:r w:rsidR="007618D5">
        <w:t>ionen der Molekülstruktur</w:t>
      </w:r>
      <w:r>
        <w:t xml:space="preserve"> </w:t>
      </w:r>
      <w:r w:rsidR="00DA7728">
        <w:t xml:space="preserve">häufig </w:t>
      </w:r>
      <w:r>
        <w:t>zu einem Verlust der pharmakologischen Aktivität führen</w:t>
      </w:r>
      <w:r w:rsidR="00860733">
        <w:t xml:space="preserve"> od</w:t>
      </w:r>
      <w:r w:rsidR="006C42A2">
        <w:t>er eine</w:t>
      </w:r>
      <w:r w:rsidR="00DA7728">
        <w:t xml:space="preserve"> erhöhte Antigenität hervorrufen</w:t>
      </w:r>
      <w:r w:rsidR="007618D5">
        <w:t xml:space="preserve"> können</w:t>
      </w:r>
      <w:r>
        <w:t xml:space="preserve">. Aus diesem Grund muss jeder Arzneistoff </w:t>
      </w:r>
      <w:r w:rsidR="006C42A2">
        <w:t xml:space="preserve">jeweils </w:t>
      </w:r>
      <w:r>
        <w:t xml:space="preserve">für sich betrachtet </w:t>
      </w:r>
      <w:r w:rsidR="006F54BA">
        <w:t xml:space="preserve">optimiert werden. Erschwerend </w:t>
      </w:r>
      <w:r w:rsidR="007618D5">
        <w:t xml:space="preserve">bezüglich regulatorischer Aspekte </w:t>
      </w:r>
      <w:r w:rsidR="006F54BA">
        <w:t>kommt hinzu, dass chemische Modifikationen bekannter und bereits zugelassener Peptidarzneistoffe zu e</w:t>
      </w:r>
      <w:r w:rsidR="001C6474">
        <w:t xml:space="preserve">iner </w:t>
      </w:r>
      <w:r w:rsidR="006F54BA">
        <w:t>neuen chemischen Identität führe</w:t>
      </w:r>
      <w:r w:rsidR="00DA7728">
        <w:t>n (</w:t>
      </w:r>
      <w:r w:rsidR="00DA7728" w:rsidRPr="005F4DD5">
        <w:rPr>
          <w:i/>
        </w:rPr>
        <w:t>new chemical entity</w:t>
      </w:r>
      <w:r w:rsidR="00DA7728">
        <w:t>, NCE). Aus diesem Grund müssen</w:t>
      </w:r>
      <w:r w:rsidR="006F54BA">
        <w:t xml:space="preserve"> di</w:t>
      </w:r>
      <w:r w:rsidR="00DA7728">
        <w:t>e Peptidanaloga</w:t>
      </w:r>
      <w:r w:rsidR="006F54BA">
        <w:t xml:space="preserve"> in der Regel erneut eine</w:t>
      </w:r>
      <w:r w:rsidR="00DA7728">
        <w:t>r</w:t>
      </w:r>
      <w:r w:rsidR="006F54BA">
        <w:t xml:space="preserve"> vollständige</w:t>
      </w:r>
      <w:r w:rsidR="00DA7728">
        <w:t>n</w:t>
      </w:r>
      <w:r w:rsidR="006F54BA">
        <w:t xml:space="preserve"> toxikologische</w:t>
      </w:r>
      <w:r w:rsidR="00DA7728">
        <w:t>n</w:t>
      </w:r>
      <w:r w:rsidR="006F54BA">
        <w:t xml:space="preserve"> und klinische</w:t>
      </w:r>
      <w:r w:rsidR="00DA7728">
        <w:t>n</w:t>
      </w:r>
      <w:r w:rsidR="006F54BA">
        <w:t xml:space="preserve"> Prü</w:t>
      </w:r>
      <w:r w:rsidR="00DA7728">
        <w:t>fung unterzogen werden</w:t>
      </w:r>
      <w:r w:rsidR="00860733">
        <w:t>, bevor sie von den Arzneimittelbehörden zugelassen werden</w:t>
      </w:r>
      <w:r w:rsidR="00DA7728">
        <w:t xml:space="preserve"> können</w:t>
      </w:r>
      <w:r w:rsidR="006F54BA">
        <w:t>.</w:t>
      </w:r>
    </w:p>
    <w:p w14:paraId="64AC35FB" w14:textId="77777777" w:rsidR="008D1A98" w:rsidRDefault="00A66768" w:rsidP="001C6849">
      <w:pPr>
        <w:pStyle w:val="berschrift3"/>
      </w:pPr>
      <w:bookmarkStart w:id="66" w:name="_Toc294380176"/>
      <w:r>
        <w:t>Zellpenetrierende Peptide</w:t>
      </w:r>
      <w:bookmarkEnd w:id="66"/>
    </w:p>
    <w:p w14:paraId="3D9FD83E" w14:textId="77777777" w:rsidR="00C30DBC" w:rsidRDefault="00E2771D" w:rsidP="00E24D23">
      <w:r>
        <w:t>Zellpenetrierende Peptide oder auch kurz CPPs genannt (</w:t>
      </w:r>
      <w:r>
        <w:rPr>
          <w:i/>
        </w:rPr>
        <w:t>cell-penetrating peptides</w:t>
      </w:r>
      <w:r>
        <w:t>) sind Peptide, die Zellmembranen effizient passieren können und daher häufig entgegen der eigentlichen Erwartung über eine hohe orale Bioverfügbarkeit verfügen. Die meisten der heute bekannten CPPs</w:t>
      </w:r>
      <w:r w:rsidR="00357EEA">
        <w:t xml:space="preserve"> wie zum Beispiel das Tat Peptid</w:t>
      </w:r>
      <w:r w:rsidR="004179CF">
        <w:rPr>
          <w:rStyle w:val="Endnotenzeichen"/>
        </w:rPr>
        <w:endnoteReference w:id="75"/>
      </w:r>
      <w:r w:rsidR="00357EEA">
        <w:t xml:space="preserve"> (</w:t>
      </w:r>
      <w:r w:rsidR="00357EEA">
        <w:rPr>
          <w:i/>
        </w:rPr>
        <w:t>transactivator of transcription of HIV-1</w:t>
      </w:r>
      <w:r w:rsidR="00357EEA">
        <w:t xml:space="preserve">), </w:t>
      </w:r>
      <w:r w:rsidR="00F81568">
        <w:t>das Penetratin</w:t>
      </w:r>
      <w:r w:rsidR="004179CF">
        <w:rPr>
          <w:rStyle w:val="Endnotenzeichen"/>
        </w:rPr>
        <w:endnoteReference w:id="76"/>
      </w:r>
      <w:r w:rsidR="00F81568">
        <w:t xml:space="preserve"> (</w:t>
      </w:r>
      <w:r w:rsidR="00F81568" w:rsidRPr="004179CF">
        <w:rPr>
          <w:i/>
        </w:rPr>
        <w:t>Antennapedia</w:t>
      </w:r>
      <w:r w:rsidR="00F81568">
        <w:t xml:space="preserve"> Pro</w:t>
      </w:r>
      <w:r w:rsidR="004179CF">
        <w:t>tein der Drosophila Fliege), ein</w:t>
      </w:r>
      <w:r w:rsidR="00F81568">
        <w:t xml:space="preserve"> vom humanen Calcitonin abgeleitete</w:t>
      </w:r>
      <w:r w:rsidR="004179CF">
        <w:t>s</w:t>
      </w:r>
      <w:r w:rsidR="00F81568">
        <w:t xml:space="preserve"> CPP</w:t>
      </w:r>
      <w:r w:rsidR="004179CF">
        <w:rPr>
          <w:rStyle w:val="Endnotenzeichen"/>
        </w:rPr>
        <w:endnoteReference w:id="77"/>
      </w:r>
      <w:r w:rsidR="00F81568">
        <w:t xml:space="preserve"> oder das hLF Peptidfragment</w:t>
      </w:r>
      <w:bookmarkStart w:id="67" w:name="_Ref277459826"/>
      <w:r w:rsidR="00D65321">
        <w:rPr>
          <w:rStyle w:val="Endnotenzeichen"/>
        </w:rPr>
        <w:endnoteReference w:id="78"/>
      </w:r>
      <w:bookmarkEnd w:id="67"/>
      <w:r w:rsidR="00F81568">
        <w:t xml:space="preserve"> (</w:t>
      </w:r>
      <w:r w:rsidR="004179CF">
        <w:t>Fragment des humanen Lactoferrin Proteins</w:t>
      </w:r>
      <w:r w:rsidR="00F81568">
        <w:t>) sind natürlichen Ursprungs</w:t>
      </w:r>
      <w:r>
        <w:t>.</w:t>
      </w:r>
      <w:r w:rsidR="00AC6FAF">
        <w:t xml:space="preserve"> Mithilfe von CPPs können andere Peptide, Proteine, Nucleinsäuren oder gar Nanopartikel in Zellen eingeschleust werden</w:t>
      </w:r>
      <w:r w:rsidR="00AC6FAF">
        <w:rPr>
          <w:rStyle w:val="Endnotenzeichen"/>
        </w:rPr>
        <w:endnoteReference w:id="79"/>
      </w:r>
      <w:r w:rsidR="00AC6FAF">
        <w:t>, indem diese entweder kovalent oder nicht kovalent mit dem CPP verknüpft werden.</w:t>
      </w:r>
      <w:r w:rsidR="0056603B">
        <w:t xml:space="preserve"> </w:t>
      </w:r>
      <w:r w:rsidR="00C14E69">
        <w:t>Da sich die CPPs in ihren</w:t>
      </w:r>
      <w:r w:rsidR="004A37AC">
        <w:t xml:space="preserve"> Aminosäuresequenzen</w:t>
      </w:r>
      <w:r w:rsidR="00C14E69">
        <w:t xml:space="preserve"> deutlich unterscheiden, wird derzeit davon aus</w:t>
      </w:r>
      <w:r w:rsidR="00607A39">
        <w:t xml:space="preserve">gegangen, dass auch deren </w:t>
      </w:r>
      <w:r w:rsidR="00C14E69">
        <w:t>Auf</w:t>
      </w:r>
      <w:r w:rsidR="00607A39">
        <w:t>nahmemechanismen unterschiedlich sind</w:t>
      </w:r>
      <w:r w:rsidR="005A7FFA">
        <w:t>. Es gibt verschiedene</w:t>
      </w:r>
      <w:r w:rsidR="00DF4C12">
        <w:t xml:space="preserve"> Theorien zu den Wirkmechanismen, eine genaue Aufklärung ist jedoch bislang nicht gelungen.</w:t>
      </w:r>
      <w:r w:rsidR="00C14E69">
        <w:t xml:space="preserve"> </w:t>
      </w:r>
      <w:r w:rsidR="003E04BE">
        <w:t xml:space="preserve">Einige CPPs sind überwiegend aus </w:t>
      </w:r>
      <w:r w:rsidR="000A3505">
        <w:t xml:space="preserve">den </w:t>
      </w:r>
      <w:r w:rsidR="003E04BE">
        <w:t xml:space="preserve">basischen und unpolaren Aminosäuren </w:t>
      </w:r>
      <w:r w:rsidR="000A3505">
        <w:t xml:space="preserve">Arginin, Lysin, Tryptophan, Leucin und Phenylalanin </w:t>
      </w:r>
      <w:r w:rsidR="001C6474">
        <w:t>aufgebaut. D</w:t>
      </w:r>
      <w:r w:rsidR="003E04BE">
        <w:t xml:space="preserve">iese werden auch als polykationischer Typ bezeichnet. </w:t>
      </w:r>
      <w:r w:rsidR="00607A39">
        <w:t>Das CPP mit dem einfachsten Aufbau innerhalb dieser Gruppe dürfte Polyarginin</w:t>
      </w:r>
      <w:r w:rsidR="005A7FFA">
        <w:t xml:space="preserve"> </w:t>
      </w:r>
      <w:r w:rsidR="005A7FFA">
        <w:lastRenderedPageBreak/>
        <w:t>sein</w:t>
      </w:r>
      <w:r w:rsidR="00607A39">
        <w:t xml:space="preserve">, das aus 9 Arginin Molekülen besteht. Das von </w:t>
      </w:r>
      <w:r w:rsidR="001C6474">
        <w:t xml:space="preserve">Duchardt et al. untersuchte aus 22 Aminosäuren bestehende hLF </w:t>
      </w:r>
      <w:r w:rsidR="00607A39">
        <w:t>Fragment enthält</w:t>
      </w:r>
      <w:r w:rsidR="00A8201B">
        <w:t xml:space="preserve"> lediglich</w:t>
      </w:r>
      <w:r w:rsidR="00607A39">
        <w:t xml:space="preserve"> 4 Argin</w:t>
      </w:r>
      <w:r w:rsidR="00A8201B">
        <w:t>in und 2 Lysin Moleküle</w:t>
      </w:r>
      <w:r w:rsidR="00DA7728">
        <w:t>. Besonders bemerkenswert in diesem Zusammenhang war die Entdeckung, dass die</w:t>
      </w:r>
      <w:r w:rsidR="00A8201B">
        <w:t xml:space="preserve"> E</w:t>
      </w:r>
      <w:r w:rsidR="00DA7728">
        <w:t>ffektivität dieses Peptids</w:t>
      </w:r>
      <w:r w:rsidR="00A8201B">
        <w:t xml:space="preserve"> zum großen Teil v</w:t>
      </w:r>
      <w:r w:rsidR="000A3505">
        <w:t>on dessen K</w:t>
      </w:r>
      <w:r w:rsidR="005A7FFA">
        <w:t>onformation und nicht ausschließlich von der</w:t>
      </w:r>
      <w:r w:rsidR="000A3505">
        <w:t xml:space="preserve"> Anzahl an basischen Aminosäuren ab</w:t>
      </w:r>
      <w:r w:rsidR="00DA7728">
        <w:t>hängt</w:t>
      </w:r>
      <w:r w:rsidR="000A3505">
        <w:t>. Die Auflösung der zyklische</w:t>
      </w:r>
      <w:r w:rsidR="00C30DBC">
        <w:t>n Struktur durch Reduktion der</w:t>
      </w:r>
      <w:r w:rsidR="00A8201B">
        <w:t xml:space="preserve"> intramolekularen Disulfidbrücke </w:t>
      </w:r>
      <w:r w:rsidR="000A3505">
        <w:t>führte zu einem deutlichen Aktivitätsverlust des hLF Fragments</w:t>
      </w:r>
      <w:r w:rsidR="00D16240" w:rsidRPr="000A3505">
        <w:rPr>
          <w:vertAlign w:val="superscript"/>
        </w:rPr>
        <w:fldChar w:fldCharType="begin"/>
      </w:r>
      <w:r w:rsidR="000A3505" w:rsidRPr="000A3505">
        <w:rPr>
          <w:vertAlign w:val="superscript"/>
        </w:rPr>
        <w:instrText xml:space="preserve"> NOTEREF _Ref277459826 \h </w:instrText>
      </w:r>
      <w:r w:rsidR="00D16240" w:rsidRPr="000A3505">
        <w:rPr>
          <w:vertAlign w:val="superscript"/>
        </w:rPr>
      </w:r>
      <w:r w:rsidR="00D16240" w:rsidRPr="000A3505">
        <w:rPr>
          <w:vertAlign w:val="superscript"/>
        </w:rPr>
        <w:fldChar w:fldCharType="separate"/>
      </w:r>
      <w:r w:rsidR="00711AB8">
        <w:rPr>
          <w:vertAlign w:val="superscript"/>
        </w:rPr>
        <w:t>78</w:t>
      </w:r>
      <w:r w:rsidR="00D16240" w:rsidRPr="000A3505">
        <w:rPr>
          <w:vertAlign w:val="superscript"/>
        </w:rPr>
        <w:fldChar w:fldCharType="end"/>
      </w:r>
      <w:r w:rsidR="00924F69">
        <w:t xml:space="preserve">. Bezüglich des Mechanismus </w:t>
      </w:r>
      <w:r w:rsidR="00C30DBC">
        <w:t xml:space="preserve">gab es </w:t>
      </w:r>
      <w:r w:rsidR="000A3505">
        <w:t>Hinweise, dass</w:t>
      </w:r>
      <w:r w:rsidR="00DA7728">
        <w:t xml:space="preserve"> die Wirkmechanismen </w:t>
      </w:r>
      <w:r w:rsidR="00924F69">
        <w:t>von</w:t>
      </w:r>
      <w:r w:rsidR="001C6474">
        <w:t xml:space="preserve"> hLF</w:t>
      </w:r>
      <w:r w:rsidR="001E3898">
        <w:t xml:space="preserve"> und Arginin-</w:t>
      </w:r>
      <w:r w:rsidR="00924F69">
        <w:t>reichen CPPs</w:t>
      </w:r>
      <w:r w:rsidR="001C6474">
        <w:t xml:space="preserve"> </w:t>
      </w:r>
      <w:r w:rsidR="00924F69">
        <w:t xml:space="preserve">trotz sehr unterschiedlicher Strukturen </w:t>
      </w:r>
      <w:r w:rsidR="00C30DBC">
        <w:t>ähnlich sind</w:t>
      </w:r>
      <w:r w:rsidR="00924F69">
        <w:t xml:space="preserve"> (der Aufnahmeprozess konnte in beiden Fällen durch Rottlerin gehemmt werden)</w:t>
      </w:r>
      <w:r w:rsidR="00D16240" w:rsidRPr="000A3505">
        <w:rPr>
          <w:vertAlign w:val="superscript"/>
        </w:rPr>
        <w:fldChar w:fldCharType="begin"/>
      </w:r>
      <w:r w:rsidR="000A3505" w:rsidRPr="000A3505">
        <w:rPr>
          <w:vertAlign w:val="superscript"/>
        </w:rPr>
        <w:instrText xml:space="preserve"> NOTEREF _Ref277459826 \h </w:instrText>
      </w:r>
      <w:r w:rsidR="00D16240" w:rsidRPr="000A3505">
        <w:rPr>
          <w:vertAlign w:val="superscript"/>
        </w:rPr>
      </w:r>
      <w:r w:rsidR="00D16240" w:rsidRPr="000A3505">
        <w:rPr>
          <w:vertAlign w:val="superscript"/>
        </w:rPr>
        <w:fldChar w:fldCharType="separate"/>
      </w:r>
      <w:r w:rsidR="00711AB8">
        <w:rPr>
          <w:vertAlign w:val="superscript"/>
        </w:rPr>
        <w:t>78</w:t>
      </w:r>
      <w:r w:rsidR="00D16240" w:rsidRPr="000A3505">
        <w:rPr>
          <w:vertAlign w:val="superscript"/>
        </w:rPr>
        <w:fldChar w:fldCharType="end"/>
      </w:r>
      <w:r w:rsidR="001C6474">
        <w:t>.</w:t>
      </w:r>
    </w:p>
    <w:p w14:paraId="3837983E" w14:textId="77777777" w:rsidR="00E24D23" w:rsidRDefault="009957A8" w:rsidP="00E24D23">
      <w:r>
        <w:t>Eine w</w:t>
      </w:r>
      <w:r w:rsidR="00DF4C12">
        <w:t>eitere Gruppe innerhalb der CPPs stellt der amphipathische Typ dar, dessen Vertreter aus abwechselnd angeordneten polaren und unpol</w:t>
      </w:r>
      <w:r w:rsidR="00C30DBC">
        <w:t>aren Aminosäuren aufgebaut</w:t>
      </w:r>
      <w:r w:rsidR="00DF4C12">
        <w:t xml:space="preserve"> sind.</w:t>
      </w:r>
    </w:p>
    <w:p w14:paraId="47D85492" w14:textId="77777777" w:rsidR="00DF4C12" w:rsidRPr="00E2771D" w:rsidRDefault="00DF4C12" w:rsidP="00E24D23">
      <w:r>
        <w:t>Zellpenetr</w:t>
      </w:r>
      <w:r w:rsidR="00C30DBC">
        <w:t>ierende Peptide stellen</w:t>
      </w:r>
      <w:r>
        <w:t xml:space="preserve"> eine vielversprechende Möglichkeit zur Verbesserung der oralen Bioverfügbarkeit von Peptidarzneistoffen dar</w:t>
      </w:r>
      <w:r w:rsidR="00C30DBC">
        <w:t xml:space="preserve"> und werden in der einschlägigen Fachliteratur regelmäßig in diesem Zusammenhang zitiert</w:t>
      </w:r>
      <w:r>
        <w:t>, sind jedoch bislang nicht ausreichend diesbezüglich untersucht worden, oder kamen a</w:t>
      </w:r>
      <w:r w:rsidR="007618D5">
        <w:t>ufgrund toxikologischer Bedenken</w:t>
      </w:r>
      <w:r w:rsidR="007618D5">
        <w:rPr>
          <w:rStyle w:val="Endnotenzeichen"/>
        </w:rPr>
        <w:endnoteReference w:id="80"/>
      </w:r>
      <w:r>
        <w:t xml:space="preserve"> nicht in Frage.</w:t>
      </w:r>
    </w:p>
    <w:p w14:paraId="51313AE8" w14:textId="77777777" w:rsidR="00391870" w:rsidRDefault="00CA5C00" w:rsidP="00996F38">
      <w:pPr>
        <w:pStyle w:val="berschrift3"/>
      </w:pPr>
      <w:bookmarkStart w:id="68" w:name="_Ref271301444"/>
      <w:bookmarkStart w:id="69" w:name="_Toc294380177"/>
      <w:r>
        <w:t>Muko</w:t>
      </w:r>
      <w:r w:rsidRPr="00CA5C00">
        <w:t>adhä</w:t>
      </w:r>
      <w:r w:rsidR="00B1696B">
        <w:t>sion und</w:t>
      </w:r>
      <w:r>
        <w:t xml:space="preserve"> Mukuspenetration</w:t>
      </w:r>
      <w:bookmarkEnd w:id="68"/>
      <w:bookmarkEnd w:id="69"/>
    </w:p>
    <w:p w14:paraId="68ADB643" w14:textId="77777777" w:rsidR="00457A9D" w:rsidRDefault="00394471" w:rsidP="00457A9D">
      <w:r>
        <w:t xml:space="preserve">Unter dem Begriff Bioadhäsion versteht man allgemein </w:t>
      </w:r>
      <w:r w:rsidR="00B05223">
        <w:t>die Fähigkeit natürlicher oder synthetischer Makromoleküle an biologischen Oberflächen in besonderem Maße zu haften</w:t>
      </w:r>
      <w:r w:rsidR="00B05223">
        <w:rPr>
          <w:rStyle w:val="Endnotenzeichen"/>
        </w:rPr>
        <w:endnoteReference w:id="81"/>
      </w:r>
      <w:r w:rsidR="00B05223">
        <w:t>. Sofern es sich bei der biologischen Oberfläche um eine Schleimhaut handelt, sprich</w:t>
      </w:r>
      <w:r w:rsidR="005D100E">
        <w:t>t man von Mukoadhäsion, da die a</w:t>
      </w:r>
      <w:r w:rsidR="00B05223">
        <w:t xml:space="preserve">dhäsive Interaktion mit der </w:t>
      </w:r>
      <w:r w:rsidR="00F66A60">
        <w:t xml:space="preserve">biologischen </w:t>
      </w:r>
      <w:r w:rsidR="00B05223">
        <w:t>Oberfläche in diese</w:t>
      </w:r>
      <w:r w:rsidR="005D100E">
        <w:t xml:space="preserve">m Fall in erster Linie durch den Mukus zustande kommt. </w:t>
      </w:r>
      <w:r w:rsidR="005D100E" w:rsidRPr="005D100E">
        <w:t>Die Untersuchung de</w:t>
      </w:r>
      <w:r w:rsidR="00F66A60">
        <w:t>r adhäsiven Eigenschaften solcher</w:t>
      </w:r>
      <w:r w:rsidR="005D100E" w:rsidRPr="005D100E">
        <w:t xml:space="preserve"> Moleküle erfolgt dabei häufig in der makroskopischen Form von Filmen oder Partikeln.</w:t>
      </w:r>
      <w:r w:rsidR="005D100E">
        <w:t xml:space="preserve"> Mukuspenetrat</w:t>
      </w:r>
      <w:r w:rsidR="00FE421B">
        <w:t>ion beschreibt die Fähigkeit von Stoffen oder Partikeln,</w:t>
      </w:r>
      <w:r w:rsidR="005D100E">
        <w:t xml:space="preserve"> in die Mukusschicht einzudringen oder durch sie hindurch zu wandern.</w:t>
      </w:r>
    </w:p>
    <w:p w14:paraId="6B361C54" w14:textId="77777777" w:rsidR="00085499" w:rsidRPr="00457A9D" w:rsidRDefault="00824E79" w:rsidP="00457A9D">
      <w:r>
        <w:t xml:space="preserve">Im Zusammenhang mit der peroralen Gabe schlecht resorbierbarer </w:t>
      </w:r>
      <w:r w:rsidR="00F66A60">
        <w:t>Peptida</w:t>
      </w:r>
      <w:r>
        <w:t>rzneistoffe kann die Adhäsion an den intestinalen Mukus entwe</w:t>
      </w:r>
      <w:r w:rsidR="00F66A60">
        <w:t>der eine Barriere oder aber auch einen Nutzen darstellen. Nach der Freisetzung eines</w:t>
      </w:r>
      <w:r>
        <w:t xml:space="preserve"> Arzneistoffes im Darmlumen muss dieser zunächst die Mukusschicht durchdringen, um anschließend über die Epithelschicht in den Blutkreislauf aufgenommen werden zu können. Eine zu starke Interaktion</w:t>
      </w:r>
      <w:r w:rsidR="003C651B">
        <w:t xml:space="preserve"> des Wirkstoffs</w:t>
      </w:r>
      <w:r>
        <w:t xml:space="preserve"> mit dem Mukus würde d</w:t>
      </w:r>
      <w:r w:rsidR="003C651B">
        <w:t>azu führen, dass dieser</w:t>
      </w:r>
      <w:r>
        <w:t xml:space="preserve"> nicht aufgenommen werden kann und im Zuge</w:t>
      </w:r>
      <w:r w:rsidR="006772C6">
        <w:t xml:space="preserve"> der Erneuerung des Mukus</w:t>
      </w:r>
      <w:r>
        <w:t xml:space="preserve"> (</w:t>
      </w:r>
      <w:r>
        <w:rPr>
          <w:i/>
        </w:rPr>
        <w:t>mucus turnover</w:t>
      </w:r>
      <w:r>
        <w:t>) von der Darmwand abgestoßen wird.</w:t>
      </w:r>
      <w:r w:rsidR="006772C6">
        <w:t xml:space="preserve"> Von Nutzen kann das Phänomen der Mukoadhäsion allerdings dann sein, wenn der Formulierung mukoadhäsive Polymere zugesetzt werden, sodass die Arzneiform einen besonders intensiven Kontakt mit </w:t>
      </w:r>
      <w:r w:rsidR="006772C6">
        <w:lastRenderedPageBreak/>
        <w:t>der Darmwand herstellen kann und insgesamt länger im Darm verweilt.</w:t>
      </w:r>
      <w:r w:rsidR="00F66A60">
        <w:t xml:space="preserve"> Dadurch besteht mehr Zeit zur Freisetzung und zur Resorption des Wirkstoffes. Da der Arzneistoff zudem</w:t>
      </w:r>
      <w:r w:rsidR="006772C6">
        <w:t xml:space="preserve"> besonders dicht am resorbierenden Epithel freigesetzt wird und lokal in höherer Konzentration vorliegt, kann er schneller aufgenommen werden und ist vor einem Abbau durch sezernierte Verdauungsenzyme</w:t>
      </w:r>
      <w:r w:rsidR="00F66A60">
        <w:t xml:space="preserve"> weitgehend</w:t>
      </w:r>
      <w:r w:rsidR="006772C6">
        <w:t xml:space="preserve"> geschützt. Außerdem kann auf diese Art und Weise in der unmittelbaren Umgebung des Resorptionsortes ein optimales Mikroklima zur Verbesserung der Resorption geschaffen werden (pH-Bedingungen, Zusatz von Penetrationsbeschleunigern oder Enzyminhibitoren, die</w:t>
      </w:r>
      <w:r w:rsidR="00963FC9">
        <w:t xml:space="preserve"> nur sehr lokal begrenzt wirken</w:t>
      </w:r>
      <w:r w:rsidR="006772C6">
        <w:t xml:space="preserve"> etc.).</w:t>
      </w:r>
      <w:r w:rsidR="00085499">
        <w:t xml:space="preserve"> Diese Strategie ist vor allem durch die Formulierung mukoadhäsiver partikulärer A</w:t>
      </w:r>
      <w:r w:rsidR="00CF3A8B">
        <w:t>rzneistoffträger zu realisieren, worauf im weiteren Verlauf noch eingegangen wird.</w:t>
      </w:r>
    </w:p>
    <w:p w14:paraId="15E9A340" w14:textId="77777777" w:rsidR="00391870" w:rsidRDefault="00CA5C00" w:rsidP="00E71524">
      <w:pPr>
        <w:pStyle w:val="berschrift4"/>
      </w:pPr>
      <w:bookmarkStart w:id="70" w:name="_Toc294380178"/>
      <w:r w:rsidRPr="00CA5C00">
        <w:t xml:space="preserve">Mechanismen der </w:t>
      </w:r>
      <w:r w:rsidR="00FE421B">
        <w:t>Mukoadhäsion</w:t>
      </w:r>
      <w:bookmarkEnd w:id="70"/>
    </w:p>
    <w:p w14:paraId="3F2894E8" w14:textId="77777777" w:rsidR="00FE421B" w:rsidRDefault="00FE421B" w:rsidP="00FE421B">
      <w:r>
        <w:t>In der Fachliteratur werden unterschiedliche Mechanismen diskutiert, um das Phänomen der Mukoadhäsion zu erklären. Klar ist mittlerweile, dass mehrere Effekte synergistisch zu der adhäsiven Wirkung beitragen und dass der Prozess der Bioadhäsion sehr komplex ist.</w:t>
      </w:r>
    </w:p>
    <w:p w14:paraId="12E56D23" w14:textId="77777777" w:rsidR="00FE421B" w:rsidRDefault="00FE421B" w:rsidP="00FE421B">
      <w:r>
        <w:t>Grundvoraussetzung für eine Interaktion zw</w:t>
      </w:r>
      <w:r w:rsidR="00D10C8B">
        <w:t>ischen dem Arzneimittel</w:t>
      </w:r>
      <w:r w:rsidR="00CF3A8B">
        <w:t xml:space="preserve"> und der Mukusschicht</w:t>
      </w:r>
      <w:r>
        <w:t xml:space="preserve"> ist</w:t>
      </w:r>
      <w:r w:rsidR="00CF3A8B">
        <w:t xml:space="preserve"> zunächst</w:t>
      </w:r>
      <w:r>
        <w:t xml:space="preserve"> </w:t>
      </w:r>
      <w:r w:rsidR="00D10C8B">
        <w:t xml:space="preserve">eine gute Benetzbarkeit der </w:t>
      </w:r>
      <w:r w:rsidR="00CF3A8B">
        <w:t>Darreichungsform mit Mukus, damit</w:t>
      </w:r>
      <w:r w:rsidR="00D10C8B">
        <w:t xml:space="preserve"> ein enger Kontakt</w:t>
      </w:r>
      <w:r w:rsidR="00CF3A8B">
        <w:t xml:space="preserve"> zur Oberfläche</w:t>
      </w:r>
      <w:r w:rsidR="00D10C8B">
        <w:t xml:space="preserve"> </w:t>
      </w:r>
      <w:r w:rsidR="00AE4AB8">
        <w:t xml:space="preserve">überhaupt erst </w:t>
      </w:r>
      <w:r w:rsidR="00D10C8B">
        <w:t>hergestellt werden kann</w:t>
      </w:r>
      <w:r w:rsidR="009A3061">
        <w:rPr>
          <w:rStyle w:val="Endnotenzeichen"/>
        </w:rPr>
        <w:endnoteReference w:id="82"/>
      </w:r>
      <w:r w:rsidR="00D10C8B">
        <w:t>. Nur dann können die adhäsiven Makromoleküle in das Geln</w:t>
      </w:r>
      <w:r w:rsidR="00410B95">
        <w:t>etzwerk des Mukus ei</w:t>
      </w:r>
      <w:r w:rsidR="00373C0A">
        <w:t>ndringen, um die bioadhäsiven Bindungen aufzubauen und zu manifestieren</w:t>
      </w:r>
      <w:bookmarkStart w:id="71" w:name="_Ref282533278"/>
      <w:r w:rsidR="00373C0A">
        <w:rPr>
          <w:rStyle w:val="Endnotenzeichen"/>
        </w:rPr>
        <w:endnoteReference w:id="83"/>
      </w:r>
      <w:bookmarkEnd w:id="71"/>
      <w:r w:rsidR="00373C0A">
        <w:t>.</w:t>
      </w:r>
    </w:p>
    <w:p w14:paraId="06989DED" w14:textId="77777777" w:rsidR="002D4128" w:rsidRDefault="00F51A5C" w:rsidP="00FE421B">
      <w:r>
        <w:t xml:space="preserve">Ein Erklärungsansatz </w:t>
      </w:r>
      <w:r w:rsidR="004B67B4">
        <w:t>für die langen Verweilzeiten bestimmter</w:t>
      </w:r>
      <w:r>
        <w:t xml:space="preserve"> Mate</w:t>
      </w:r>
      <w:r w:rsidR="004B67B4">
        <w:t>rialien im Mukus ist die tiefe D</w:t>
      </w:r>
      <w:r>
        <w:t>urchdringung und mechanische Verflechtung der Polymerketten mit den Glycoproteinketten der Mukusschicht</w:t>
      </w:r>
      <w:r w:rsidR="00D16240">
        <w:fldChar w:fldCharType="begin"/>
      </w:r>
      <w:r w:rsidR="00194EC5">
        <w:instrText xml:space="preserve"> NOTEREF _Ref282533278 \f \h </w:instrText>
      </w:r>
      <w:r w:rsidR="00D16240">
        <w:fldChar w:fldCharType="separate"/>
      </w:r>
      <w:r w:rsidR="00711AB8" w:rsidRPr="00711AB8">
        <w:rPr>
          <w:rStyle w:val="Endnotenzeichen"/>
        </w:rPr>
        <w:t>83</w:t>
      </w:r>
      <w:r w:rsidR="00D16240">
        <w:fldChar w:fldCharType="end"/>
      </w:r>
      <w:r w:rsidR="00194EC5" w:rsidRPr="00194EC5">
        <w:rPr>
          <w:vertAlign w:val="superscript"/>
        </w:rPr>
        <w:t>,</w:t>
      </w:r>
      <w:r w:rsidR="00BB235E">
        <w:rPr>
          <w:rStyle w:val="Endnotenzeichen"/>
        </w:rPr>
        <w:endnoteReference w:id="84"/>
      </w:r>
      <w:r>
        <w:t>.</w:t>
      </w:r>
      <w:r w:rsidR="004B67B4">
        <w:t xml:space="preserve"> Zusätzlich kann die Adhäsion von Polymeren auf kovalenten oder nicht kovalenten Bindungen beruhen. Kovalente</w:t>
      </w:r>
      <w:r w:rsidR="00CF3A8B">
        <w:t xml:space="preserve"> Bindungen sind in der Regel irreversibel. Sie</w:t>
      </w:r>
      <w:r w:rsidR="004B67B4">
        <w:t xml:space="preserve"> können beispielsweise zw</w:t>
      </w:r>
      <w:r w:rsidR="003C651B">
        <w:t>ischen Thiolgruppen von Cystein-</w:t>
      </w:r>
      <w:r w:rsidR="004B67B4">
        <w:t>reichen Dom</w:t>
      </w:r>
      <w:r w:rsidR="00CF3A8B">
        <w:t xml:space="preserve">änen </w:t>
      </w:r>
      <w:r w:rsidR="00410B95">
        <w:t>der Glycoproteine der Muc</w:t>
      </w:r>
      <w:r w:rsidR="00CF3A8B">
        <w:t>ine</w:t>
      </w:r>
      <w:r w:rsidR="004B67B4">
        <w:t xml:space="preserve"> und thiolierten Polymeren in Form von Disulfidbrücken</w:t>
      </w:r>
      <w:r w:rsidR="00410B95">
        <w:t>-</w:t>
      </w:r>
      <w:r w:rsidR="004B67B4">
        <w:t>bindungen ausgebildet werden</w:t>
      </w:r>
      <w:r w:rsidR="00D16240" w:rsidRPr="004B67B4">
        <w:rPr>
          <w:vertAlign w:val="superscript"/>
        </w:rPr>
        <w:fldChar w:fldCharType="begin"/>
      </w:r>
      <w:r w:rsidR="004B67B4" w:rsidRPr="004B67B4">
        <w:rPr>
          <w:vertAlign w:val="superscript"/>
        </w:rPr>
        <w:instrText xml:space="preserve"> NOTEREF _Ref277521164 \h </w:instrText>
      </w:r>
      <w:r w:rsidR="00D16240" w:rsidRPr="004B67B4">
        <w:rPr>
          <w:vertAlign w:val="superscript"/>
        </w:rPr>
      </w:r>
      <w:r w:rsidR="00D16240" w:rsidRPr="004B67B4">
        <w:rPr>
          <w:vertAlign w:val="superscript"/>
        </w:rPr>
        <w:fldChar w:fldCharType="separate"/>
      </w:r>
      <w:r w:rsidR="00711AB8">
        <w:rPr>
          <w:vertAlign w:val="superscript"/>
        </w:rPr>
        <w:t>53</w:t>
      </w:r>
      <w:r w:rsidR="00D16240" w:rsidRPr="004B67B4">
        <w:rPr>
          <w:vertAlign w:val="superscript"/>
        </w:rPr>
        <w:fldChar w:fldCharType="end"/>
      </w:r>
      <w:r w:rsidR="004B67B4">
        <w:t xml:space="preserve">. Dieser Effekt wurde bereits in Abschnitt </w:t>
      </w:r>
      <w:r w:rsidR="00D16240">
        <w:fldChar w:fldCharType="begin"/>
      </w:r>
      <w:r w:rsidR="004B67B4">
        <w:instrText xml:space="preserve"> REF _Ref272096573 \n \h </w:instrText>
      </w:r>
      <w:r w:rsidR="00D16240">
        <w:fldChar w:fldCharType="separate"/>
      </w:r>
      <w:r w:rsidR="00711AB8">
        <w:t>1.5.2</w:t>
      </w:r>
      <w:r w:rsidR="00D16240">
        <w:fldChar w:fldCharType="end"/>
      </w:r>
      <w:r w:rsidR="004B67B4">
        <w:t xml:space="preserve"> für thioliertes Chitosan beschrieben</w:t>
      </w:r>
      <w:r w:rsidR="00CF3A8B">
        <w:t xml:space="preserve"> und kann möglicherwei</w:t>
      </w:r>
      <w:r w:rsidR="009C41CB">
        <w:t>se auch auf weitere thiolierte</w:t>
      </w:r>
      <w:r w:rsidR="00CF3A8B">
        <w:t xml:space="preserve"> Polymere übertragen werden</w:t>
      </w:r>
      <w:r w:rsidR="004B67B4">
        <w:t>. Als nicht kovalente Bindu</w:t>
      </w:r>
      <w:r w:rsidR="00BA79C1">
        <w:t>ngen</w:t>
      </w:r>
      <w:r w:rsidR="004B67B4">
        <w:t xml:space="preserve"> zwischen Polymeren und dem Mukus kommen Wasserstoffbrückenbindungen, van-der-Waals Kräfte oder hydrophobe Wechselwirkungen in Frage</w:t>
      </w:r>
      <w:r w:rsidR="004B67B4">
        <w:rPr>
          <w:rStyle w:val="Endnotenzeichen"/>
        </w:rPr>
        <w:endnoteReference w:id="85"/>
      </w:r>
      <w:r w:rsidR="004B67B4">
        <w:t xml:space="preserve">. </w:t>
      </w:r>
      <w:r w:rsidR="00BA79C1">
        <w:t>Polymere mit vielen Hydroxyl- oder Carboxylgruppen besitzen sehr gute Möglichkeiten Wasserstoffbrückenbindungen auszubilden und zeigen daher häufig starke mukoadhäsive Eigenschaften (Polyacryl</w:t>
      </w:r>
      <w:r w:rsidR="00963FC9">
        <w:t>säure, Hyaluronsäure, Cellulose</w:t>
      </w:r>
      <w:r w:rsidR="00BA79C1">
        <w:t xml:space="preserve"> etc.). </w:t>
      </w:r>
      <w:r w:rsidR="00065611">
        <w:t xml:space="preserve">Da die Enden der Glycosidketten der Mucine häufig mit Sialinsäuren oder Sulfatgruppen versehen sind, besteht im Mukus ein Überschuss an negativen Ladungen. Aus diesem Grund interagieren positiv geladene Polymere häufig besonders stark mit der Mukusschicht. Für </w:t>
      </w:r>
      <w:r w:rsidR="00065611">
        <w:lastRenderedPageBreak/>
        <w:t>Chitosan wurde bereits beschrieben, dass die positiv geladene Form deutlich stärker mukoadhäsiv ist als das neutrale Polymer</w:t>
      </w:r>
      <w:r w:rsidR="00D16240">
        <w:fldChar w:fldCharType="begin"/>
      </w:r>
      <w:r w:rsidR="00047934">
        <w:instrText xml:space="preserve"> NOTEREF _Ref282531682 \f \h </w:instrText>
      </w:r>
      <w:r w:rsidR="00D16240">
        <w:fldChar w:fldCharType="separate"/>
      </w:r>
      <w:r w:rsidR="00711AB8" w:rsidRPr="00711AB8">
        <w:rPr>
          <w:rStyle w:val="Endnotenzeichen"/>
        </w:rPr>
        <w:t>46</w:t>
      </w:r>
      <w:r w:rsidR="00D16240">
        <w:fldChar w:fldCharType="end"/>
      </w:r>
      <w:r w:rsidR="00303550">
        <w:rPr>
          <w:vertAlign w:val="superscript"/>
        </w:rPr>
        <w:t>,</w:t>
      </w:r>
      <w:r w:rsidR="00D16240">
        <w:rPr>
          <w:vertAlign w:val="superscript"/>
        </w:rPr>
        <w:fldChar w:fldCharType="begin"/>
      </w:r>
      <w:r w:rsidR="00303550">
        <w:rPr>
          <w:vertAlign w:val="superscript"/>
        </w:rPr>
        <w:instrText xml:space="preserve"> NOTEREF _Ref282531804 \f \h </w:instrText>
      </w:r>
      <w:r w:rsidR="00D16240">
        <w:rPr>
          <w:vertAlign w:val="superscript"/>
        </w:rPr>
      </w:r>
      <w:r w:rsidR="00D16240">
        <w:rPr>
          <w:vertAlign w:val="superscript"/>
        </w:rPr>
        <w:fldChar w:fldCharType="separate"/>
      </w:r>
      <w:r w:rsidR="00711AB8" w:rsidRPr="00711AB8">
        <w:rPr>
          <w:rStyle w:val="Endnotenzeichen"/>
        </w:rPr>
        <w:t>50</w:t>
      </w:r>
      <w:r w:rsidR="00D16240">
        <w:rPr>
          <w:vertAlign w:val="superscript"/>
        </w:rPr>
        <w:fldChar w:fldCharType="end"/>
      </w:r>
      <w:r w:rsidR="00065611">
        <w:t>.</w:t>
      </w:r>
      <w:r w:rsidR="00AE4AB8">
        <w:t xml:space="preserve"> </w:t>
      </w:r>
    </w:p>
    <w:p w14:paraId="27EF4825" w14:textId="77777777" w:rsidR="00D10C8B" w:rsidRDefault="002D4128" w:rsidP="00FE421B">
      <w:r>
        <w:t>Sehr viele</w:t>
      </w:r>
      <w:r w:rsidR="00AE4AB8">
        <w:t xml:space="preserve"> Polymere besitzen</w:t>
      </w:r>
      <w:r>
        <w:t xml:space="preserve"> in nichthydratisierter und pulverförmiger Form die Fähigkeit an einer feuchten Schleimhaut zu haften.</w:t>
      </w:r>
      <w:r w:rsidR="00AE4AB8">
        <w:t xml:space="preserve"> </w:t>
      </w:r>
      <w:r w:rsidR="002C6675">
        <w:t>Dies ist durch eine</w:t>
      </w:r>
      <w:r>
        <w:t xml:space="preserve"> starke Wasseraufnahme und dadurch beding</w:t>
      </w:r>
      <w:r w:rsidR="002C6675">
        <w:t>te Quellung der Polymere zu erklären, wodurch ein</w:t>
      </w:r>
      <w:r>
        <w:t xml:space="preserve"> </w:t>
      </w:r>
      <w:r w:rsidR="002C6675">
        <w:t>besonders enger</w:t>
      </w:r>
      <w:r w:rsidR="00AE4AB8">
        <w:t xml:space="preserve"> Kontakt</w:t>
      </w:r>
      <w:r w:rsidR="00A30BD6">
        <w:t xml:space="preserve"> </w:t>
      </w:r>
      <w:r w:rsidR="00AE4AB8">
        <w:t>zur stark wasserhal</w:t>
      </w:r>
      <w:r>
        <w:t>tigen Mukusschicht</w:t>
      </w:r>
      <w:r w:rsidR="002C6675">
        <w:t xml:space="preserve"> hergestellt wird</w:t>
      </w:r>
      <w:bookmarkStart w:id="72" w:name="_Ref282534917"/>
      <w:r w:rsidR="00A30BD6">
        <w:rPr>
          <w:rStyle w:val="Endnotenzeichen"/>
        </w:rPr>
        <w:endnoteReference w:id="86"/>
      </w:r>
      <w:bookmarkEnd w:id="72"/>
      <w:r>
        <w:t>.</w:t>
      </w:r>
      <w:r w:rsidR="002C6675">
        <w:t xml:space="preserve"> Das ausschließlich aufgrund einer starken Quellung bedingte Anhaften von Stoffen am Mukus wird im Allgemeinen jedoch nicht als Mukoadhäsion bezeichnet</w:t>
      </w:r>
      <w:r w:rsidR="00D16240">
        <w:fldChar w:fldCharType="begin"/>
      </w:r>
      <w:r w:rsidR="00A30BD6">
        <w:instrText xml:space="preserve"> NOTEREF _Ref282534917 \f \h </w:instrText>
      </w:r>
      <w:r w:rsidR="00D16240">
        <w:fldChar w:fldCharType="separate"/>
      </w:r>
      <w:r w:rsidR="00711AB8" w:rsidRPr="00711AB8">
        <w:rPr>
          <w:rStyle w:val="Endnotenzeichen"/>
        </w:rPr>
        <w:t>86</w:t>
      </w:r>
      <w:r w:rsidR="00D16240">
        <w:fldChar w:fldCharType="end"/>
      </w:r>
      <w:r w:rsidR="002C6675">
        <w:t>. Denno</w:t>
      </w:r>
      <w:r w:rsidR="00A30BD6">
        <w:t xml:space="preserve">ch ist zu erwarten, dass dieser </w:t>
      </w:r>
      <w:r w:rsidR="002C6675">
        <w:t>Effekt zum Aufbau spezifischer Bindungen mit Mukus positiv beiträgt, v</w:t>
      </w:r>
      <w:r w:rsidR="00A30BD6">
        <w:t>or allem vor dem Hintergrund</w:t>
      </w:r>
      <w:r w:rsidR="002C6675">
        <w:t>,</w:t>
      </w:r>
      <w:r w:rsidR="00A30BD6">
        <w:t xml:space="preserve"> dass</w:t>
      </w:r>
      <w:r w:rsidR="002C6675">
        <w:t xml:space="preserve"> sehr viele mukoadhäsive Polymere ein hohes Wasseraufnahmevermögen besitzen.</w:t>
      </w:r>
    </w:p>
    <w:p w14:paraId="21AF6C04" w14:textId="77777777" w:rsidR="006F4F4E" w:rsidRPr="004B67B4" w:rsidRDefault="006F4F4E" w:rsidP="00FE421B">
      <w:r>
        <w:t>Es ist naheliegend, dass das Phänomen der Mukoadhäsion nicht durch einen einzigen Mechanismus beschrieben werden kann, sondern vielmehr auf einem Zusammenspiel der hier b</w:t>
      </w:r>
      <w:r w:rsidR="00410B95">
        <w:t>eschriebenen Mechanismen beruht</w:t>
      </w:r>
      <w:r>
        <w:t>.</w:t>
      </w:r>
    </w:p>
    <w:p w14:paraId="61CF8E3F" w14:textId="77777777" w:rsidR="00391870" w:rsidRDefault="00CA5C00" w:rsidP="00E71524">
      <w:pPr>
        <w:pStyle w:val="berschrift4"/>
      </w:pPr>
      <w:bookmarkStart w:id="73" w:name="_Toc294380179"/>
      <w:r>
        <w:t>Muko</w:t>
      </w:r>
      <w:r w:rsidRPr="00CA5C00">
        <w:t>adhäsive Polymere</w:t>
      </w:r>
      <w:bookmarkEnd w:id="73"/>
    </w:p>
    <w:p w14:paraId="7290FAF3" w14:textId="77777777" w:rsidR="00AE4AB8" w:rsidRPr="00AE4AB8" w:rsidRDefault="00AE4AB8" w:rsidP="00AE4AB8">
      <w:r>
        <w:t xml:space="preserve">Den folgenden Polymeren werden in der Fachliteratur häufig mukoadhäsive Eigenschaften zugeschrieben: </w:t>
      </w:r>
      <w:r w:rsidR="00F66A60">
        <w:t>Polyacrylsäure und Derivate, Natriumalginat, Cellulose und Derivate, Tragant, Polyethylenglycol, Gelatine, St</w:t>
      </w:r>
      <w:r w:rsidR="00D9528F">
        <w:t>ärke und Derivate, Thiomere (Chitosan-Cystein, Chitosan-Thioglycolsäure, Polycarbophil-Cysteinamin, Polycarbophil-Cystein, Carboxymethylcellulose-Cystein, Polyacrylsäu</w:t>
      </w:r>
      <w:r w:rsidR="00963FC9">
        <w:t>re-Homocystein, Alginat-Cystein</w:t>
      </w:r>
      <w:r w:rsidR="00D9528F">
        <w:t xml:space="preserve"> etc.)</w:t>
      </w:r>
      <w:r w:rsidR="00D16240" w:rsidRPr="00D9528F">
        <w:rPr>
          <w:vertAlign w:val="superscript"/>
        </w:rPr>
        <w:fldChar w:fldCharType="begin"/>
      </w:r>
      <w:r w:rsidR="00D9528F" w:rsidRPr="00D9528F">
        <w:rPr>
          <w:vertAlign w:val="superscript"/>
        </w:rPr>
        <w:instrText xml:space="preserve"> NOTEREF _Ref277525736 \h </w:instrText>
      </w:r>
      <w:r w:rsidR="00D16240" w:rsidRPr="00D9528F">
        <w:rPr>
          <w:vertAlign w:val="superscript"/>
        </w:rPr>
      </w:r>
      <w:r w:rsidR="00D16240" w:rsidRPr="00D9528F">
        <w:rPr>
          <w:vertAlign w:val="superscript"/>
        </w:rPr>
        <w:fldChar w:fldCharType="separate"/>
      </w:r>
      <w:r w:rsidR="00711AB8">
        <w:rPr>
          <w:vertAlign w:val="superscript"/>
        </w:rPr>
        <w:t>52</w:t>
      </w:r>
      <w:r w:rsidR="00D16240" w:rsidRPr="00D9528F">
        <w:rPr>
          <w:vertAlign w:val="superscript"/>
        </w:rPr>
        <w:fldChar w:fldCharType="end"/>
      </w:r>
      <w:r w:rsidR="00D9528F">
        <w:t>, Poly</w:t>
      </w:r>
      <w:r w:rsidR="003367C0">
        <w:t>(</w:t>
      </w:r>
      <w:r w:rsidR="00D9528F">
        <w:t>hydroxyethyl</w:t>
      </w:r>
      <w:r w:rsidR="003367C0">
        <w:t xml:space="preserve">methacrylat), Pectin, </w:t>
      </w:r>
      <w:r w:rsidR="00D9528F">
        <w:t>Gummi</w:t>
      </w:r>
      <w:r w:rsidR="00D3790E">
        <w:t xml:space="preserve"> arabicum, Polyvinylalkohol und</w:t>
      </w:r>
      <w:r w:rsidR="003367C0">
        <w:t xml:space="preserve"> Hyaluronsäure.</w:t>
      </w:r>
      <w:r w:rsidR="00D3790E">
        <w:t xml:space="preserve"> Diese Auflistung ist nur beispielhaft und nicht erschöpfend.</w:t>
      </w:r>
    </w:p>
    <w:p w14:paraId="3EF823FA" w14:textId="77777777" w:rsidR="00391870" w:rsidRDefault="00CA5C00" w:rsidP="00E71524">
      <w:pPr>
        <w:pStyle w:val="berschrift4"/>
      </w:pPr>
      <w:bookmarkStart w:id="74" w:name="_Toc294380180"/>
      <w:r w:rsidRPr="00CA5C00">
        <w:t>Mukoadhäsive partikuläre Trägersysteme</w:t>
      </w:r>
      <w:bookmarkEnd w:id="74"/>
    </w:p>
    <w:p w14:paraId="508916A5" w14:textId="77777777" w:rsidR="00A55DB3" w:rsidRDefault="003367C0" w:rsidP="003367C0">
      <w:r>
        <w:t>Es ist allgemein bekann</w:t>
      </w:r>
      <w:r w:rsidR="00D43AE1">
        <w:t>t, dass kleine Partikel</w:t>
      </w:r>
      <w:r>
        <w:t xml:space="preserve"> besser an Oberfl</w:t>
      </w:r>
      <w:r w:rsidR="00D43AE1">
        <w:t>ächen haften als große Partikel.</w:t>
      </w:r>
      <w:r w:rsidR="007E4EDA">
        <w:t xml:space="preserve"> </w:t>
      </w:r>
      <w:r w:rsidR="00A55DB3">
        <w:t xml:space="preserve">Daher untersuchten </w:t>
      </w:r>
      <w:r w:rsidR="007E4EDA">
        <w:t>Lamprecht et al</w:t>
      </w:r>
      <w:r w:rsidR="00D3790E">
        <w:t>.</w:t>
      </w:r>
      <w:r w:rsidR="007E4EDA">
        <w:t xml:space="preserve"> mukoadhäsive Eigenschaften </w:t>
      </w:r>
      <w:r w:rsidR="00B85CD3">
        <w:t>v</w:t>
      </w:r>
      <w:r w:rsidR="007E4EDA">
        <w:t>on P</w:t>
      </w:r>
      <w:r w:rsidR="00B85CD3">
        <w:t>artikeln in Abhängigkeit der</w:t>
      </w:r>
      <w:r w:rsidR="007E4EDA">
        <w:t xml:space="preserve"> </w:t>
      </w:r>
      <w:r w:rsidR="00B85CD3">
        <w:t>Partikelg</w:t>
      </w:r>
      <w:r w:rsidR="007E4EDA">
        <w:t>röße</w:t>
      </w:r>
      <w:r w:rsidR="00944B14">
        <w:t xml:space="preserve"> genauer</w:t>
      </w:r>
      <w:r w:rsidR="00B85CD3">
        <w:t>. Getestet wurden Polystyrenpartikel mit einem mittleren Partikeldurchmesser von 0,1 µm, 1,0 µm und 10,0 µm. Sie fanden heraus, dass Partikel mit einem mittleren Durchmesser von 0,1 µm stä</w:t>
      </w:r>
      <w:r w:rsidR="00605BFC">
        <w:t>rker am intestinalen Mukus haf</w:t>
      </w:r>
      <w:r w:rsidR="00B85CD3">
        <w:t>ten als Partikel mit einem mittleren Durchmesser von 1 µm. Am geringsten ausgeprägt waren die mucoadhäs</w:t>
      </w:r>
      <w:r w:rsidR="00944B14">
        <w:t>iven Eigenschaften der Partikel</w:t>
      </w:r>
      <w:r w:rsidR="00B85CD3">
        <w:t xml:space="preserve"> mit einem Durchmesser von 10 µm</w:t>
      </w:r>
      <w:r w:rsidR="00B85CD3">
        <w:rPr>
          <w:rStyle w:val="Endnotenzeichen"/>
        </w:rPr>
        <w:endnoteReference w:id="87"/>
      </w:r>
      <w:r w:rsidR="00B85CD3">
        <w:t>.</w:t>
      </w:r>
      <w:r w:rsidR="00554C17">
        <w:t xml:space="preserve"> Die</w:t>
      </w:r>
      <w:r w:rsidR="00A55DB3">
        <w:t xml:space="preserve"> Untersuchungen von Lampre</w:t>
      </w:r>
      <w:r w:rsidR="009112B3">
        <w:t>cht et al. wurden allerdings an</w:t>
      </w:r>
      <w:r w:rsidR="00A55DB3">
        <w:t xml:space="preserve"> entzündetem Dickdarmgewebe durchgeführt, weshalb die Ergebnisse möglicherweise nicht ohne weiteres auf den Mukus des gesunden Dünndarmepithels übertragen we</w:t>
      </w:r>
      <w:r w:rsidR="00554C17">
        <w:t>rde</w:t>
      </w:r>
      <w:r w:rsidR="00D43AE1">
        <w:t>n</w:t>
      </w:r>
      <w:r w:rsidR="00554C17">
        <w:t xml:space="preserve"> können.</w:t>
      </w:r>
    </w:p>
    <w:p w14:paraId="36369634" w14:textId="77777777" w:rsidR="00777D95" w:rsidRDefault="00777D95" w:rsidP="003367C0">
      <w:r>
        <w:lastRenderedPageBreak/>
        <w:t>Studien</w:t>
      </w:r>
      <w:r w:rsidR="00E85A62">
        <w:t xml:space="preserve"> von Ponchel et al. </w:t>
      </w:r>
      <w:r>
        <w:t>führten al</w:t>
      </w:r>
      <w:r w:rsidR="00567A89">
        <w:t>l</w:t>
      </w:r>
      <w:r>
        <w:t>erdings</w:t>
      </w:r>
      <w:r w:rsidR="00D43AE1">
        <w:t xml:space="preserve"> </w:t>
      </w:r>
      <w:r>
        <w:t xml:space="preserve">zu </w:t>
      </w:r>
      <w:r w:rsidR="00D43AE1">
        <w:t>ähnliche</w:t>
      </w:r>
      <w:r>
        <w:t>n</w:t>
      </w:r>
      <w:r w:rsidR="00D43AE1">
        <w:t xml:space="preserve"> Ergebnisse</w:t>
      </w:r>
      <w:r>
        <w:t>n</w:t>
      </w:r>
      <w:r w:rsidR="00D43AE1">
        <w:t>. Untersucht wurden</w:t>
      </w:r>
      <w:r w:rsidR="00E85A62">
        <w:t xml:space="preserve"> die mukoadhäsi</w:t>
      </w:r>
      <w:r w:rsidR="00554C17">
        <w:t>ven Eigen</w:t>
      </w:r>
      <w:r w:rsidR="00E85A62">
        <w:t>schaften von Polystyren-</w:t>
      </w:r>
      <w:r w:rsidR="00554C17">
        <w:t xml:space="preserve"> und Polyisobutylcyanoacrylat</w:t>
      </w:r>
      <w:r w:rsidR="00E85A62">
        <w:t>partikeln</w:t>
      </w:r>
      <w:r w:rsidR="00554C17">
        <w:t xml:space="preserve"> in Abhängigkeit der Partikelgröße</w:t>
      </w:r>
      <w:r w:rsidR="00E85A62">
        <w:t>.</w:t>
      </w:r>
      <w:r w:rsidR="00554C17">
        <w:t xml:space="preserve"> </w:t>
      </w:r>
      <w:r w:rsidR="00E85A62">
        <w:t>Durch</w:t>
      </w:r>
      <w:r w:rsidR="00D43AE1">
        <w:t xml:space="preserve"> die Aufzeichnung und Interpretation</w:t>
      </w:r>
      <w:r w:rsidR="00E85A62">
        <w:t xml:space="preserve"> von Absorptionsisothermen konnten sie zwischen einer reinen Adsorption</w:t>
      </w:r>
      <w:r w:rsidR="00D43AE1">
        <w:t xml:space="preserve"> der Partikel</w:t>
      </w:r>
      <w:r>
        <w:t xml:space="preserve"> auf</w:t>
      </w:r>
      <w:r w:rsidR="00BB2063">
        <w:t xml:space="preserve"> </w:t>
      </w:r>
      <w:r w:rsidR="005F4DD5">
        <w:t>der Oberfläche des Mukus</w:t>
      </w:r>
      <w:r w:rsidR="00E85A62">
        <w:t xml:space="preserve"> und einer ti</w:t>
      </w:r>
      <w:r w:rsidR="00D43AE1">
        <w:t>eferen Penetration</w:t>
      </w:r>
      <w:r w:rsidR="00E85A62">
        <w:t xml:space="preserve"> in die Mukusschicht</w:t>
      </w:r>
      <w:r w:rsidR="00D43AE1">
        <w:t xml:space="preserve"> hinein</w:t>
      </w:r>
      <w:r w:rsidR="00E85A62">
        <w:t xml:space="preserve"> unterscheiden. </w:t>
      </w:r>
      <w:r w:rsidR="00D43AE1">
        <w:t>Partikel mit einer Größe von weniger als 1 µm</w:t>
      </w:r>
      <w:r w:rsidR="00BB2063">
        <w:t xml:space="preserve"> </w:t>
      </w:r>
      <w:r>
        <w:t>wurd</w:t>
      </w:r>
      <w:r w:rsidR="009112B3">
        <w:t>en vom Mukus absorbiert, wohingegen</w:t>
      </w:r>
      <w:r w:rsidR="00841001">
        <w:t xml:space="preserve"> Partikel</w:t>
      </w:r>
      <w:r w:rsidR="00D43AE1">
        <w:t xml:space="preserve"> mit einer Größe von mehr als 2 µm</w:t>
      </w:r>
      <w:r>
        <w:t xml:space="preserve"> lediglich</w:t>
      </w:r>
      <w:r w:rsidR="00D43AE1">
        <w:t xml:space="preserve"> </w:t>
      </w:r>
      <w:r>
        <w:t>einen Monolayer auf der Oberfläche des Mukus bildeten und nicht aufgenommen wurden</w:t>
      </w:r>
      <w:bookmarkStart w:id="75" w:name="_Ref284194313"/>
      <w:r>
        <w:rPr>
          <w:rStyle w:val="Endnotenzeichen"/>
        </w:rPr>
        <w:endnoteReference w:id="88"/>
      </w:r>
      <w:bookmarkEnd w:id="75"/>
      <w:r>
        <w:t xml:space="preserve">. </w:t>
      </w:r>
      <w:r w:rsidR="007D2B72">
        <w:t xml:space="preserve">Aus diesen Ergebnissen lässt sich ableiten, dass kleine Partikel tiefer in das Netzwerk der Mucinketten einzudringen vermögen als große Partikel und dass Nanopartikel bereits rein aufgrund ihrer geringen Größe </w:t>
      </w:r>
      <w:r w:rsidR="009112B3">
        <w:t xml:space="preserve">verstärkt </w:t>
      </w:r>
      <w:r w:rsidR="007D2B72">
        <w:t>in die Mukusschicht hinein penetrieren können.</w:t>
      </w:r>
    </w:p>
    <w:p w14:paraId="672D0FB2" w14:textId="77777777" w:rsidR="003367C0" w:rsidRPr="003367C0" w:rsidRDefault="00841001" w:rsidP="003367C0">
      <w:r>
        <w:t>D</w:t>
      </w:r>
      <w:r w:rsidR="00902B31">
        <w:t xml:space="preserve">ie adhäsiven Effekte einer </w:t>
      </w:r>
      <w:r>
        <w:t>partikulären Darreichungsform</w:t>
      </w:r>
      <w:r w:rsidR="00BB2063">
        <w:t xml:space="preserve"> können weiter verstärkt werden, indem partikuläre Arzneistoffträger aus mukoadhäsiven Polymeren wie beispielsweise Thiomeren hergestellt werden</w:t>
      </w:r>
      <w:bookmarkStart w:id="76" w:name="_Ref277535424"/>
      <w:r>
        <w:rPr>
          <w:rStyle w:val="Endnotenzeichen"/>
        </w:rPr>
        <w:endnoteReference w:id="89"/>
      </w:r>
      <w:bookmarkEnd w:id="76"/>
      <w:r w:rsidR="00BB2063">
        <w:t>.</w:t>
      </w:r>
      <w:r>
        <w:t xml:space="preserve"> Solche Arzneistoffträger lassen sich mit Peptiden beladen und können zur Verbesserung der Bioverfügbarkeit beitragen</w:t>
      </w:r>
      <w:r w:rsidR="00D16240" w:rsidRPr="00841001">
        <w:rPr>
          <w:vertAlign w:val="superscript"/>
        </w:rPr>
        <w:fldChar w:fldCharType="begin"/>
      </w:r>
      <w:r w:rsidRPr="00841001">
        <w:rPr>
          <w:vertAlign w:val="superscript"/>
        </w:rPr>
        <w:instrText xml:space="preserve"> NOTEREF _Ref277535424 \h </w:instrText>
      </w:r>
      <w:r w:rsidR="00D16240" w:rsidRPr="00841001">
        <w:rPr>
          <w:vertAlign w:val="superscript"/>
        </w:rPr>
      </w:r>
      <w:r w:rsidR="00D16240" w:rsidRPr="00841001">
        <w:rPr>
          <w:vertAlign w:val="superscript"/>
        </w:rPr>
        <w:fldChar w:fldCharType="separate"/>
      </w:r>
      <w:r w:rsidR="00711AB8">
        <w:rPr>
          <w:vertAlign w:val="superscript"/>
        </w:rPr>
        <w:t>89</w:t>
      </w:r>
      <w:r w:rsidR="00D16240" w:rsidRPr="00841001">
        <w:rPr>
          <w:vertAlign w:val="superscript"/>
        </w:rPr>
        <w:fldChar w:fldCharType="end"/>
      </w:r>
      <w:r>
        <w:t>.</w:t>
      </w:r>
    </w:p>
    <w:p w14:paraId="46C01274" w14:textId="77777777" w:rsidR="00391870" w:rsidRDefault="00CA5C00" w:rsidP="00996F38">
      <w:pPr>
        <w:pStyle w:val="berschrift3"/>
      </w:pPr>
      <w:bookmarkStart w:id="77" w:name="_Toc294380181"/>
      <w:r w:rsidRPr="00CA5C00">
        <w:t xml:space="preserve">Schutz des Wirkstoffes </w:t>
      </w:r>
      <w:r w:rsidR="00BC1A49">
        <w:t xml:space="preserve">vor </w:t>
      </w:r>
      <w:r w:rsidRPr="00CA5C00">
        <w:t>Abbau</w:t>
      </w:r>
      <w:r w:rsidR="00BC1A49">
        <w:t xml:space="preserve"> durch Verdauungssäfte</w:t>
      </w:r>
      <w:bookmarkEnd w:id="77"/>
    </w:p>
    <w:p w14:paraId="5190D078" w14:textId="77777777" w:rsidR="00FE343A" w:rsidRPr="00B96C77" w:rsidRDefault="00FE343A" w:rsidP="00FE343A">
      <w:r>
        <w:t>Zum Schutz labiler Arzneis</w:t>
      </w:r>
      <w:r w:rsidR="009112B3">
        <w:t>toffe vor dem sauren und pepsin</w:t>
      </w:r>
      <w:r>
        <w:t xml:space="preserve">haltigen Magensaft werden seit vielen Jahren erfolgreich magensaftresistente Polymere wie beispielsweise </w:t>
      </w:r>
      <w:r w:rsidR="00D3790E">
        <w:t>diverse</w:t>
      </w:r>
      <w:r w:rsidR="009E0C0C">
        <w:t xml:space="preserve"> </w:t>
      </w:r>
      <w:r>
        <w:t>Eudragit</w:t>
      </w:r>
      <w:r>
        <w:rPr>
          <w:vertAlign w:val="superscript"/>
        </w:rPr>
        <w:sym w:font="Symbol" w:char="F0D2"/>
      </w:r>
      <w:r>
        <w:t xml:space="preserve"> </w:t>
      </w:r>
      <w:r w:rsidR="009E0C0C">
        <w:t xml:space="preserve">Typen </w:t>
      </w:r>
      <w:r>
        <w:t>eingesetzt. Diese eigenen sich hervorragend als Überzugsmaterial für Tabletten, Pellets oder Kapseln und schützen den Inhalt zuverlässig vor der Magensäure, indem sie sich erst bei höheren pH-Werten in späteren Darmabschnitten auflösen und den Inhalt</w:t>
      </w:r>
      <w:r w:rsidR="00E8191E">
        <w:t xml:space="preserve"> </w:t>
      </w:r>
      <w:r w:rsidR="009E0C0C">
        <w:t>dort</w:t>
      </w:r>
      <w:r>
        <w:t xml:space="preserve"> freigeben.</w:t>
      </w:r>
      <w:r w:rsidR="001B6D02">
        <w:t xml:space="preserve"> Dieser Schutz reicht jedoch für Peptide und Proteine </w:t>
      </w:r>
      <w:r w:rsidR="00E8191E">
        <w:t xml:space="preserve">oft </w:t>
      </w:r>
      <w:r w:rsidR="001B6D02">
        <w:t>nicht aus, da diese auch von Verdauungsenzymen angegriffen werden, die im Dünndarm</w:t>
      </w:r>
      <w:r w:rsidR="009E0C0C">
        <w:t xml:space="preserve"> und auch im Dickdarm</w:t>
      </w:r>
      <w:r w:rsidR="001B6D02">
        <w:t xml:space="preserve"> aktiv sind. Viel diskutiert wurde in diesem Zusammenhang die Koadministration von Proteaseinhibitoren wie</w:t>
      </w:r>
      <w:r w:rsidR="00E8191E">
        <w:t xml:space="preserve"> beispielsweise</w:t>
      </w:r>
      <w:r w:rsidR="001B6D02">
        <w:t xml:space="preserve"> </w:t>
      </w:r>
      <w:r w:rsidR="009E0C0C">
        <w:t>Bacitracin, Aprotinin, Kunitz und Bowman-Birk (BBI) Trypsin und Chymoptrypsin Inhibitor aus Sojabohne</w:t>
      </w:r>
      <w:r w:rsidR="00E8191E">
        <w:t>n, Amastatin oder Thiorphan, um Peptidarzneistoffe vor einem Abbau durch sezernierte oder membrangebundene Peptidasen zu schützen</w:t>
      </w:r>
      <w:r w:rsidR="00D16240" w:rsidRPr="00D3790E">
        <w:rPr>
          <w:vertAlign w:val="superscript"/>
        </w:rPr>
        <w:fldChar w:fldCharType="begin"/>
      </w:r>
      <w:r w:rsidR="00D3790E" w:rsidRPr="00D3790E">
        <w:rPr>
          <w:vertAlign w:val="superscript"/>
        </w:rPr>
        <w:instrText xml:space="preserve"> NOTEREF _Ref277538483 \h </w:instrText>
      </w:r>
      <w:r w:rsidR="00D16240" w:rsidRPr="00D3790E">
        <w:rPr>
          <w:vertAlign w:val="superscript"/>
        </w:rPr>
      </w:r>
      <w:r w:rsidR="00D16240" w:rsidRPr="00D3790E">
        <w:rPr>
          <w:vertAlign w:val="superscript"/>
        </w:rPr>
        <w:fldChar w:fldCharType="separate"/>
      </w:r>
      <w:r w:rsidR="00711AB8">
        <w:rPr>
          <w:vertAlign w:val="superscript"/>
        </w:rPr>
        <w:t>22</w:t>
      </w:r>
      <w:r w:rsidR="00D16240" w:rsidRPr="00D3790E">
        <w:rPr>
          <w:vertAlign w:val="superscript"/>
        </w:rPr>
        <w:fldChar w:fldCharType="end"/>
      </w:r>
      <w:r w:rsidR="00E8191E">
        <w:t>.</w:t>
      </w:r>
      <w:r w:rsidR="00D3790E">
        <w:t xml:space="preserve"> Diese Strategie wird jedoch aufgrund erheblicher Nebenwirkungen vor allem bei der Langzeitanwendung inzwische</w:t>
      </w:r>
      <w:r w:rsidR="00085499">
        <w:t>n als hoch bedenklich angesehen, w</w:t>
      </w:r>
      <w:r w:rsidR="00D3790E">
        <w:t xml:space="preserve">eniger aufgrund systemischer Nebenwirkungen, sondern mehr aufgrund von unerwünschten Wirkungen, die aus der Hemmung der Verdauungsenzyme selbst resultieren. </w:t>
      </w:r>
      <w:r w:rsidR="00605BFC">
        <w:t>Die Hemmung von Protein</w:t>
      </w:r>
      <w:r w:rsidR="001E3898">
        <w:t>-</w:t>
      </w:r>
      <w:r w:rsidR="00605BFC">
        <w:t xml:space="preserve"> </w:t>
      </w:r>
      <w:r w:rsidR="00085499">
        <w:t xml:space="preserve">verdauenden Enzymen führt zu einer reduzierten Verwertung und Aufnahme von Aminosäuren aus Nahrungseiweißen. Dies wiederum löst einen Rückkopplungseffekt aus, der eine erhöhte Produktion und Sekretion der gehemmten Verdauungsenzyme bewirkt. Infolgedessen entwickelt sich eine Hypertrophie als auch eine Hyperplasie der Bauchspeicheldrüse, </w:t>
      </w:r>
      <w:r w:rsidR="00B96C77">
        <w:t>die mit einem erhöhten Krebsrisiko einhergehen kann</w:t>
      </w:r>
      <w:r w:rsidR="00D16240" w:rsidRPr="00B96C77">
        <w:rPr>
          <w:vertAlign w:val="superscript"/>
        </w:rPr>
        <w:fldChar w:fldCharType="begin"/>
      </w:r>
      <w:r w:rsidR="00B96C77" w:rsidRPr="00B96C77">
        <w:rPr>
          <w:vertAlign w:val="superscript"/>
        </w:rPr>
        <w:instrText xml:space="preserve"> NOTEREF _Ref277538483 \h </w:instrText>
      </w:r>
      <w:r w:rsidR="00D16240" w:rsidRPr="00B96C77">
        <w:rPr>
          <w:vertAlign w:val="superscript"/>
        </w:rPr>
      </w:r>
      <w:r w:rsidR="00D16240" w:rsidRPr="00B96C77">
        <w:rPr>
          <w:vertAlign w:val="superscript"/>
        </w:rPr>
        <w:fldChar w:fldCharType="separate"/>
      </w:r>
      <w:r w:rsidR="00711AB8">
        <w:rPr>
          <w:vertAlign w:val="superscript"/>
        </w:rPr>
        <w:t>22</w:t>
      </w:r>
      <w:r w:rsidR="00D16240" w:rsidRPr="00B96C77">
        <w:rPr>
          <w:vertAlign w:val="superscript"/>
        </w:rPr>
        <w:fldChar w:fldCharType="end"/>
      </w:r>
      <w:r w:rsidR="00B96C77">
        <w:t xml:space="preserve">. Um diesen </w:t>
      </w:r>
      <w:r w:rsidR="00B96C77">
        <w:lastRenderedPageBreak/>
        <w:t>Feedbackmechanismus zu re</w:t>
      </w:r>
      <w:r w:rsidR="00927CE2">
        <w:t>duzieren</w:t>
      </w:r>
      <w:r w:rsidR="00B96C77">
        <w:t xml:space="preserve">, </w:t>
      </w:r>
      <w:r w:rsidR="00927CE2">
        <w:t>wurde vorgeschlagen, Proteaseinhibitoren so zu formulieren, dass sie nur in der unmittelbaren Umgebung des freigesetzten Peptidarzneistoffes wirken können. Eine solche künstliche Mikroumgebung am Ort der Freigabe und Resorption</w:t>
      </w:r>
      <w:r w:rsidR="006F4F4E">
        <w:t xml:space="preserve"> des Wirkstoffes</w:t>
      </w:r>
      <w:r w:rsidR="00927CE2">
        <w:t xml:space="preserve"> könnte wie bereits beschrieben beispielsweise durch den Einsatz muko</w:t>
      </w:r>
      <w:r w:rsidR="006F4F4E">
        <w:t>adhäsiver Trägersysteme realisiert</w:t>
      </w:r>
      <w:r w:rsidR="00927CE2">
        <w:t xml:space="preserve"> werden.</w:t>
      </w:r>
      <w:r w:rsidR="00FD6D2E">
        <w:t xml:space="preserve"> Im Optimalfall werden für die Formulierung eines solchen Systems Polymere verwendet, die zugleich mukoadhäsiv und enzymhemmend wirken. Diverse thiolierte Chitosanderivate, die bereits in Abschnitt </w:t>
      </w:r>
      <w:r w:rsidR="00D16240">
        <w:fldChar w:fldCharType="begin"/>
      </w:r>
      <w:r w:rsidR="00FD6D2E">
        <w:instrText xml:space="preserve"> REF _Ref272096573 \n \h </w:instrText>
      </w:r>
      <w:r w:rsidR="00D16240">
        <w:fldChar w:fldCharType="separate"/>
      </w:r>
      <w:r w:rsidR="00711AB8">
        <w:t>1.5.2</w:t>
      </w:r>
      <w:r w:rsidR="00D16240">
        <w:fldChar w:fldCharType="end"/>
      </w:r>
      <w:r w:rsidR="00FD6D2E">
        <w:t xml:space="preserve"> genauer be</w:t>
      </w:r>
      <w:r w:rsidR="006F4F4E">
        <w:t>schrieben wurden, besitzen beide</w:t>
      </w:r>
      <w:r w:rsidR="00FD6D2E">
        <w:t xml:space="preserve"> Eigenschaften.</w:t>
      </w:r>
    </w:p>
    <w:p w14:paraId="3B9A6DC0" w14:textId="77777777" w:rsidR="00A94E15" w:rsidRPr="00FE343A" w:rsidRDefault="00A94E15" w:rsidP="00FE343A">
      <w:r>
        <w:t xml:space="preserve">Ein zuverlässiger Schutz vor Verdauungsenzymen und dem sauren Magensaft kann </w:t>
      </w:r>
      <w:r w:rsidR="001E3898">
        <w:t>durch Verkapselung der Peptidarzneistoffe in nanopartikuläre bioabbaubare Polymere</w:t>
      </w:r>
      <w:r w:rsidR="00927CE2">
        <w:t xml:space="preserve"> auch</w:t>
      </w:r>
      <w:r w:rsidR="001E3898">
        <w:t xml:space="preserve"> sicher und ohne</w:t>
      </w:r>
      <w:r>
        <w:t xml:space="preserve"> </w:t>
      </w:r>
      <w:r w:rsidR="006F4F4E">
        <w:t>Nebenwirkungen koapplizierter</w:t>
      </w:r>
      <w:r>
        <w:t xml:space="preserve"> Enzyminhibitoren erfolgen. Die Arzneistoffträger schleusen den Wirkstoff effizient in die Darmepithelzellen ein und setzen diesen erst nach der Überwindung der enzymatischen Barriere des Verdauungstraktes wieder frei.</w:t>
      </w:r>
      <w:r w:rsidR="00FD6D2E">
        <w:t xml:space="preserve"> In diesem Fall wird kein Zusatz von Enzyminhibitoren benötigt.</w:t>
      </w:r>
      <w:r w:rsidR="00821FB6">
        <w:t xml:space="preserve"> Simon et al. zeigten, dass Insulin durch Einbettung in nanopartik</w:t>
      </w:r>
      <w:r w:rsidR="00C47FB0">
        <w:t>uläre Polyelektrolytkomplexe eff</w:t>
      </w:r>
      <w:r w:rsidR="00821FB6">
        <w:t>ektiv vor einem Abbau dur</w:t>
      </w:r>
      <w:r w:rsidR="00C47FB0">
        <w:t>ch Trypsin geschützt werden konnte</w:t>
      </w:r>
      <w:r w:rsidR="00C47FB0">
        <w:rPr>
          <w:rStyle w:val="Endnotenzeichen"/>
        </w:rPr>
        <w:endnoteReference w:id="90"/>
      </w:r>
      <w:r w:rsidR="00821FB6">
        <w:t xml:space="preserve">. </w:t>
      </w:r>
      <w:r>
        <w:t>Diese Strategie wird im letzten Abschnitt dieses Kapitels genauer beschrieben.</w:t>
      </w:r>
      <w:r w:rsidR="00821FB6">
        <w:t xml:space="preserve"> </w:t>
      </w:r>
    </w:p>
    <w:p w14:paraId="2E7136A4" w14:textId="77777777" w:rsidR="00CD7796" w:rsidRDefault="007A25F4" w:rsidP="00860733">
      <w:pPr>
        <w:pStyle w:val="berschrift3"/>
      </w:pPr>
      <w:bookmarkStart w:id="78" w:name="_Ref271404066"/>
      <w:bookmarkStart w:id="79" w:name="_Toc294380182"/>
      <w:r w:rsidRPr="00BC1A49">
        <w:t>Penetrations</w:t>
      </w:r>
      <w:bookmarkEnd w:id="78"/>
      <w:r w:rsidR="00843477">
        <w:t>förderer</w:t>
      </w:r>
      <w:bookmarkEnd w:id="79"/>
    </w:p>
    <w:p w14:paraId="484A0DE4" w14:textId="77777777" w:rsidR="004429B3" w:rsidRDefault="00304A64" w:rsidP="00FD6D2E">
      <w:r>
        <w:t>Eine weitere viel beschriebene Strategie zur Erhöhung der oralen Bioverfügbarkeit von Proteinen durch Verbesserung der intestinalen Resorption ist die Koapplikation von penetrationsfördernden Substanzen</w:t>
      </w:r>
      <w:bookmarkStart w:id="80" w:name="_Ref282617672"/>
      <w:r>
        <w:rPr>
          <w:rStyle w:val="Endnotenzeichen"/>
        </w:rPr>
        <w:endnoteReference w:id="91"/>
      </w:r>
      <w:bookmarkEnd w:id="80"/>
      <w:r w:rsidR="004B0A79">
        <w:t xml:space="preserve">. So unterschiedlich die Strukturen dieser Substanzen sind, so unterschiedlich sind auch deren Wirkmechanismen. Prinzipiell kann eine penetrationsfördernde Wirkung </w:t>
      </w:r>
      <w:r w:rsidR="00E45B23">
        <w:t xml:space="preserve">auf parazellulärem Weg </w:t>
      </w:r>
      <w:r w:rsidR="004B0A79">
        <w:t xml:space="preserve">durch reversible oder irreversible Öffnung der </w:t>
      </w:r>
      <w:r w:rsidR="004B0A79" w:rsidRPr="009C41CB">
        <w:rPr>
          <w:i/>
        </w:rPr>
        <w:t>Tight Junctions</w:t>
      </w:r>
      <w:r w:rsidR="00E45B23">
        <w:t xml:space="preserve"> oder auf transzellulärem Weg durch Störung der Membranintegrität bzw. durch rezeptorvermittelte Endozytose erzielt werden.</w:t>
      </w:r>
      <w:r w:rsidR="00BD6A05">
        <w:t xml:space="preserve"> Bekannt ist beispielsweise, dass durch eine Komplexierung von Ca</w:t>
      </w:r>
      <w:r w:rsidR="00BD6A05">
        <w:rPr>
          <w:vertAlign w:val="superscript"/>
        </w:rPr>
        <w:t>2+</w:t>
      </w:r>
      <w:r w:rsidR="001E3898">
        <w:t>-</w:t>
      </w:r>
      <w:r w:rsidR="00BD6A05">
        <w:t>Ionen</w:t>
      </w:r>
      <w:r w:rsidR="00E45B23">
        <w:t xml:space="preserve"> </w:t>
      </w:r>
      <w:r w:rsidR="00BD6A05">
        <w:t>die parazelluläre Aufnahme verstärkt werden kann</w:t>
      </w:r>
      <w:r w:rsidR="00A336BC">
        <w:rPr>
          <w:rStyle w:val="Endnotenzeichen"/>
        </w:rPr>
        <w:endnoteReference w:id="92"/>
      </w:r>
      <w:r w:rsidR="00BD6A05">
        <w:t>. Die extrazelluläre Verarmung an Ca</w:t>
      </w:r>
      <w:r w:rsidR="00BD6A05">
        <w:rPr>
          <w:vertAlign w:val="superscript"/>
        </w:rPr>
        <w:t>2+</w:t>
      </w:r>
      <w:r w:rsidR="001E3898">
        <w:t>-</w:t>
      </w:r>
      <w:r w:rsidR="00BD6A05">
        <w:t xml:space="preserve">Ionen führt zur Aktivierung der Proteinkinase C (PKC), die wiederum an der Signaltransduktion zur Steuerung des </w:t>
      </w:r>
      <w:r w:rsidR="00BD6A05" w:rsidRPr="009C41CB">
        <w:rPr>
          <w:i/>
        </w:rPr>
        <w:t>Tight Junction</w:t>
      </w:r>
      <w:r w:rsidR="00605BFC">
        <w:t>-</w:t>
      </w:r>
      <w:r w:rsidR="00A00B41">
        <w:t>Proteinkomplexes beteiligt ist.</w:t>
      </w:r>
    </w:p>
    <w:p w14:paraId="5C03B546" w14:textId="77777777" w:rsidR="00B64555" w:rsidRDefault="008A5BD8" w:rsidP="00B64555">
      <w:r>
        <w:t>Weiterhin kann</w:t>
      </w:r>
      <w:r w:rsidR="00BD6A05">
        <w:t xml:space="preserve"> durch</w:t>
      </w:r>
      <w:r w:rsidR="00A00B41">
        <w:t xml:space="preserve"> Herabsetzung</w:t>
      </w:r>
      <w:r w:rsidR="00BD6A05">
        <w:t xml:space="preserve"> der Viskosität des Mukus</w:t>
      </w:r>
      <w:r w:rsidR="00A336BC">
        <w:t xml:space="preserve"> beispielsweise mit</w:t>
      </w:r>
      <w:r w:rsidR="009C41CB">
        <w:t>hilfe von</w:t>
      </w:r>
      <w:r w:rsidR="00A336BC">
        <w:t xml:space="preserve"> </w:t>
      </w:r>
      <w:r w:rsidR="009C41CB">
        <w:t>N-</w:t>
      </w:r>
      <w:r w:rsidR="00A336BC">
        <w:t>Acetylcystein (</w:t>
      </w:r>
      <w:r w:rsidR="009C41CB">
        <w:t>NAC</w:t>
      </w:r>
      <w:r w:rsidR="00A336BC">
        <w:t>)</w:t>
      </w:r>
      <w:r>
        <w:t>, das mukolytisch wirkt, die Permeation von Arzneistoffen durch die Muzinschicht hindurch erleichtert werden</w:t>
      </w:r>
      <w:r w:rsidR="009805F0">
        <w:rPr>
          <w:rStyle w:val="Endnotenzeichen"/>
        </w:rPr>
        <w:endnoteReference w:id="93"/>
      </w:r>
      <w:r>
        <w:t xml:space="preserve">. </w:t>
      </w:r>
      <w:r w:rsidR="009805F0">
        <w:t>Da diese Barriere für beide Transportwege zunächst überwunden werden muss, kann N-Acetylcystein unabhängig vom jeweiligen Aufnahmemechanismus die Resorption von Arzneistoffen verstärken.</w:t>
      </w:r>
      <w:r w:rsidR="00B64555">
        <w:t xml:space="preserve"> </w:t>
      </w:r>
    </w:p>
    <w:p w14:paraId="154E2948" w14:textId="77777777" w:rsidR="00A336BC" w:rsidRDefault="005F2B9F" w:rsidP="00B64555">
      <w:pPr>
        <w:spacing w:after="120"/>
      </w:pPr>
      <w:r>
        <w:lastRenderedPageBreak/>
        <w:t>Einige der am häufigsten zitierten penetrationsför</w:t>
      </w:r>
      <w:r w:rsidR="00FC7C52">
        <w:t xml:space="preserve">dernden Substanzen wurden in </w:t>
      </w:r>
      <w:r w:rsidR="00D16240">
        <w:fldChar w:fldCharType="begin"/>
      </w:r>
      <w:r w:rsidR="00FC7C52">
        <w:instrText xml:space="preserve"> REF _Ref277548253 \h </w:instrText>
      </w:r>
      <w:r w:rsidR="00D16240">
        <w:fldChar w:fldCharType="separate"/>
      </w:r>
      <w:r w:rsidR="00711AB8" w:rsidRPr="00FF4E84">
        <w:rPr>
          <w:color w:val="000000" w:themeColor="text1"/>
        </w:rPr>
        <w:t xml:space="preserve">Tabelle </w:t>
      </w:r>
      <w:r w:rsidR="00711AB8">
        <w:rPr>
          <w:noProof/>
          <w:color w:val="000000" w:themeColor="text1"/>
        </w:rPr>
        <w:t>4</w:t>
      </w:r>
      <w:r w:rsidR="00D16240">
        <w:fldChar w:fldCharType="end"/>
      </w:r>
      <w:r w:rsidR="00FC7C52">
        <w:t xml:space="preserve"> </w:t>
      </w:r>
      <w:r>
        <w:t>zusammengefasst.</w:t>
      </w:r>
    </w:p>
    <w:p w14:paraId="72926361" w14:textId="77777777" w:rsidR="00FC7C52" w:rsidRDefault="00FC7C52" w:rsidP="00FD6D2E"/>
    <w:p w14:paraId="74FB713A" w14:textId="77777777" w:rsidR="004429B3" w:rsidRPr="00FF4E84" w:rsidRDefault="00FF4E84" w:rsidP="00B240B0">
      <w:pPr>
        <w:pStyle w:val="Beschriftung"/>
        <w:ind w:firstLine="0"/>
        <w:rPr>
          <w:b w:val="0"/>
          <w:color w:val="000000" w:themeColor="text1"/>
        </w:rPr>
      </w:pPr>
      <w:bookmarkStart w:id="81" w:name="_Ref277548253"/>
      <w:bookmarkStart w:id="82" w:name="_Ref404693501"/>
      <w:r w:rsidRPr="00FF4E84">
        <w:rPr>
          <w:color w:val="000000" w:themeColor="text1"/>
        </w:rPr>
        <w:t xml:space="preserve">Tabelle </w:t>
      </w:r>
      <w:r w:rsidR="00D16240" w:rsidRPr="00FF4E84">
        <w:rPr>
          <w:color w:val="000000" w:themeColor="text1"/>
        </w:rPr>
        <w:fldChar w:fldCharType="begin"/>
      </w:r>
      <w:r w:rsidRPr="00FF4E84">
        <w:rPr>
          <w:color w:val="000000" w:themeColor="text1"/>
        </w:rPr>
        <w:instrText xml:space="preserve"> SEQ Tabelle \* ARABIC </w:instrText>
      </w:r>
      <w:r w:rsidR="00D16240" w:rsidRPr="00FF4E84">
        <w:rPr>
          <w:color w:val="000000" w:themeColor="text1"/>
        </w:rPr>
        <w:fldChar w:fldCharType="separate"/>
      </w:r>
      <w:r w:rsidR="00711AB8">
        <w:rPr>
          <w:noProof/>
          <w:color w:val="000000" w:themeColor="text1"/>
        </w:rPr>
        <w:t>4</w:t>
      </w:r>
      <w:r w:rsidR="00D16240" w:rsidRPr="00FF4E84">
        <w:rPr>
          <w:color w:val="000000" w:themeColor="text1"/>
        </w:rPr>
        <w:fldChar w:fldCharType="end"/>
      </w:r>
      <w:bookmarkEnd w:id="81"/>
      <w:r>
        <w:rPr>
          <w:color w:val="000000" w:themeColor="text1"/>
        </w:rPr>
        <w:t xml:space="preserve"> </w:t>
      </w:r>
      <w:r w:rsidR="00FC7C52">
        <w:rPr>
          <w:b w:val="0"/>
          <w:color w:val="000000" w:themeColor="text1"/>
        </w:rPr>
        <w:t>Penetrationsförderer nach Substanzklasse geordnet mit Wirkmechanismus; modifiziert nach Schäfer</w:t>
      </w:r>
      <w:r w:rsidR="00FC7C52">
        <w:rPr>
          <w:rStyle w:val="Endnotenzeichen"/>
          <w:b w:val="0"/>
          <w:color w:val="000000" w:themeColor="text1"/>
        </w:rPr>
        <w:endnoteReference w:id="94"/>
      </w:r>
      <w:bookmarkEnd w:id="82"/>
      <w:r w:rsidR="00EF13B3">
        <w:rPr>
          <w:b w:val="0"/>
          <w:color w:val="000000" w:themeColor="text1"/>
        </w:rPr>
        <w:t>.</w:t>
      </w:r>
    </w:p>
    <w:tbl>
      <w:tblPr>
        <w:tblStyle w:val="Tabellenraster"/>
        <w:tblW w:w="0" w:type="auto"/>
        <w:tblLook w:val="04A0" w:firstRow="1" w:lastRow="0" w:firstColumn="1" w:lastColumn="0" w:noHBand="0" w:noVBand="1"/>
      </w:tblPr>
      <w:tblGrid>
        <w:gridCol w:w="1951"/>
        <w:gridCol w:w="4253"/>
        <w:gridCol w:w="3008"/>
      </w:tblGrid>
      <w:tr w:rsidR="00CF3A8B" w:rsidRPr="00CF3A8B" w14:paraId="5DB423E1" w14:textId="77777777" w:rsidTr="00FF4E84">
        <w:trPr>
          <w:trHeight w:val="340"/>
        </w:trPr>
        <w:tc>
          <w:tcPr>
            <w:tcW w:w="1951" w:type="dxa"/>
            <w:tcBorders>
              <w:top w:val="single" w:sz="8" w:space="0" w:color="auto"/>
              <w:left w:val="single" w:sz="8" w:space="0" w:color="auto"/>
              <w:bottom w:val="single" w:sz="8" w:space="0" w:color="auto"/>
              <w:right w:val="single" w:sz="8" w:space="0" w:color="auto"/>
            </w:tcBorders>
            <w:shd w:val="clear" w:color="auto" w:fill="E6E6E6"/>
            <w:vAlign w:val="center"/>
          </w:tcPr>
          <w:p w14:paraId="6D33BAF9" w14:textId="77777777" w:rsidR="00CF3A8B" w:rsidRPr="00FF4E84" w:rsidRDefault="00CF3A8B" w:rsidP="00FF4E84">
            <w:pPr>
              <w:spacing w:line="240" w:lineRule="auto"/>
              <w:jc w:val="center"/>
              <w:rPr>
                <w:b/>
                <w:sz w:val="20"/>
                <w:szCs w:val="20"/>
              </w:rPr>
            </w:pPr>
            <w:r w:rsidRPr="00FF4E84">
              <w:rPr>
                <w:b/>
                <w:sz w:val="20"/>
                <w:szCs w:val="20"/>
              </w:rPr>
              <w:t>Klasse</w:t>
            </w:r>
          </w:p>
        </w:tc>
        <w:tc>
          <w:tcPr>
            <w:tcW w:w="4253" w:type="dxa"/>
            <w:tcBorders>
              <w:top w:val="single" w:sz="8" w:space="0" w:color="auto"/>
              <w:left w:val="single" w:sz="8" w:space="0" w:color="auto"/>
              <w:bottom w:val="single" w:sz="8" w:space="0" w:color="auto"/>
              <w:right w:val="single" w:sz="8" w:space="0" w:color="auto"/>
            </w:tcBorders>
            <w:shd w:val="clear" w:color="auto" w:fill="E6E6E6"/>
            <w:vAlign w:val="center"/>
          </w:tcPr>
          <w:p w14:paraId="7498DADD" w14:textId="77777777" w:rsidR="00CF3A8B" w:rsidRPr="00FF4E84" w:rsidRDefault="00CF3A8B" w:rsidP="00FF4E84">
            <w:pPr>
              <w:spacing w:line="240" w:lineRule="auto"/>
              <w:jc w:val="center"/>
              <w:rPr>
                <w:b/>
                <w:sz w:val="20"/>
                <w:szCs w:val="20"/>
              </w:rPr>
            </w:pPr>
            <w:r w:rsidRPr="00FF4E84">
              <w:rPr>
                <w:b/>
                <w:sz w:val="20"/>
                <w:szCs w:val="20"/>
              </w:rPr>
              <w:t>Beispiele</w:t>
            </w:r>
          </w:p>
        </w:tc>
        <w:tc>
          <w:tcPr>
            <w:tcW w:w="3008" w:type="dxa"/>
            <w:tcBorders>
              <w:top w:val="single" w:sz="8" w:space="0" w:color="auto"/>
              <w:left w:val="single" w:sz="8" w:space="0" w:color="auto"/>
              <w:bottom w:val="single" w:sz="8" w:space="0" w:color="auto"/>
              <w:right w:val="single" w:sz="8" w:space="0" w:color="auto"/>
            </w:tcBorders>
            <w:shd w:val="clear" w:color="auto" w:fill="E6E6E6"/>
            <w:vAlign w:val="center"/>
          </w:tcPr>
          <w:p w14:paraId="27114C98" w14:textId="77777777" w:rsidR="00CF3A8B" w:rsidRPr="00FF4E84" w:rsidRDefault="00CF3A8B" w:rsidP="00FF4E84">
            <w:pPr>
              <w:spacing w:line="240" w:lineRule="auto"/>
              <w:jc w:val="center"/>
              <w:rPr>
                <w:b/>
                <w:sz w:val="20"/>
                <w:szCs w:val="20"/>
              </w:rPr>
            </w:pPr>
            <w:r w:rsidRPr="00FF4E84">
              <w:rPr>
                <w:b/>
                <w:sz w:val="20"/>
                <w:szCs w:val="20"/>
              </w:rPr>
              <w:t>Wirkmechanismen</w:t>
            </w:r>
          </w:p>
        </w:tc>
      </w:tr>
      <w:tr w:rsidR="00CF3A8B" w14:paraId="4309AF54" w14:textId="77777777" w:rsidTr="00FF4E84">
        <w:tc>
          <w:tcPr>
            <w:tcW w:w="1951" w:type="dxa"/>
            <w:tcBorders>
              <w:top w:val="single" w:sz="8" w:space="0" w:color="auto"/>
              <w:left w:val="single" w:sz="8" w:space="0" w:color="auto"/>
            </w:tcBorders>
          </w:tcPr>
          <w:p w14:paraId="62D16593" w14:textId="77777777" w:rsidR="00CF3A8B" w:rsidRPr="004429B3" w:rsidRDefault="004429B3" w:rsidP="00FD6D2E">
            <w:pPr>
              <w:rPr>
                <w:sz w:val="18"/>
                <w:szCs w:val="18"/>
              </w:rPr>
            </w:pPr>
            <w:r>
              <w:rPr>
                <w:sz w:val="18"/>
                <w:szCs w:val="18"/>
              </w:rPr>
              <w:t>Komplexbildner</w:t>
            </w:r>
          </w:p>
        </w:tc>
        <w:tc>
          <w:tcPr>
            <w:tcW w:w="4253" w:type="dxa"/>
            <w:tcBorders>
              <w:top w:val="single" w:sz="8" w:space="0" w:color="auto"/>
            </w:tcBorders>
          </w:tcPr>
          <w:p w14:paraId="16329564" w14:textId="77777777" w:rsidR="00CF3A8B" w:rsidRPr="00726FEB" w:rsidRDefault="004429B3" w:rsidP="00FD6D2E">
            <w:pPr>
              <w:rPr>
                <w:sz w:val="18"/>
                <w:szCs w:val="18"/>
                <w:lang w:val="en-US"/>
              </w:rPr>
            </w:pPr>
            <w:r w:rsidRPr="00726FEB">
              <w:rPr>
                <w:sz w:val="18"/>
                <w:szCs w:val="18"/>
                <w:lang w:val="en-US"/>
              </w:rPr>
              <w:t>EDTA, Salicylate, Cyclodextrine, Polyacrylsäure</w:t>
            </w:r>
            <w:r w:rsidR="00FF4E84" w:rsidRPr="00726FEB">
              <w:rPr>
                <w:sz w:val="18"/>
                <w:szCs w:val="18"/>
                <w:lang w:val="en-US"/>
              </w:rPr>
              <w:t>, Zitronensäure</w:t>
            </w:r>
          </w:p>
        </w:tc>
        <w:tc>
          <w:tcPr>
            <w:tcW w:w="3008" w:type="dxa"/>
            <w:tcBorders>
              <w:top w:val="single" w:sz="8" w:space="0" w:color="auto"/>
              <w:right w:val="single" w:sz="8" w:space="0" w:color="auto"/>
            </w:tcBorders>
          </w:tcPr>
          <w:p w14:paraId="2D99E0C4" w14:textId="77777777" w:rsidR="00CF3A8B" w:rsidRDefault="004429B3" w:rsidP="00FD6D2E">
            <w:pPr>
              <w:rPr>
                <w:sz w:val="18"/>
                <w:szCs w:val="18"/>
              </w:rPr>
            </w:pPr>
            <w:r>
              <w:rPr>
                <w:sz w:val="18"/>
                <w:szCs w:val="18"/>
              </w:rPr>
              <w:t>Parazellulärer Transport</w:t>
            </w:r>
            <w:r w:rsidR="00FC7C52">
              <w:rPr>
                <w:sz w:val="18"/>
                <w:szCs w:val="18"/>
              </w:rPr>
              <w:t xml:space="preserve"> </w:t>
            </w:r>
            <w:r w:rsidR="00FC7C52">
              <w:rPr>
                <w:sz w:val="18"/>
                <w:szCs w:val="18"/>
              </w:rPr>
              <w:sym w:font="Symbol" w:char="F0AD"/>
            </w:r>
          </w:p>
          <w:p w14:paraId="035084F7" w14:textId="77777777" w:rsidR="004429B3" w:rsidRPr="004429B3" w:rsidRDefault="004429B3" w:rsidP="00FD6D2E">
            <w:pPr>
              <w:rPr>
                <w:sz w:val="18"/>
                <w:szCs w:val="18"/>
              </w:rPr>
            </w:pPr>
            <w:r>
              <w:rPr>
                <w:sz w:val="18"/>
                <w:szCs w:val="18"/>
              </w:rPr>
              <w:t>Stabilisierung des Wirkstoffes</w:t>
            </w:r>
            <w:r w:rsidR="00FC7C52">
              <w:rPr>
                <w:sz w:val="18"/>
                <w:szCs w:val="18"/>
              </w:rPr>
              <w:t xml:space="preserve"> </w:t>
            </w:r>
            <w:r w:rsidR="00FC7C52">
              <w:rPr>
                <w:sz w:val="18"/>
                <w:szCs w:val="18"/>
              </w:rPr>
              <w:sym w:font="Symbol" w:char="F0AD"/>
            </w:r>
          </w:p>
        </w:tc>
      </w:tr>
      <w:tr w:rsidR="00CF3A8B" w14:paraId="5C8CEF2C" w14:textId="77777777" w:rsidTr="00FF4E84">
        <w:tc>
          <w:tcPr>
            <w:tcW w:w="1951" w:type="dxa"/>
            <w:tcBorders>
              <w:left w:val="single" w:sz="8" w:space="0" w:color="auto"/>
            </w:tcBorders>
          </w:tcPr>
          <w:p w14:paraId="6597FAD0" w14:textId="77777777" w:rsidR="00CF3A8B" w:rsidRPr="004429B3" w:rsidRDefault="004429B3" w:rsidP="00FD6D2E">
            <w:pPr>
              <w:rPr>
                <w:sz w:val="18"/>
                <w:szCs w:val="18"/>
              </w:rPr>
            </w:pPr>
            <w:r>
              <w:rPr>
                <w:sz w:val="18"/>
                <w:szCs w:val="18"/>
              </w:rPr>
              <w:t>Tenside</w:t>
            </w:r>
          </w:p>
        </w:tc>
        <w:tc>
          <w:tcPr>
            <w:tcW w:w="4253" w:type="dxa"/>
          </w:tcPr>
          <w:p w14:paraId="127DF17B" w14:textId="77777777" w:rsidR="00CF3A8B" w:rsidRPr="00726FEB" w:rsidRDefault="004429B3" w:rsidP="00FD6D2E">
            <w:pPr>
              <w:rPr>
                <w:sz w:val="18"/>
                <w:szCs w:val="18"/>
                <w:lang w:val="en-US"/>
              </w:rPr>
            </w:pPr>
            <w:r w:rsidRPr="00726FEB">
              <w:rPr>
                <w:sz w:val="18"/>
                <w:szCs w:val="18"/>
                <w:lang w:val="en-US"/>
              </w:rPr>
              <w:t>Natriumlaurylsulfat (SDS), PEG-9-laurylether, Lysophospholipide, Cetyltrimethylammoniumbromid, Triton-X-100</w:t>
            </w:r>
          </w:p>
        </w:tc>
        <w:tc>
          <w:tcPr>
            <w:tcW w:w="3008" w:type="dxa"/>
            <w:tcBorders>
              <w:right w:val="single" w:sz="8" w:space="0" w:color="auto"/>
            </w:tcBorders>
          </w:tcPr>
          <w:p w14:paraId="04A5AF17" w14:textId="77777777" w:rsidR="00CF3A8B" w:rsidRDefault="004429B3" w:rsidP="00FD6D2E">
            <w:pPr>
              <w:rPr>
                <w:sz w:val="18"/>
                <w:szCs w:val="18"/>
              </w:rPr>
            </w:pPr>
            <w:r>
              <w:rPr>
                <w:sz w:val="18"/>
                <w:szCs w:val="18"/>
              </w:rPr>
              <w:t>Transzellulärer Transport</w:t>
            </w:r>
            <w:r w:rsidR="00FC7C52">
              <w:rPr>
                <w:sz w:val="18"/>
                <w:szCs w:val="18"/>
              </w:rPr>
              <w:t xml:space="preserve"> </w:t>
            </w:r>
            <w:r w:rsidR="00FC7C52">
              <w:rPr>
                <w:sz w:val="18"/>
                <w:szCs w:val="18"/>
              </w:rPr>
              <w:sym w:font="Symbol" w:char="F0AD"/>
            </w:r>
          </w:p>
          <w:p w14:paraId="633AA9B2" w14:textId="77777777" w:rsidR="004429B3" w:rsidRPr="004429B3" w:rsidRDefault="004429B3" w:rsidP="00FD6D2E">
            <w:pPr>
              <w:rPr>
                <w:sz w:val="18"/>
                <w:szCs w:val="18"/>
              </w:rPr>
            </w:pPr>
            <w:r>
              <w:rPr>
                <w:sz w:val="18"/>
                <w:szCs w:val="18"/>
              </w:rPr>
              <w:t>Solubili</w:t>
            </w:r>
            <w:r w:rsidR="00FF4E84">
              <w:rPr>
                <w:sz w:val="18"/>
                <w:szCs w:val="18"/>
              </w:rPr>
              <w:t>sierung des Wirkstoffes</w:t>
            </w:r>
            <w:r w:rsidR="00FC7C52">
              <w:rPr>
                <w:sz w:val="18"/>
                <w:szCs w:val="18"/>
              </w:rPr>
              <w:t xml:space="preserve"> </w:t>
            </w:r>
            <w:r w:rsidR="00FC7C52">
              <w:rPr>
                <w:sz w:val="18"/>
                <w:szCs w:val="18"/>
              </w:rPr>
              <w:sym w:font="Symbol" w:char="F0AD"/>
            </w:r>
          </w:p>
        </w:tc>
      </w:tr>
      <w:tr w:rsidR="00CF3A8B" w14:paraId="35AF4717" w14:textId="77777777" w:rsidTr="00FF4E84">
        <w:tc>
          <w:tcPr>
            <w:tcW w:w="1951" w:type="dxa"/>
            <w:tcBorders>
              <w:left w:val="single" w:sz="8" w:space="0" w:color="auto"/>
            </w:tcBorders>
          </w:tcPr>
          <w:p w14:paraId="25C05F33" w14:textId="77777777" w:rsidR="00CF3A8B" w:rsidRPr="004429B3" w:rsidRDefault="004429B3" w:rsidP="00FD6D2E">
            <w:pPr>
              <w:rPr>
                <w:sz w:val="18"/>
                <w:szCs w:val="18"/>
              </w:rPr>
            </w:pPr>
            <w:r>
              <w:rPr>
                <w:sz w:val="18"/>
                <w:szCs w:val="18"/>
              </w:rPr>
              <w:t>Gallensalze und Derivate</w:t>
            </w:r>
          </w:p>
        </w:tc>
        <w:tc>
          <w:tcPr>
            <w:tcW w:w="4253" w:type="dxa"/>
          </w:tcPr>
          <w:p w14:paraId="6010F6CD" w14:textId="77777777" w:rsidR="00CF3A8B" w:rsidRPr="004429B3" w:rsidRDefault="00FF4E84" w:rsidP="00FD6D2E">
            <w:pPr>
              <w:rPr>
                <w:sz w:val="18"/>
                <w:szCs w:val="18"/>
              </w:rPr>
            </w:pPr>
            <w:r>
              <w:rPr>
                <w:sz w:val="18"/>
                <w:szCs w:val="18"/>
              </w:rPr>
              <w:t>Na-Desoxycholat, Na-Glykocholat, Na-Taurocholat, Na-Taurodihydrofusidat, Na-Glykodihydrofusidat</w:t>
            </w:r>
          </w:p>
        </w:tc>
        <w:tc>
          <w:tcPr>
            <w:tcW w:w="3008" w:type="dxa"/>
            <w:tcBorders>
              <w:right w:val="single" w:sz="8" w:space="0" w:color="auto"/>
            </w:tcBorders>
          </w:tcPr>
          <w:p w14:paraId="05D8F70F" w14:textId="77777777" w:rsidR="00CF3A8B" w:rsidRDefault="00FF4E84" w:rsidP="00FD6D2E">
            <w:pPr>
              <w:rPr>
                <w:sz w:val="18"/>
                <w:szCs w:val="18"/>
              </w:rPr>
            </w:pPr>
            <w:r>
              <w:rPr>
                <w:sz w:val="18"/>
                <w:szCs w:val="18"/>
              </w:rPr>
              <w:t>Solubilisierung des Wirkstoffes</w:t>
            </w:r>
            <w:r w:rsidR="00FC7C52">
              <w:rPr>
                <w:sz w:val="18"/>
                <w:szCs w:val="18"/>
              </w:rPr>
              <w:t xml:space="preserve"> </w:t>
            </w:r>
            <w:r w:rsidR="00FC7C52">
              <w:rPr>
                <w:sz w:val="18"/>
                <w:szCs w:val="18"/>
              </w:rPr>
              <w:sym w:font="Symbol" w:char="F0AD"/>
            </w:r>
          </w:p>
          <w:p w14:paraId="6F8AB318" w14:textId="77777777" w:rsidR="00FF4E84" w:rsidRDefault="00FF4E84" w:rsidP="00FD6D2E">
            <w:pPr>
              <w:rPr>
                <w:sz w:val="18"/>
                <w:szCs w:val="18"/>
              </w:rPr>
            </w:pPr>
            <w:r>
              <w:rPr>
                <w:sz w:val="18"/>
                <w:szCs w:val="18"/>
              </w:rPr>
              <w:t>Viskosität der Mukusschicht</w:t>
            </w:r>
            <w:r w:rsidR="00FC7C52">
              <w:rPr>
                <w:sz w:val="18"/>
                <w:szCs w:val="18"/>
              </w:rPr>
              <w:t xml:space="preserve"> </w:t>
            </w:r>
            <w:r w:rsidR="00FC7C52">
              <w:rPr>
                <w:sz w:val="18"/>
                <w:szCs w:val="18"/>
              </w:rPr>
              <w:sym w:font="Symbol" w:char="F0AF"/>
            </w:r>
          </w:p>
          <w:p w14:paraId="370585D9" w14:textId="77777777" w:rsidR="00FF4E84" w:rsidRDefault="00FF4E84" w:rsidP="00FD6D2E">
            <w:pPr>
              <w:rPr>
                <w:sz w:val="18"/>
                <w:szCs w:val="18"/>
              </w:rPr>
            </w:pPr>
            <w:r>
              <w:rPr>
                <w:sz w:val="18"/>
                <w:szCs w:val="18"/>
              </w:rPr>
              <w:t>Enzymatischer Abbau</w:t>
            </w:r>
            <w:r w:rsidR="00FC7C52">
              <w:rPr>
                <w:sz w:val="18"/>
                <w:szCs w:val="18"/>
              </w:rPr>
              <w:t xml:space="preserve"> </w:t>
            </w:r>
            <w:r w:rsidR="00FC7C52">
              <w:rPr>
                <w:sz w:val="18"/>
                <w:szCs w:val="18"/>
              </w:rPr>
              <w:sym w:font="Symbol" w:char="F0AF"/>
            </w:r>
          </w:p>
          <w:p w14:paraId="69EC9F7C" w14:textId="77777777" w:rsidR="00FF4E84" w:rsidRPr="004429B3" w:rsidRDefault="00FF4E84" w:rsidP="00FD6D2E">
            <w:pPr>
              <w:rPr>
                <w:sz w:val="18"/>
                <w:szCs w:val="18"/>
              </w:rPr>
            </w:pPr>
            <w:r>
              <w:rPr>
                <w:sz w:val="18"/>
                <w:szCs w:val="18"/>
              </w:rPr>
              <w:t>Transzellulärer Transport</w:t>
            </w:r>
            <w:r w:rsidR="00FC7C52">
              <w:rPr>
                <w:sz w:val="18"/>
                <w:szCs w:val="18"/>
              </w:rPr>
              <w:t xml:space="preserve"> </w:t>
            </w:r>
            <w:r w:rsidR="00FC7C52">
              <w:rPr>
                <w:sz w:val="18"/>
                <w:szCs w:val="18"/>
              </w:rPr>
              <w:sym w:font="Symbol" w:char="F0AD"/>
            </w:r>
          </w:p>
        </w:tc>
      </w:tr>
      <w:tr w:rsidR="00CF3A8B" w14:paraId="2156C321" w14:textId="77777777" w:rsidTr="00FF4E84">
        <w:tc>
          <w:tcPr>
            <w:tcW w:w="1951" w:type="dxa"/>
            <w:tcBorders>
              <w:left w:val="single" w:sz="8" w:space="0" w:color="auto"/>
              <w:bottom w:val="single" w:sz="8" w:space="0" w:color="auto"/>
            </w:tcBorders>
          </w:tcPr>
          <w:p w14:paraId="20471E8A" w14:textId="77777777" w:rsidR="00CF3A8B" w:rsidRPr="004429B3" w:rsidRDefault="004429B3" w:rsidP="00FD6D2E">
            <w:pPr>
              <w:rPr>
                <w:sz w:val="18"/>
                <w:szCs w:val="18"/>
              </w:rPr>
            </w:pPr>
            <w:r>
              <w:rPr>
                <w:sz w:val="18"/>
                <w:szCs w:val="18"/>
              </w:rPr>
              <w:t>Fettsäuren und Derivate</w:t>
            </w:r>
          </w:p>
        </w:tc>
        <w:tc>
          <w:tcPr>
            <w:tcW w:w="4253" w:type="dxa"/>
            <w:tcBorders>
              <w:bottom w:val="single" w:sz="8" w:space="0" w:color="auto"/>
            </w:tcBorders>
          </w:tcPr>
          <w:p w14:paraId="636B5E29" w14:textId="77777777" w:rsidR="00CF3A8B" w:rsidRPr="00726FEB" w:rsidRDefault="00FF4E84" w:rsidP="00FD6D2E">
            <w:pPr>
              <w:rPr>
                <w:sz w:val="18"/>
                <w:szCs w:val="18"/>
                <w:lang w:val="en-US"/>
              </w:rPr>
            </w:pPr>
            <w:r w:rsidRPr="00726FEB">
              <w:rPr>
                <w:sz w:val="18"/>
                <w:szCs w:val="18"/>
                <w:lang w:val="en-US"/>
              </w:rPr>
              <w:t>Ölsäure, Caprylsäure, Caprinsäure, Laurinsäure, Mono- und Diglyceride, Acylcarnitine, Acylcholine, Isopropylmyristat</w:t>
            </w:r>
          </w:p>
        </w:tc>
        <w:tc>
          <w:tcPr>
            <w:tcW w:w="3008" w:type="dxa"/>
            <w:tcBorders>
              <w:bottom w:val="single" w:sz="8" w:space="0" w:color="auto"/>
              <w:right w:val="single" w:sz="8" w:space="0" w:color="auto"/>
            </w:tcBorders>
          </w:tcPr>
          <w:p w14:paraId="2908366B" w14:textId="77777777" w:rsidR="00CF3A8B" w:rsidRDefault="00FF4E84" w:rsidP="00FD6D2E">
            <w:pPr>
              <w:rPr>
                <w:sz w:val="18"/>
                <w:szCs w:val="18"/>
              </w:rPr>
            </w:pPr>
            <w:r>
              <w:rPr>
                <w:sz w:val="18"/>
                <w:szCs w:val="18"/>
              </w:rPr>
              <w:t>Transzellulärer Transport</w:t>
            </w:r>
            <w:r w:rsidR="00FC7C52">
              <w:rPr>
                <w:sz w:val="18"/>
                <w:szCs w:val="18"/>
              </w:rPr>
              <w:t xml:space="preserve"> </w:t>
            </w:r>
            <w:r w:rsidR="00FC7C52">
              <w:rPr>
                <w:sz w:val="18"/>
                <w:szCs w:val="18"/>
              </w:rPr>
              <w:sym w:font="Symbol" w:char="F0AD"/>
            </w:r>
          </w:p>
          <w:p w14:paraId="3B1C7373" w14:textId="77777777" w:rsidR="00FF4E84" w:rsidRDefault="00FF4E84" w:rsidP="00FD6D2E">
            <w:pPr>
              <w:rPr>
                <w:sz w:val="18"/>
                <w:szCs w:val="18"/>
              </w:rPr>
            </w:pPr>
            <w:r>
              <w:rPr>
                <w:sz w:val="18"/>
                <w:szCs w:val="18"/>
              </w:rPr>
              <w:t>Parazellulärer Transport</w:t>
            </w:r>
            <w:r w:rsidR="00FC7C52">
              <w:rPr>
                <w:sz w:val="18"/>
                <w:szCs w:val="18"/>
              </w:rPr>
              <w:t xml:space="preserve"> </w:t>
            </w:r>
            <w:r w:rsidR="00FC7C52">
              <w:rPr>
                <w:sz w:val="18"/>
                <w:szCs w:val="18"/>
              </w:rPr>
              <w:sym w:font="Symbol" w:char="F0AD"/>
            </w:r>
          </w:p>
          <w:p w14:paraId="4D85CEAE" w14:textId="77777777" w:rsidR="00FF4E84" w:rsidRPr="004429B3" w:rsidRDefault="00FF4E84" w:rsidP="00FD6D2E">
            <w:pPr>
              <w:rPr>
                <w:sz w:val="18"/>
                <w:szCs w:val="18"/>
              </w:rPr>
            </w:pPr>
            <w:r>
              <w:rPr>
                <w:sz w:val="18"/>
                <w:szCs w:val="18"/>
              </w:rPr>
              <w:t>Solubilisierung des Wirkstoffes</w:t>
            </w:r>
            <w:r w:rsidR="00FC7C52">
              <w:rPr>
                <w:sz w:val="18"/>
                <w:szCs w:val="18"/>
              </w:rPr>
              <w:t xml:space="preserve"> </w:t>
            </w:r>
            <w:r w:rsidR="00FC7C52">
              <w:rPr>
                <w:sz w:val="18"/>
                <w:szCs w:val="18"/>
              </w:rPr>
              <w:sym w:font="Symbol" w:char="F0AD"/>
            </w:r>
          </w:p>
        </w:tc>
      </w:tr>
    </w:tbl>
    <w:p w14:paraId="18887B45" w14:textId="77777777" w:rsidR="005F2B9F" w:rsidRDefault="005F2B9F" w:rsidP="00FD6D2E"/>
    <w:p w14:paraId="46EDB4F9" w14:textId="77777777" w:rsidR="00A00B41" w:rsidRPr="00FD6D2E" w:rsidRDefault="00A00B41" w:rsidP="00FD6D2E">
      <w:r>
        <w:t>Die Anwendung dieser Substanzen zur Penetrationsförderung soll</w:t>
      </w:r>
      <w:r w:rsidR="00B225E0">
        <w:t xml:space="preserve">te grundsätzlich nur </w:t>
      </w:r>
      <w:r w:rsidR="009F7E60">
        <w:t>nach sorgfältiger Nutzen-Risiko-</w:t>
      </w:r>
      <w:r w:rsidR="00B225E0">
        <w:t>Abwägung erfolgen</w:t>
      </w:r>
      <w:r>
        <w:t>, da einige der zitierten Stoffe bei einer regelmäßigen Anwendung ernstzunehmende Gewebeschädigungen hervorrufen können</w:t>
      </w:r>
      <w:r w:rsidR="00410B95">
        <w:rPr>
          <w:rStyle w:val="Endnotenzeichen"/>
        </w:rPr>
        <w:endnoteReference w:id="95"/>
      </w:r>
      <w:r>
        <w:t>.</w:t>
      </w:r>
    </w:p>
    <w:p w14:paraId="2844830F" w14:textId="77777777" w:rsidR="00A94E15" w:rsidRDefault="00A94E15" w:rsidP="00A94E15">
      <w:pPr>
        <w:pStyle w:val="berschrift3"/>
      </w:pPr>
      <w:bookmarkStart w:id="83" w:name="_Toc294380183"/>
      <w:r>
        <w:t>Nanoskalige Wirkstoffträger</w:t>
      </w:r>
      <w:bookmarkEnd w:id="83"/>
    </w:p>
    <w:p w14:paraId="67649EAE" w14:textId="77777777" w:rsidR="00710ECC" w:rsidRDefault="00B1530F" w:rsidP="00710ECC">
      <w:r>
        <w:t>In der Fachliteratur werden unterschiedliche Definitionen</w:t>
      </w:r>
      <w:r w:rsidR="00AA201F">
        <w:t xml:space="preserve"> für den Begrif</w:t>
      </w:r>
      <w:r w:rsidR="009F7E60">
        <w:t>f Nanopartikel zug</w:t>
      </w:r>
      <w:r w:rsidR="00932C62">
        <w:t>runde gelegt</w:t>
      </w:r>
      <w:r w:rsidR="00AA201F">
        <w:t xml:space="preserve">. </w:t>
      </w:r>
      <w:r w:rsidR="00DB1011">
        <w:t>Die am weitesten gefasste Definition beinhaltet alle Partikel mit einem Durchmesser unterhalb eines Mikrometers</w:t>
      </w:r>
      <w:bookmarkStart w:id="84" w:name="_Ref277609525"/>
      <w:r w:rsidR="00DB1011">
        <w:rPr>
          <w:rStyle w:val="Endnotenzeichen"/>
        </w:rPr>
        <w:endnoteReference w:id="96"/>
      </w:r>
      <w:bookmarkEnd w:id="84"/>
      <w:r w:rsidR="00805278">
        <w:t>, während andere</w:t>
      </w:r>
      <w:r w:rsidR="001D4120">
        <w:t xml:space="preserve"> Quellen</w:t>
      </w:r>
      <w:r w:rsidR="00805278">
        <w:t xml:space="preserve"> den Bereich </w:t>
      </w:r>
      <w:r w:rsidR="00DB1011">
        <w:t>auf Partikelgrößen zwischen 1 nm bis</w:t>
      </w:r>
      <w:r w:rsidR="00805278">
        <w:t xml:space="preserve"> ca. 100 nm eingrenzen</w:t>
      </w:r>
      <w:r w:rsidR="00311FF2">
        <w:rPr>
          <w:rStyle w:val="Endnotenzeichen"/>
        </w:rPr>
        <w:endnoteReference w:id="97"/>
      </w:r>
      <w:r w:rsidR="00DB1011">
        <w:t>.</w:t>
      </w:r>
      <w:r>
        <w:t xml:space="preserve"> </w:t>
      </w:r>
      <w:r w:rsidR="00095C0D">
        <w:t>Dass die Verwendung von Polymernanopartikel</w:t>
      </w:r>
      <w:r w:rsidR="00805278">
        <w:t>n als Arzneistoffträger Vorteile für die perorale</w:t>
      </w:r>
      <w:r w:rsidR="00095C0D">
        <w:t xml:space="preserve"> Applikation von Peptid- und Proteinarznei</w:t>
      </w:r>
      <w:r w:rsidR="00E038FA">
        <w:t>stoffen bringt, wurde bereits gegen Ende der 1980er Jahre</w:t>
      </w:r>
      <w:r w:rsidR="00095C0D">
        <w:t xml:space="preserve"> von Damgé et al. gezeigt</w:t>
      </w:r>
      <w:r w:rsidR="00095C0D">
        <w:rPr>
          <w:rStyle w:val="Endnotenzeichen"/>
        </w:rPr>
        <w:endnoteReference w:id="98"/>
      </w:r>
      <w:r w:rsidR="00095C0D">
        <w:t xml:space="preserve">. </w:t>
      </w:r>
      <w:r w:rsidR="00E038FA">
        <w:t xml:space="preserve">Diabetische Ratten konnten </w:t>
      </w:r>
      <w:r w:rsidR="00EF13B3">
        <w:t>durch die perorale Gabe Insulin-</w:t>
      </w:r>
      <w:r w:rsidR="00E038FA">
        <w:t>beladener Polyalkylcyanoacrylat Nanopartikel erfolgreich therapiert werden. Im Gegensatz zur peroral applizierten Insulin-Lösung</w:t>
      </w:r>
      <w:r w:rsidR="00C46D0F">
        <w:t>, die nahezu keine Wirksamkeit zeigte</w:t>
      </w:r>
      <w:r w:rsidR="00461CC5">
        <w:t>,</w:t>
      </w:r>
      <w:r w:rsidR="00E038FA">
        <w:t xml:space="preserve"> konnte mithilfe der Nanoformulier</w:t>
      </w:r>
      <w:r w:rsidR="00932C62">
        <w:t xml:space="preserve">ung der Blutzuckerspiegel um 50 bis </w:t>
      </w:r>
      <w:r w:rsidR="00E038FA">
        <w:t>60% gesenkt werden.</w:t>
      </w:r>
      <w:r w:rsidR="00710ECC" w:rsidRPr="00710ECC">
        <w:t xml:space="preserve"> </w:t>
      </w:r>
    </w:p>
    <w:p w14:paraId="1A2856F3" w14:textId="77777777" w:rsidR="00E038FA" w:rsidRDefault="00710ECC" w:rsidP="00A94E15">
      <w:r>
        <w:t>Dass nanopartikuläre Trägersysteme in Fachkreisen als äußerst vielversprechend hinsichtlich der peroralen Gabe von Peptiden oder Proteinen bewertet werden, zeigt die hohe Zahl einschlägiger Veröffentlichungen in diesem Bereich</w:t>
      </w:r>
      <w:r>
        <w:rPr>
          <w:rStyle w:val="Endnotenzeichen"/>
        </w:rPr>
        <w:endnoteReference w:id="99"/>
      </w:r>
      <w:r>
        <w:t xml:space="preserve">. In den Jahren 2008 bis 2012 hatten 35% aller wissenschaftlichen Veröffentlichungen im Bereich orales </w:t>
      </w:r>
      <w:r w:rsidRPr="009C41CB">
        <w:rPr>
          <w:i/>
        </w:rPr>
        <w:t>Peptid Delivery</w:t>
      </w:r>
      <w:r>
        <w:t xml:space="preserve"> einen nanotechnologischen Ansatz zum Thema</w:t>
      </w:r>
      <w:r>
        <w:rPr>
          <w:rStyle w:val="Endnotenzeichen"/>
        </w:rPr>
        <w:endnoteReference w:id="100"/>
      </w:r>
      <w:r>
        <w:t>.</w:t>
      </w:r>
    </w:p>
    <w:p w14:paraId="189C64AC" w14:textId="77777777" w:rsidR="00820746" w:rsidRDefault="00461CC5" w:rsidP="00A94E15">
      <w:r>
        <w:lastRenderedPageBreak/>
        <w:t>Nanopartikel bieten hinsichtlich der peroralen Gabe</w:t>
      </w:r>
      <w:r w:rsidR="0043682D">
        <w:t xml:space="preserve"> von Peptidarzneistoffen</w:t>
      </w:r>
      <w:r w:rsidR="0012063F">
        <w:t xml:space="preserve"> </w:t>
      </w:r>
      <w:r w:rsidR="001D4120">
        <w:t>mehrere</w:t>
      </w:r>
      <w:r w:rsidR="0012063F">
        <w:t xml:space="preserve"> Vorteile. Sie schützen die labilen Substanzen</w:t>
      </w:r>
      <w:r w:rsidR="00A94E15">
        <w:t xml:space="preserve"> vor</w:t>
      </w:r>
      <w:r w:rsidR="007E50A9">
        <w:t xml:space="preserve"> einem Abbau durch Verdau</w:t>
      </w:r>
      <w:r w:rsidR="00710ECC">
        <w:t>ungsenzyme und können dazu verwendet werden</w:t>
      </w:r>
      <w:r w:rsidR="0012063F">
        <w:t xml:space="preserve"> auch schlecht permeable hydrophile Makromoleküle</w:t>
      </w:r>
      <w:r w:rsidR="00925575">
        <w:t xml:space="preserve"> unbeschadet</w:t>
      </w:r>
      <w:r w:rsidR="007E50A9">
        <w:t xml:space="preserve"> über die epitheliale Barriere</w:t>
      </w:r>
      <w:r w:rsidR="00710ECC">
        <w:t xml:space="preserve"> zu transportieren</w:t>
      </w:r>
      <w:r w:rsidR="00D16240" w:rsidRPr="007E50A9">
        <w:rPr>
          <w:vertAlign w:val="superscript"/>
        </w:rPr>
        <w:fldChar w:fldCharType="begin"/>
      </w:r>
      <w:r w:rsidR="007E50A9" w:rsidRPr="007E50A9">
        <w:rPr>
          <w:vertAlign w:val="superscript"/>
        </w:rPr>
        <w:instrText xml:space="preserve"> NOTEREF _Ref277609525 \h </w:instrText>
      </w:r>
      <w:r w:rsidR="00D16240" w:rsidRPr="007E50A9">
        <w:rPr>
          <w:vertAlign w:val="superscript"/>
        </w:rPr>
      </w:r>
      <w:r w:rsidR="00D16240" w:rsidRPr="007E50A9">
        <w:rPr>
          <w:vertAlign w:val="superscript"/>
        </w:rPr>
        <w:fldChar w:fldCharType="separate"/>
      </w:r>
      <w:r w:rsidR="00711AB8">
        <w:rPr>
          <w:vertAlign w:val="superscript"/>
        </w:rPr>
        <w:t>96</w:t>
      </w:r>
      <w:r w:rsidR="00D16240" w:rsidRPr="007E50A9">
        <w:rPr>
          <w:vertAlign w:val="superscript"/>
        </w:rPr>
        <w:fldChar w:fldCharType="end"/>
      </w:r>
      <w:r w:rsidR="007E50A9">
        <w:t>.</w:t>
      </w:r>
      <w:r w:rsidR="0012063F">
        <w:t xml:space="preserve"> Die </w:t>
      </w:r>
      <w:r w:rsidR="00F73857">
        <w:t xml:space="preserve">verzögerte </w:t>
      </w:r>
      <w:r w:rsidR="00710ECC">
        <w:t>Freisetzung der Wirkstoffe</w:t>
      </w:r>
      <w:r w:rsidR="0012063F">
        <w:t xml:space="preserve"> </w:t>
      </w:r>
      <w:r w:rsidR="00F73857">
        <w:t>aus den Partikeln erfolgt durch Abbau der Polymere im zentralen Kompartiment</w:t>
      </w:r>
      <w:r w:rsidR="00D16240">
        <w:fldChar w:fldCharType="begin"/>
      </w:r>
      <w:r w:rsidR="00F73857">
        <w:instrText xml:space="preserve"> NOTEREF _Ref282617672 \f \h </w:instrText>
      </w:r>
      <w:r w:rsidR="00D16240">
        <w:fldChar w:fldCharType="separate"/>
      </w:r>
      <w:r w:rsidR="00711AB8" w:rsidRPr="00711AB8">
        <w:rPr>
          <w:rStyle w:val="Endnotenzeichen"/>
        </w:rPr>
        <w:t>91</w:t>
      </w:r>
      <w:r w:rsidR="00D16240">
        <w:fldChar w:fldCharType="end"/>
      </w:r>
      <w:r w:rsidR="0012063F">
        <w:t>.</w:t>
      </w:r>
      <w:r w:rsidR="00F73857">
        <w:t xml:space="preserve"> Aus diesem Grund eignen sich ausschließlich bioabbaubare und untoxische Polymere als nanoskalige Arzneistoffträger.</w:t>
      </w:r>
      <w:r w:rsidR="0012063F">
        <w:t xml:space="preserve"> </w:t>
      </w:r>
      <w:r w:rsidR="007E50A9">
        <w:t xml:space="preserve">Mikropartikel hingegen </w:t>
      </w:r>
      <w:r w:rsidR="001D4120">
        <w:t xml:space="preserve">können nicht resorbiert werden und </w:t>
      </w:r>
      <w:r w:rsidR="007E50A9">
        <w:t>bieten</w:t>
      </w:r>
      <w:r w:rsidR="001D4120">
        <w:t xml:space="preserve"> daher</w:t>
      </w:r>
      <w:r w:rsidR="00A94E15">
        <w:t xml:space="preserve"> </w:t>
      </w:r>
      <w:r w:rsidR="001D4120">
        <w:t xml:space="preserve">auch </w:t>
      </w:r>
      <w:r w:rsidR="00A94E15">
        <w:t>keinen</w:t>
      </w:r>
      <w:r w:rsidR="007E50A9">
        <w:t xml:space="preserve"> ausreichenden Schutz vor einem </w:t>
      </w:r>
      <w:r w:rsidR="001D4120">
        <w:t>enzymatischen Abbau labiler Wirkstoffe. Der Arzneistoff muss</w:t>
      </w:r>
      <w:r w:rsidR="002A2ED8">
        <w:t xml:space="preserve"> wie bei allen herkömmlichen peroralen Darreichungsformen auch zunächst</w:t>
      </w:r>
      <w:r w:rsidR="001D4120">
        <w:t xml:space="preserve"> </w:t>
      </w:r>
      <w:r w:rsidR="007E50A9">
        <w:t>im</w:t>
      </w:r>
      <w:r w:rsidR="001D4120">
        <w:t xml:space="preserve"> Lumen freigesetzt werden, bevor er</w:t>
      </w:r>
      <w:r w:rsidR="007E50A9">
        <w:t xml:space="preserve"> absorbie</w:t>
      </w:r>
      <w:r w:rsidR="00925575">
        <w:t>rt werden kann</w:t>
      </w:r>
      <w:r w:rsidR="001D4120">
        <w:t xml:space="preserve">. </w:t>
      </w:r>
      <w:r w:rsidR="00925575">
        <w:t>Weiterhin wurde bereits darauf hingewiesen, dass Nanop</w:t>
      </w:r>
      <w:r w:rsidR="00F830BE">
        <w:t>artikel</w:t>
      </w:r>
      <w:r w:rsidR="00FF02A8">
        <w:t xml:space="preserve"> </w:t>
      </w:r>
      <w:r w:rsidR="00F830BE">
        <w:t>leichter</w:t>
      </w:r>
      <w:r w:rsidR="00925575">
        <w:t xml:space="preserve"> in die Mukusschicht</w:t>
      </w:r>
      <w:r w:rsidR="00F830BE">
        <w:t xml:space="preserve"> eindringen</w:t>
      </w:r>
      <w:r w:rsidR="00925575">
        <w:t xml:space="preserve"> können als Mikropartikel</w:t>
      </w:r>
      <w:r w:rsidR="00D16240">
        <w:fldChar w:fldCharType="begin"/>
      </w:r>
      <w:r w:rsidR="00820746">
        <w:instrText xml:space="preserve"> NOTEREF _Ref284194313 \f \h </w:instrText>
      </w:r>
      <w:r w:rsidR="00D16240">
        <w:fldChar w:fldCharType="separate"/>
      </w:r>
      <w:r w:rsidR="00711AB8" w:rsidRPr="00711AB8">
        <w:rPr>
          <w:rStyle w:val="Endnotenzeichen"/>
        </w:rPr>
        <w:t>88</w:t>
      </w:r>
      <w:r w:rsidR="00D16240">
        <w:fldChar w:fldCharType="end"/>
      </w:r>
      <w:r w:rsidR="00336F05">
        <w:t>.</w:t>
      </w:r>
      <w:r w:rsidR="00820746">
        <w:t xml:space="preserve"> Diesen Effekt kann man sich zunutze machen, um Arzneistoffe effektiv durch die Mukusschicht hindurch</w:t>
      </w:r>
      <w:r w:rsidR="002635B7">
        <w:t xml:space="preserve"> zum Epithel</w:t>
      </w:r>
      <w:r w:rsidR="00820746">
        <w:t xml:space="preserve"> zu transportieren.</w:t>
      </w:r>
    </w:p>
    <w:p w14:paraId="42CEDD65" w14:textId="77777777" w:rsidR="00932C62" w:rsidRDefault="00932C62" w:rsidP="00A94E15">
      <w:r>
        <w:t>Aus den genannten</w:t>
      </w:r>
      <w:r w:rsidR="00C31368">
        <w:t xml:space="preserve"> Gründen</w:t>
      </w:r>
      <w:r w:rsidR="00925575">
        <w:t xml:space="preserve"> tragen Nanopartikel zur Überwind</w:t>
      </w:r>
      <w:r>
        <w:t>ung der wesentlichen</w:t>
      </w:r>
      <w:r w:rsidR="00925575">
        <w:t xml:space="preserve"> intesti</w:t>
      </w:r>
      <w:r w:rsidR="00C31368">
        <w:t xml:space="preserve">nalen Barrieren für die Aufnahme peroral applizierter Peptidarzneistoffe bei und bieten </w:t>
      </w:r>
      <w:r w:rsidR="002A2ED8">
        <w:t xml:space="preserve">somit </w:t>
      </w:r>
      <w:r w:rsidR="00C31368">
        <w:t>ein hohes Potential zur Verbesserung der oralen Bioverfü</w:t>
      </w:r>
      <w:r w:rsidR="008D3D71">
        <w:t>gbarkeit dieser Substanzklasse.</w:t>
      </w:r>
    </w:p>
    <w:p w14:paraId="15104D67" w14:textId="77777777" w:rsidR="008D3D71" w:rsidRDefault="008D3D71" w:rsidP="00A94E15">
      <w:r>
        <w:t xml:space="preserve">Die Diskussion der für eine intestinale Resorption optimalen Partikelgröße erfolgt in der Einleitung zu Kapitel </w:t>
      </w:r>
      <w:r w:rsidR="00D16240">
        <w:fldChar w:fldCharType="begin"/>
      </w:r>
      <w:r>
        <w:instrText xml:space="preserve"> REF _Ref272961474 \n \h </w:instrText>
      </w:r>
      <w:r w:rsidR="00D16240">
        <w:fldChar w:fldCharType="separate"/>
      </w:r>
      <w:r w:rsidR="00711AB8">
        <w:t>4</w:t>
      </w:r>
      <w:r w:rsidR="00D16240">
        <w:fldChar w:fldCharType="end"/>
      </w:r>
      <w:r>
        <w:t xml:space="preserve"> dieser Arbeit.</w:t>
      </w:r>
    </w:p>
    <w:p w14:paraId="2D761680" w14:textId="77777777" w:rsidR="00C46D0F" w:rsidRDefault="009C41CB" w:rsidP="00A94E15">
      <w:r>
        <w:t>Teils subjektive</w:t>
      </w:r>
      <w:r w:rsidR="00313F5D">
        <w:t xml:space="preserve"> Bedenken der pharmazeutischen Hersteller</w:t>
      </w:r>
      <w:r>
        <w:t xml:space="preserve"> bezüglich toxikologischer Fragestellungen</w:t>
      </w:r>
      <w:r w:rsidR="00313F5D">
        <w:t xml:space="preserve"> und ein Mangel an gut reproduzierbaren und für eine industrielle Produktion geeigneten Herstellungsmethoden verhinderten bislang den Durchbruch der </w:t>
      </w:r>
      <w:r w:rsidR="00250D23">
        <w:t>Nanotechnologie in der Medizin</w:t>
      </w:r>
      <w:r w:rsidR="00313F5D">
        <w:t>.</w:t>
      </w:r>
    </w:p>
    <w:p w14:paraId="2649FB2D" w14:textId="77777777" w:rsidR="006A241B" w:rsidRDefault="00241838" w:rsidP="004E3178">
      <w:pPr>
        <w:pStyle w:val="berschrift3"/>
      </w:pPr>
      <w:bookmarkStart w:id="85" w:name="_Toc294380184"/>
      <w:r>
        <w:t>Diskussion – Strategien zur Bioverfügbarkeitsverbesserung</w:t>
      </w:r>
      <w:bookmarkEnd w:id="85"/>
    </w:p>
    <w:p w14:paraId="7F35BC8B" w14:textId="77777777" w:rsidR="00710ECC" w:rsidRDefault="00710ECC" w:rsidP="00710ECC">
      <w:r>
        <w:t>Isoliert gesehen brachten die in diesem Kapitel vorgestellten Strategien meist lediglich geringfügige Verbesserungen der oralen Bioverfügbarkeit. Erhebliche Fortschritte auf diesem Gebiet werden daher nur möglich sein, wenn mehrere dieser Konzepte bei der Entwicklung einer Formulierung gleichzeitig Anwendung finden. Dies setzt wiederum eine enge Zusammenarbeit von Spezialisten vielfältiger</w:t>
      </w:r>
      <w:r w:rsidR="00B02B80">
        <w:t xml:space="preserve"> wissenschaftlicher Disziplinen</w:t>
      </w:r>
      <w:r>
        <w:t xml:space="preserve"> wie beispielsweise der Chemie, der Molekularbiologie, der Medizin oder der Pharmazie voraus. Ein spezialisiertes Wissen in allen diesen Bereichen steht den innovativen Pharmaunternehmen meist jedoch nicht oder zumindest nicht schnell abrufbar zur Verfügung und die Zusammenstellung von Teams mit interdisziplinären Spezialisten und die Entwicklung hoch komplexer galenischer Formulierungen erfordert in der Regel viel Zeit und </w:t>
      </w:r>
      <w:r>
        <w:lastRenderedPageBreak/>
        <w:t xml:space="preserve">verursacht mitunter hohe Kosten. Beides steht den Interessen der Pharmaunternehmen entgegen, mit neuen Wirkstoffen möglichst schnell und ohne zusätzliche Entwicklungskosten in die klinische Erprobung zu gehen. Zugunsten eines möglichst schnellen Marktzuganges wird aus diesem Grund häufig auf altbewährte und oft suboptimale Formulierungen zurückgegriffen. </w:t>
      </w:r>
    </w:p>
    <w:p w14:paraId="4B8F2079" w14:textId="77777777" w:rsidR="00710ECC" w:rsidRDefault="00710ECC" w:rsidP="00710ECC">
      <w:r>
        <w:t>Um zukünftig tatsächlich bedeutende Erfolge auf dem Gebiet der Bioverfügbarkeits-verbesserung von Peptiden und Proteinen zu erzielen, ist eine enge Zusammenarbeit von Industrie und Forschun</w:t>
      </w:r>
      <w:r w:rsidR="00DF5DAD">
        <w:t>gsinstituten unabdingbar</w:t>
      </w:r>
      <w:r>
        <w:t xml:space="preserve">. Die Rahmenbedingungen für eine solche </w:t>
      </w:r>
      <w:r w:rsidR="00B12558">
        <w:t xml:space="preserve">interdisziplinäre </w:t>
      </w:r>
      <w:r>
        <w:t>Zusammenarbeit im Bereich der Grundlagenforschung können beispielsweise durch staatlich aufgelegte Förderprogramme geschaffen werden.</w:t>
      </w:r>
    </w:p>
    <w:p w14:paraId="4CDDA516" w14:textId="77777777" w:rsidR="006A241B" w:rsidRPr="00A94E15" w:rsidRDefault="00DF5DAD" w:rsidP="00A94E15">
      <w:r>
        <w:t>So wurde die vorliegende Arbeit</w:t>
      </w:r>
      <w:r w:rsidR="00710ECC">
        <w:t xml:space="preserve"> im Rahmen des vom Bundesministerium für Bildung und Forschung (BMBF) geförderten Verbundprojektes „PeTrA - </w:t>
      </w:r>
      <w:r w:rsidR="00710ECC" w:rsidRPr="00020319">
        <w:t>Plattform für effizienten epithelialen Transport für pharmazeutische Applikationen durch innovative partikuläre Trägersysteme</w:t>
      </w:r>
      <w:r w:rsidR="00710ECC">
        <w:t>“ angefertigt. Die Förderung zum Thema „</w:t>
      </w:r>
      <w:r w:rsidR="00710ECC" w:rsidRPr="00020319">
        <w:t>Effizienter Wirkstofftransport in biologischen Systemen – BioMatVital: BioTra</w:t>
      </w:r>
      <w:r w:rsidR="00710ECC">
        <w:t>nsporter“ erfolgte innerhalb des Förderprogramms „</w:t>
      </w:r>
      <w:r w:rsidR="00710ECC" w:rsidRPr="00020319">
        <w:t>Werkstoffinnovationen für In</w:t>
      </w:r>
      <w:r w:rsidR="00710ECC">
        <w:t>dustrie und Gesellschaft – WING“.</w:t>
      </w:r>
    </w:p>
    <w:p w14:paraId="6E1322BE" w14:textId="77777777" w:rsidR="00CF6F82" w:rsidRDefault="00371E7F" w:rsidP="00B90911">
      <w:pPr>
        <w:pStyle w:val="berschrift1"/>
      </w:pPr>
      <w:bookmarkStart w:id="86" w:name="_Toc294380185"/>
      <w:r w:rsidRPr="003B37C5">
        <w:t>Zielsetzung der Dissertation</w:t>
      </w:r>
      <w:bookmarkEnd w:id="86"/>
    </w:p>
    <w:p w14:paraId="6F28C67C" w14:textId="77777777" w:rsidR="004E39D5" w:rsidRDefault="00632FCF" w:rsidP="00045315">
      <w:r>
        <w:t>Ziel dieser Dissertation ist</w:t>
      </w:r>
      <w:r w:rsidR="0003226E">
        <w:t xml:space="preserve"> die</w:t>
      </w:r>
      <w:r w:rsidR="00D7277B">
        <w:t xml:space="preserve"> Verbesserung</w:t>
      </w:r>
      <w:r>
        <w:t xml:space="preserve"> der oralen</w:t>
      </w:r>
      <w:r w:rsidR="0003226E">
        <w:t xml:space="preserve"> Bioverfügbarkeit vo</w:t>
      </w:r>
      <w:r>
        <w:t>n Pep</w:t>
      </w:r>
      <w:r w:rsidR="00D7277B">
        <w:t>tidwirkstoffen mithilfe spezieller galenischer Formulieru</w:t>
      </w:r>
      <w:r w:rsidR="009C47F3">
        <w:t>ngen</w:t>
      </w:r>
      <w:r w:rsidR="002C0C50">
        <w:t xml:space="preserve"> mit</w:t>
      </w:r>
      <w:r w:rsidR="00DC6145">
        <w:t xml:space="preserve"> neu entwickelten funktionalen Hilfsstoffen</w:t>
      </w:r>
      <w:r w:rsidR="009C47F3">
        <w:t xml:space="preserve">. </w:t>
      </w:r>
      <w:r w:rsidR="007E4605">
        <w:t>Unter Berücksichtigung des Stands der Technik</w:t>
      </w:r>
      <w:r w:rsidR="009C47F3">
        <w:t xml:space="preserve"> wurde als zu verfolgende Strategie die Verwendung biokompatibler Polymernanopartikel al</w:t>
      </w:r>
      <w:r w:rsidR="00CA7DAB">
        <w:t>s Arzneistoffträger ausgewählt.</w:t>
      </w:r>
      <w:r w:rsidR="007E4605">
        <w:t xml:space="preserve"> Der eingekapselte Wirkstoff </w:t>
      </w:r>
      <w:r w:rsidR="00E3580C">
        <w:t>soll</w:t>
      </w:r>
      <w:r w:rsidR="007E4605">
        <w:t xml:space="preserve"> somit vor einem Abbau durch Verdauungsenzyme geschützt</w:t>
      </w:r>
      <w:r w:rsidR="00E3580C">
        <w:t xml:space="preserve"> werden</w:t>
      </w:r>
      <w:r w:rsidR="007E4605">
        <w:t xml:space="preserve"> und die Partikel </w:t>
      </w:r>
      <w:r w:rsidR="00E3580C">
        <w:t>sollen</w:t>
      </w:r>
      <w:r w:rsidR="007E4605">
        <w:t xml:space="preserve"> aufgrund ihrer geringen Größe zu einem verbesserten Transport über das Darmepithel bei</w:t>
      </w:r>
      <w:r w:rsidR="00E3580C">
        <w:t>tragen</w:t>
      </w:r>
      <w:r w:rsidR="00D16240">
        <w:fldChar w:fldCharType="begin"/>
      </w:r>
      <w:r w:rsidR="007E4605">
        <w:instrText xml:space="preserve"> NOTEREF _Ref277609525 \f \h </w:instrText>
      </w:r>
      <w:r w:rsidR="00D16240">
        <w:fldChar w:fldCharType="separate"/>
      </w:r>
      <w:r w:rsidR="00711AB8" w:rsidRPr="00711AB8">
        <w:rPr>
          <w:rStyle w:val="Endnotenzeichen"/>
        </w:rPr>
        <w:t>96</w:t>
      </w:r>
      <w:r w:rsidR="00D16240">
        <w:fldChar w:fldCharType="end"/>
      </w:r>
      <w:r w:rsidR="007E4605">
        <w:t>.</w:t>
      </w:r>
      <w:r w:rsidR="009F7E60">
        <w:t xml:space="preserve"> Auf diese Weise sollen die bedeutendste</w:t>
      </w:r>
      <w:r w:rsidR="000F2617">
        <w:t>n Barrrieren für eine effiziente</w:t>
      </w:r>
      <w:r w:rsidR="009F7E60">
        <w:t xml:space="preserve"> intestinale Resorption von Peptiden und Proteinen</w:t>
      </w:r>
      <w:r w:rsidR="005515CE">
        <w:t>, der Abbau der Wirkstoffe durch Verdauunngsenzyme und die geringe Permeabilität durch das Darmepithel,</w:t>
      </w:r>
      <w:r w:rsidR="009F7E60">
        <w:t xml:space="preserve"> überwunden werden.</w:t>
      </w:r>
    </w:p>
    <w:p w14:paraId="0A537FCE" w14:textId="77777777" w:rsidR="004E39D5" w:rsidRDefault="009C47F3" w:rsidP="00045315">
      <w:r>
        <w:t>Der Schwerpunkt dieser Arbeit liegt auf der Entwicklung und Charakterisierung po</w:t>
      </w:r>
      <w:r w:rsidR="004E39D5">
        <w:t>lymerer Partikelformulierungen, die zunächst aus handelsüblichen PLGA Polymeren und a</w:t>
      </w:r>
      <w:r w:rsidR="0053246D">
        <w:t>nsc</w:t>
      </w:r>
      <w:r w:rsidR="00D90DF8">
        <w:t>hließend aus neuen</w:t>
      </w:r>
      <w:r w:rsidR="004E39D5">
        <w:t xml:space="preserve"> Biopolymeren hergestellt werden soll</w:t>
      </w:r>
      <w:r w:rsidR="0053246D">
        <w:t>en. Ziel der Verwendung dieser neuen</w:t>
      </w:r>
      <w:r w:rsidR="004E39D5">
        <w:t xml:space="preserve"> Polymere ist die Verbesserung der Verkapselungseffizienz</w:t>
      </w:r>
      <w:r w:rsidR="0024599C">
        <w:t xml:space="preserve"> für hydrophile Peptidwirkstoffe</w:t>
      </w:r>
      <w:r w:rsidR="004E39D5">
        <w:t xml:space="preserve"> sowie die Einführung spezifischer Funktionalitäten hins</w:t>
      </w:r>
      <w:r w:rsidR="00CA7DAB">
        <w:t>ichtlich der Freisetzungseigenschaften</w:t>
      </w:r>
      <w:r w:rsidR="004E39D5">
        <w:t xml:space="preserve"> und einer Verbesse</w:t>
      </w:r>
      <w:r w:rsidR="0053246D">
        <w:t>r</w:t>
      </w:r>
      <w:r w:rsidR="004E39D5">
        <w:t>ung der inte</w:t>
      </w:r>
      <w:r w:rsidR="00A6732B">
        <w:t>stinalen Arzneistoffresorption.</w:t>
      </w:r>
      <w:r w:rsidR="007E4605">
        <w:t xml:space="preserve"> Eine möglic</w:t>
      </w:r>
      <w:r w:rsidR="00120F00">
        <w:t>hst hohe Bandbreite unterschiedlicher</w:t>
      </w:r>
      <w:r w:rsidR="007E4605">
        <w:t xml:space="preserve"> Funktionalitäten soll dadurch ermöglicht werden, dass die funktionstragenden Bausteine im Polymer variabel sind.</w:t>
      </w:r>
    </w:p>
    <w:p w14:paraId="405AC5F2" w14:textId="77777777" w:rsidR="00FD5B3F" w:rsidRDefault="004E39D5" w:rsidP="00045315">
      <w:r>
        <w:lastRenderedPageBreak/>
        <w:t xml:space="preserve">Die Herstellung wirkstoffbeladener Nanopartikel aus den neuen Polymeren </w:t>
      </w:r>
      <w:r w:rsidR="00A6732B">
        <w:t>soll durch Anpassung</w:t>
      </w:r>
      <w:r>
        <w:t xml:space="preserve"> literaturbekannte</w:t>
      </w:r>
      <w:r w:rsidR="00A6732B">
        <w:t>r Methoden</w:t>
      </w:r>
      <w:r>
        <w:t xml:space="preserve"> oder</w:t>
      </w:r>
      <w:r w:rsidR="00A6732B">
        <w:t xml:space="preserve"> durch Entwicklung neuer</w:t>
      </w:r>
      <w:r>
        <w:t xml:space="preserve"> </w:t>
      </w:r>
      <w:r w:rsidR="00A6732B">
        <w:t>Herstellungsmethoden realisiert werden</w:t>
      </w:r>
      <w:r>
        <w:t>.</w:t>
      </w:r>
      <w:r w:rsidR="00A6732B">
        <w:t xml:space="preserve"> </w:t>
      </w:r>
      <w:r w:rsidR="00CA7DAB">
        <w:t>Besond</w:t>
      </w:r>
      <w:r w:rsidR="00D90DF8">
        <w:t>ers zu berücksichtigen ist hierbei</w:t>
      </w:r>
      <w:r w:rsidR="00CA7DAB">
        <w:t>, dass die Methoden für labile Protein- und Peptidwirkstoffe geeigne</w:t>
      </w:r>
      <w:r w:rsidR="00FD5B3F">
        <w:t>t</w:t>
      </w:r>
      <w:r w:rsidR="00D90DF8">
        <w:t xml:space="preserve"> sein müssen</w:t>
      </w:r>
      <w:r w:rsidR="0024599C">
        <w:t>, weshalb ausschließlich</w:t>
      </w:r>
      <w:r w:rsidR="00FD5B3F">
        <w:t xml:space="preserve"> entsprechend materialschonend</w:t>
      </w:r>
      <w:r w:rsidR="0024599C">
        <w:t>e Prozessschritte in Frage kommen</w:t>
      </w:r>
      <w:r w:rsidR="00CA7DAB">
        <w:t xml:space="preserve">. </w:t>
      </w:r>
      <w:r w:rsidR="00A6732B">
        <w:t xml:space="preserve">Bei der Entwicklung der Herstellungsmethoden soll </w:t>
      </w:r>
      <w:r w:rsidR="00CA7DAB">
        <w:t xml:space="preserve">zudem </w:t>
      </w:r>
      <w:r w:rsidR="00FD5B3F">
        <w:t>ein besonderes Augenmerk auf deren</w:t>
      </w:r>
      <w:r w:rsidR="00A6732B">
        <w:t xml:space="preserve"> Übert</w:t>
      </w:r>
      <w:r w:rsidR="00FD5B3F">
        <w:t>ragbarkeit auf industrielle Produktion</w:t>
      </w:r>
      <w:r w:rsidR="00CA7DAB">
        <w:t>smaßstäbe gelegt werden.</w:t>
      </w:r>
      <w:r w:rsidR="00FD5B3F">
        <w:t xml:space="preserve"> Ziel ist es mindestens eine</w:t>
      </w:r>
      <w:r w:rsidR="00D90DF8">
        <w:t xml:space="preserve"> innovative und</w:t>
      </w:r>
      <w:r w:rsidR="00FD5B3F">
        <w:t xml:space="preserve"> industriell attraktive Methode zur Herstellung von Polymernanopartikeln in g</w:t>
      </w:r>
      <w:r w:rsidR="0024599C">
        <w:t xml:space="preserve">rößeren Maßstäben zu </w:t>
      </w:r>
      <w:r w:rsidR="00D90DF8">
        <w:t>entwickeln.</w:t>
      </w:r>
    </w:p>
    <w:p w14:paraId="7568B305" w14:textId="77777777" w:rsidR="00B71C4A" w:rsidRDefault="00E763BE" w:rsidP="00045315">
      <w:r>
        <w:t xml:space="preserve">Durch Analyse der </w:t>
      </w:r>
      <w:r w:rsidR="00A65381">
        <w:t>Fachliteratur unter Einbeziehung toxikologischer Fragestellungen wur</w:t>
      </w:r>
      <w:r w:rsidR="0097518C">
        <w:t>de die für das Vorhaben geeignete</w:t>
      </w:r>
      <w:r w:rsidR="00A65381">
        <w:t xml:space="preserve"> Partikelgröße auf einen Bereich zwischen 200 </w:t>
      </w:r>
      <w:r w:rsidR="0097518C">
        <w:t xml:space="preserve">nm </w:t>
      </w:r>
      <w:r w:rsidR="00A65381">
        <w:t>und 500 nm ei</w:t>
      </w:r>
      <w:r w:rsidR="00A01895">
        <w:t>ngegrenzt. N</w:t>
      </w:r>
      <w:r w:rsidR="00CC694F">
        <w:t>icht</w:t>
      </w:r>
      <w:r w:rsidR="00B71C4A">
        <w:t xml:space="preserve"> zuletzt</w:t>
      </w:r>
      <w:r w:rsidR="00CC694F">
        <w:t xml:space="preserve"> auch</w:t>
      </w:r>
      <w:r w:rsidR="00A01895">
        <w:t xml:space="preserve"> um</w:t>
      </w:r>
      <w:r w:rsidR="00E4638E">
        <w:t xml:space="preserve"> nano-spezifische toxische Wirkungen der Formulierungen</w:t>
      </w:r>
      <w:r w:rsidR="00A01895">
        <w:t xml:space="preserve"> ausschließen zu können</w:t>
      </w:r>
      <w:r w:rsidR="00CC694F">
        <w:t>,</w:t>
      </w:r>
      <w:r w:rsidR="00A01895">
        <w:t xml:space="preserve"> muss eine </w:t>
      </w:r>
      <w:r w:rsidR="00B71C4A">
        <w:t>Partikelherstellungsmethode</w:t>
      </w:r>
      <w:r w:rsidR="00A01895">
        <w:t xml:space="preserve"> bereitgestellt werden</w:t>
      </w:r>
      <w:r w:rsidR="00B71C4A">
        <w:t>, die</w:t>
      </w:r>
      <w:r w:rsidR="00FD5B3F">
        <w:t xml:space="preserve"> </w:t>
      </w:r>
      <w:r w:rsidR="00B71C4A">
        <w:t xml:space="preserve">eine </w:t>
      </w:r>
      <w:r w:rsidR="00FD5B3F">
        <w:t>möglichst exakte und gut reproduzierbar</w:t>
      </w:r>
      <w:r w:rsidR="00B71C4A">
        <w:t>e</w:t>
      </w:r>
      <w:r w:rsidR="00FD5B3F">
        <w:t xml:space="preserve"> Einstell</w:t>
      </w:r>
      <w:r w:rsidR="00B71C4A">
        <w:t>ung der Partikelgröße</w:t>
      </w:r>
      <w:r w:rsidR="00A01895">
        <w:t xml:space="preserve"> innerhalb dieses Zielb</w:t>
      </w:r>
      <w:r w:rsidR="00A65381">
        <w:t>ereiches</w:t>
      </w:r>
      <w:r w:rsidR="00B71C4A">
        <w:t xml:space="preserve"> mit möglichst enger Partikelgrößenverteilung erlaubt</w:t>
      </w:r>
      <w:r w:rsidR="00FD5B3F">
        <w:t>.</w:t>
      </w:r>
      <w:r w:rsidR="00A01895">
        <w:t xml:space="preserve"> Dies stellt eines der wichtigsten Ziele dieser Arbeit dar.</w:t>
      </w:r>
      <w:r w:rsidR="00A00C28">
        <w:t xml:space="preserve"> Um dieses Ziel zu erreichen,</w:t>
      </w:r>
      <w:r w:rsidR="00B71C4A">
        <w:t xml:space="preserve"> sollen unterschiedliche Geräte und Methodenvarianten evaluiert werden. Die Stabilität der Formulierungen soll durch Trocknung der </w:t>
      </w:r>
      <w:r w:rsidR="006A162A">
        <w:t>Partikels</w:t>
      </w:r>
      <w:r w:rsidR="00B71C4A">
        <w:t>uspensionen gewährleistet werden. Dazu sollen unterschiedliche Tro</w:t>
      </w:r>
      <w:r w:rsidR="0024599C">
        <w:t>cknungsmethoden hinsichtlich einer vollständigen</w:t>
      </w:r>
      <w:r w:rsidR="00B71C4A">
        <w:t xml:space="preserve"> Redispergierbarkeit der Nanopartikel</w:t>
      </w:r>
      <w:r w:rsidR="0024599C">
        <w:t xml:space="preserve"> in wässrigen Medien</w:t>
      </w:r>
      <w:r w:rsidR="00B71C4A">
        <w:t xml:space="preserve"> evaluiert und optimiert werden.</w:t>
      </w:r>
    </w:p>
    <w:p w14:paraId="4CA8CC6A" w14:textId="77777777" w:rsidR="00CC694F" w:rsidRDefault="009D47C3" w:rsidP="00045315">
      <w:r>
        <w:t>Die hergestellten und optimierten Partikelformulierungen sollen</w:t>
      </w:r>
      <w:r w:rsidR="004303D0">
        <w:t xml:space="preserve"> schließlich</w:t>
      </w:r>
      <w:r>
        <w:t xml:space="preserve"> mithilfe unterschiedlicher</w:t>
      </w:r>
      <w:r w:rsidR="006A162A">
        <w:t xml:space="preserve"> </w:t>
      </w:r>
      <w:r w:rsidR="006A162A" w:rsidRPr="006A162A">
        <w:rPr>
          <w:i/>
        </w:rPr>
        <w:t>in vitro</w:t>
      </w:r>
      <w:r w:rsidR="004303D0">
        <w:t>-</w:t>
      </w:r>
      <w:r w:rsidR="006A162A">
        <w:t>T</w:t>
      </w:r>
      <w:r w:rsidR="004303D0">
        <w:t>ests mit Zellkulturen</w:t>
      </w:r>
      <w:r w:rsidR="006A162A">
        <w:t xml:space="preserve"> </w:t>
      </w:r>
      <w:r>
        <w:t xml:space="preserve">charakterisiert werden, wobei lediglich die Auswertung und Interpretation der Daten, nicht jedoch die Etablierung und Durchführung dieser Tests </w:t>
      </w:r>
      <w:r w:rsidR="009E54DE">
        <w:t>Bestandteil dieser Arbeit sind</w:t>
      </w:r>
      <w:r w:rsidR="004303D0">
        <w:t>. Gleichermaßen</w:t>
      </w:r>
      <w:r>
        <w:t xml:space="preserve"> verhält es sich mit den </w:t>
      </w:r>
      <w:r w:rsidRPr="009D47C3">
        <w:rPr>
          <w:i/>
        </w:rPr>
        <w:t>in vivo</w:t>
      </w:r>
      <w:r w:rsidR="004303D0">
        <w:rPr>
          <w:i/>
        </w:rPr>
        <w:t>-</w:t>
      </w:r>
      <w:r>
        <w:t>Bioverfügbarkeitsstudien am Tiermodell, die schli</w:t>
      </w:r>
      <w:r w:rsidR="00CC694F">
        <w:t>eßlich das wichtigste Instrument zur Erfolgsbeurteilung des Vorhabens darstellen werden. Hierbei ist speziell zu beurteilen, ob die</w:t>
      </w:r>
      <w:r w:rsidR="004303D0">
        <w:t xml:space="preserve"> Formulierungen mit den</w:t>
      </w:r>
      <w:r w:rsidR="00CC694F">
        <w:t xml:space="preserve"> neu entwickelten Biopolymere</w:t>
      </w:r>
      <w:r w:rsidR="004303D0">
        <w:t>n</w:t>
      </w:r>
      <w:r w:rsidR="00CC694F">
        <w:t xml:space="preserve"> Vorteile gegenüber </w:t>
      </w:r>
      <w:r w:rsidR="0097518C">
        <w:t>der Ver</w:t>
      </w:r>
      <w:r w:rsidR="004303D0">
        <w:t>wendung handelsüblicher</w:t>
      </w:r>
      <w:r w:rsidR="00CC694F">
        <w:t xml:space="preserve"> b</w:t>
      </w:r>
      <w:r w:rsidR="004303D0">
        <w:t>ioabbaubarer Polyester</w:t>
      </w:r>
      <w:r w:rsidR="00CC694F">
        <w:t xml:space="preserve"> mit sich bringen.</w:t>
      </w:r>
      <w:r w:rsidR="004303D0">
        <w:t xml:space="preserve"> Zudem sollen die hergestellten Formulierungen</w:t>
      </w:r>
      <w:r w:rsidR="0024599C">
        <w:t xml:space="preserve"> be</w:t>
      </w:r>
      <w:r w:rsidR="0093257E">
        <w:t>züglich ihrer Bioverfügbarkeit</w:t>
      </w:r>
      <w:r w:rsidR="004303D0">
        <w:t xml:space="preserve"> im Vergleich zu einer </w:t>
      </w:r>
      <w:r w:rsidR="0024599C">
        <w:t>zugelassenen u</w:t>
      </w:r>
      <w:r w:rsidR="0097518C">
        <w:t>nd aktuell auf dem Markt befind</w:t>
      </w:r>
      <w:r w:rsidR="0024599C">
        <w:t>lichen peroralen Darreichungsform des gleichen Modellpeptids beurteilt werden.</w:t>
      </w:r>
      <w:r w:rsidR="000F2617">
        <w:t xml:space="preserve"> </w:t>
      </w:r>
      <w:r w:rsidR="00CC694F">
        <w:t>Als Modellpeptid zur Untersuchung der oralen Bioverfügbarkeit wird Desmopressin ausgewählt.</w:t>
      </w:r>
    </w:p>
    <w:p w14:paraId="02B6D341" w14:textId="77777777" w:rsidR="006A241B" w:rsidRDefault="006A241B" w:rsidP="00045315"/>
    <w:p w14:paraId="3AD328CC" w14:textId="77777777" w:rsidR="006A241B" w:rsidRDefault="006A241B" w:rsidP="00045315"/>
    <w:p w14:paraId="51D0FF30" w14:textId="77777777" w:rsidR="006A241B" w:rsidRPr="009D47C3" w:rsidRDefault="006A241B" w:rsidP="00045315"/>
    <w:p w14:paraId="59DAC68D" w14:textId="77777777" w:rsidR="00CF6F82" w:rsidRPr="003B37C5" w:rsidRDefault="00EF18FA" w:rsidP="00B90911">
      <w:pPr>
        <w:pStyle w:val="berschrift1"/>
      </w:pPr>
      <w:bookmarkStart w:id="87" w:name="_Ref269142974"/>
      <w:bookmarkStart w:id="88" w:name="_Toc294380186"/>
      <w:r w:rsidRPr="003B37C5">
        <w:lastRenderedPageBreak/>
        <w:t>Materialien</w:t>
      </w:r>
      <w:bookmarkEnd w:id="87"/>
      <w:bookmarkEnd w:id="88"/>
    </w:p>
    <w:p w14:paraId="39000190" w14:textId="77777777" w:rsidR="00C904F7" w:rsidRDefault="005C4647" w:rsidP="00B90911">
      <w:pPr>
        <w:pStyle w:val="berschrift2"/>
      </w:pPr>
      <w:r w:rsidRPr="00501895">
        <w:tab/>
      </w:r>
      <w:bookmarkStart w:id="89" w:name="_Toc294380187"/>
      <w:r w:rsidR="00322E64" w:rsidRPr="00501895">
        <w:t>Bioabbaubare Polyester als Arzneistoffträger</w:t>
      </w:r>
      <w:bookmarkEnd w:id="89"/>
    </w:p>
    <w:p w14:paraId="5048D232" w14:textId="77777777" w:rsidR="00AF4CF6" w:rsidRDefault="00FE4322" w:rsidP="00AF4CF6">
      <w:r>
        <w:t>In der vorliegenden Arbeit wurden bioabbaubare Polyester auf Basis von Polylactid und Polyglycolid als Arzneistoffträger verwendet.</w:t>
      </w:r>
      <w:r w:rsidR="00AF4CF6">
        <w:t xml:space="preserve"> </w:t>
      </w:r>
      <w:r w:rsidR="00BD7A5E">
        <w:t>Da ihre Anwendung</w:t>
      </w:r>
      <w:r>
        <w:t xml:space="preserve"> auch bei regelmäßiger Einnahme als sehr sicher</w:t>
      </w:r>
      <w:r w:rsidR="00710A13">
        <w:t xml:space="preserve"> gilt, wurden</w:t>
      </w:r>
      <w:r w:rsidR="00BD7A5E">
        <w:t xml:space="preserve"> PLGA Polymere von der FDA zur Verwendung als Hilfsstoffe in Arzneimitteln zugelassen</w:t>
      </w:r>
      <w:r w:rsidR="00D16240">
        <w:fldChar w:fldCharType="begin"/>
      </w:r>
      <w:r w:rsidR="00BD7A5E">
        <w:instrText xml:space="preserve"> NOTEREF _Ref275896201 \f \h </w:instrText>
      </w:r>
      <w:r w:rsidR="00D16240">
        <w:fldChar w:fldCharType="separate"/>
      </w:r>
      <w:r w:rsidR="00711AB8" w:rsidRPr="00711AB8">
        <w:rPr>
          <w:rStyle w:val="Endnotenzeichen"/>
        </w:rPr>
        <w:t>123</w:t>
      </w:r>
      <w:r w:rsidR="00D16240">
        <w:fldChar w:fldCharType="end"/>
      </w:r>
      <w:r w:rsidR="00BD7A5E">
        <w:t>. Zudem</w:t>
      </w:r>
      <w:r>
        <w:t xml:space="preserve"> liegt</w:t>
      </w:r>
      <w:r w:rsidR="00BD7A5E">
        <w:t xml:space="preserve"> in der Fachliteratur</w:t>
      </w:r>
      <w:r>
        <w:t xml:space="preserve"> ein großer Erfahrungsschatz bez</w:t>
      </w:r>
      <w:r w:rsidR="00260505">
        <w:t>üglich der Mikroverkapselung von Wirkstoffen mit diesen Polymeren</w:t>
      </w:r>
      <w:r>
        <w:t xml:space="preserve"> vor, auf den bei der Methodenentwicklung zurückgegriffen werden konnte.</w:t>
      </w:r>
      <w:r w:rsidR="00710A13">
        <w:t xml:space="preserve"> Eine Veröffentlichung von Makadia et al. gibt einen guten Überblick über einige der am häufigsten angewendeten Verkapselungsmethoden von Wirkstoffe</w:t>
      </w:r>
      <w:r w:rsidR="002635B7">
        <w:t>n</w:t>
      </w:r>
      <w:r w:rsidR="00710A13">
        <w:t xml:space="preserve"> in PLGA</w:t>
      </w:r>
      <w:r w:rsidR="00D16240">
        <w:fldChar w:fldCharType="begin"/>
      </w:r>
      <w:r w:rsidR="00710A13">
        <w:instrText xml:space="preserve"> NOTEREF _Ref275896201 \f \h </w:instrText>
      </w:r>
      <w:r w:rsidR="00D16240">
        <w:fldChar w:fldCharType="separate"/>
      </w:r>
      <w:r w:rsidR="00711AB8" w:rsidRPr="00711AB8">
        <w:rPr>
          <w:rStyle w:val="Endnotenzeichen"/>
        </w:rPr>
        <w:t>123</w:t>
      </w:r>
      <w:r w:rsidR="00D16240">
        <w:fldChar w:fldCharType="end"/>
      </w:r>
      <w:r w:rsidR="00710A13">
        <w:t>.</w:t>
      </w:r>
      <w:r w:rsidR="00D53ECE">
        <w:t xml:space="preserve"> Da e</w:t>
      </w:r>
      <w:r w:rsidR="001B186A">
        <w:t>s bei der peroralen Einnahme von Nanopartikeln</w:t>
      </w:r>
      <w:r w:rsidR="00D53ECE">
        <w:t xml:space="preserve"> zu einer systemischen Aufnahme der Trägerpolymere </w:t>
      </w:r>
      <w:r w:rsidR="000B55BD">
        <w:t>kommen kann, stellt</w:t>
      </w:r>
      <w:r w:rsidR="00D53ECE">
        <w:t xml:space="preserve"> </w:t>
      </w:r>
      <w:r w:rsidR="000B55BD">
        <w:t xml:space="preserve">die </w:t>
      </w:r>
      <w:r w:rsidR="00D53ECE">
        <w:t xml:space="preserve">Bioabbaubarkeit der verwendeten Materialen eine </w:t>
      </w:r>
      <w:r w:rsidR="005F48A5">
        <w:t xml:space="preserve">wichtige </w:t>
      </w:r>
      <w:r w:rsidR="00D53ECE">
        <w:t>Grundvoraussetzung</w:t>
      </w:r>
      <w:r w:rsidR="00710A13">
        <w:t xml:space="preserve"> bei der Auswahl der Materialien</w:t>
      </w:r>
      <w:r w:rsidR="000B55BD">
        <w:t xml:space="preserve"> dar</w:t>
      </w:r>
      <w:r w:rsidR="00BD7A5E">
        <w:rPr>
          <w:rStyle w:val="Endnotenzeichen"/>
        </w:rPr>
        <w:endnoteReference w:id="101"/>
      </w:r>
      <w:r w:rsidR="005C3189">
        <w:t>.</w:t>
      </w:r>
    </w:p>
    <w:p w14:paraId="14B49CB0" w14:textId="77777777" w:rsidR="00711AB8" w:rsidRDefault="006B49D2" w:rsidP="00711AB8">
      <w:pPr>
        <w:spacing w:after="0"/>
        <w:contextualSpacing/>
        <w:rPr>
          <w:noProof/>
        </w:rPr>
      </w:pPr>
      <w:r>
        <w:t>Zur Erstellung einer Referenzformulierung</w:t>
      </w:r>
      <w:r w:rsidR="00EA6069">
        <w:t xml:space="preserve"> un</w:t>
      </w:r>
      <w:r w:rsidR="00D310ED">
        <w:t>d zur Methodenentwicklung wurde mit</w:t>
      </w:r>
      <w:r w:rsidR="00EA6069">
        <w:t xml:space="preserve"> </w:t>
      </w:r>
      <w:r w:rsidR="00D310ED">
        <w:t xml:space="preserve">den in </w:t>
      </w:r>
      <w:r w:rsidR="00D16240">
        <w:rPr>
          <w:b/>
          <w:bCs/>
          <w:sz w:val="18"/>
          <w:szCs w:val="18"/>
        </w:rPr>
        <w:fldChar w:fldCharType="begin"/>
      </w:r>
      <w:r w:rsidR="00864F62">
        <w:instrText xml:space="preserve"> REF _Ref271830512 \h </w:instrText>
      </w:r>
      <w:r w:rsidR="00101927">
        <w:instrText xml:space="preserve"> \* MERGEFORMAT </w:instrText>
      </w:r>
      <w:r w:rsidR="00D16240">
        <w:rPr>
          <w:b/>
          <w:bCs/>
          <w:sz w:val="18"/>
          <w:szCs w:val="18"/>
        </w:rPr>
      </w:r>
      <w:r w:rsidR="00D16240">
        <w:rPr>
          <w:b/>
          <w:bCs/>
          <w:sz w:val="18"/>
          <w:szCs w:val="18"/>
        </w:rPr>
        <w:fldChar w:fldCharType="separate"/>
      </w:r>
    </w:p>
    <w:p w14:paraId="6FEBBB37" w14:textId="77777777" w:rsidR="00AE009B" w:rsidRDefault="00711AB8" w:rsidP="00415A2D">
      <w:pPr>
        <w:spacing w:after="0"/>
        <w:contextualSpacing/>
      </w:pPr>
      <w:r w:rsidRPr="00864F62">
        <w:rPr>
          <w:noProof/>
        </w:rPr>
        <w:t xml:space="preserve">Tabelle </w:t>
      </w:r>
      <w:r>
        <w:rPr>
          <w:noProof/>
        </w:rPr>
        <w:t>5</w:t>
      </w:r>
      <w:r w:rsidR="00D16240">
        <w:fldChar w:fldCharType="end"/>
      </w:r>
      <w:r w:rsidR="00C36548">
        <w:t xml:space="preserve"> aufgelisteten</w:t>
      </w:r>
      <w:r w:rsidR="00D310ED">
        <w:t xml:space="preserve"> </w:t>
      </w:r>
      <w:r w:rsidR="00EA6069">
        <w:t>handels</w:t>
      </w:r>
      <w:r w:rsidR="00C85176">
        <w:t xml:space="preserve">üblichen PLGA </w:t>
      </w:r>
      <w:r w:rsidR="00D310ED">
        <w:t>Polymeren gearbeitet.</w:t>
      </w:r>
    </w:p>
    <w:p w14:paraId="417A1E6C" w14:textId="77777777" w:rsidR="00B240B0" w:rsidRDefault="00B240B0" w:rsidP="00B240B0">
      <w:pPr>
        <w:pStyle w:val="Beschriftung"/>
        <w:ind w:firstLine="0"/>
      </w:pPr>
      <w:bookmarkStart w:id="90" w:name="_Ref271830512"/>
    </w:p>
    <w:p w14:paraId="04EDEF61" w14:textId="77777777" w:rsidR="00864F62" w:rsidRPr="00864F62" w:rsidRDefault="00864F62" w:rsidP="00B240B0">
      <w:pPr>
        <w:pStyle w:val="Beschriftung"/>
        <w:ind w:firstLine="0"/>
        <w:rPr>
          <w:b w:val="0"/>
        </w:rPr>
      </w:pPr>
      <w:r w:rsidRPr="00864F62">
        <w:t xml:space="preserve">Tabelle </w:t>
      </w:r>
      <w:fldSimple w:instr=" SEQ Tabelle \* ARABIC ">
        <w:r w:rsidR="00711AB8">
          <w:rPr>
            <w:noProof/>
          </w:rPr>
          <w:t>5</w:t>
        </w:r>
      </w:fldSimple>
      <w:bookmarkEnd w:id="90"/>
      <w:r>
        <w:t xml:space="preserve"> </w:t>
      </w:r>
      <w:r>
        <w:rPr>
          <w:b w:val="0"/>
        </w:rPr>
        <w:t>PLGA Polymere für die Formulierung von wirkstoffbeladenen Nanopartikeln</w:t>
      </w:r>
      <w:r w:rsidR="00501E8E">
        <w:rPr>
          <w:b w:val="0"/>
        </w:rPr>
        <w:t>; Quelle</w:t>
      </w:r>
      <w:r w:rsidR="00AE009B">
        <w:rPr>
          <w:b w:val="0"/>
        </w:rPr>
        <w:t>n</w:t>
      </w:r>
      <w:r w:rsidR="00501E8E">
        <w:rPr>
          <w:b w:val="0"/>
        </w:rPr>
        <w:t xml:space="preserve">: </w:t>
      </w:r>
      <w:r w:rsidR="00AE009B" w:rsidRPr="00AE009B">
        <w:rPr>
          <w:b w:val="0"/>
        </w:rPr>
        <w:t>1</w:t>
      </w:r>
      <w:r w:rsidR="00AE009B">
        <w:rPr>
          <w:b w:val="0"/>
        </w:rPr>
        <w:t xml:space="preserve">: </w:t>
      </w:r>
      <w:r w:rsidR="00501E8E">
        <w:rPr>
          <w:b w:val="0"/>
        </w:rPr>
        <w:t>Produktbr</w:t>
      </w:r>
      <w:r w:rsidR="0048722D">
        <w:rPr>
          <w:b w:val="0"/>
        </w:rPr>
        <w:t>oschüre von Sigma Aldrich</w:t>
      </w:r>
      <w:r w:rsidR="00AE009B">
        <w:rPr>
          <w:b w:val="0"/>
        </w:rPr>
        <w:t xml:space="preserve"> „RESOMER</w:t>
      </w:r>
      <w:r w:rsidR="00C85176">
        <w:rPr>
          <w:rFonts w:eastAsia="Times New Roman" w:cs="Times New Roman"/>
          <w:vertAlign w:val="superscript"/>
          <w:lang w:eastAsia="de-DE"/>
        </w:rPr>
        <w:t>®</w:t>
      </w:r>
      <w:r w:rsidR="00AE009B">
        <w:rPr>
          <w:b w:val="0"/>
        </w:rPr>
        <w:t xml:space="preserve"> </w:t>
      </w:r>
      <w:r w:rsidR="00AE009B" w:rsidRPr="00AE009B">
        <w:rPr>
          <w:b w:val="0"/>
        </w:rPr>
        <w:t>Biodegradable Polymers for Medical Device Applications Research</w:t>
      </w:r>
      <w:r w:rsidR="00AE009B">
        <w:rPr>
          <w:b w:val="0"/>
        </w:rPr>
        <w:t xml:space="preserve">“ und </w:t>
      </w:r>
      <w:r w:rsidR="00AE009B" w:rsidRPr="00AE009B">
        <w:rPr>
          <w:b w:val="0"/>
        </w:rPr>
        <w:t>2</w:t>
      </w:r>
      <w:r w:rsidR="00AE009B">
        <w:rPr>
          <w:b w:val="0"/>
        </w:rPr>
        <w:t>: Middleton et al. 1998</w:t>
      </w:r>
      <w:r w:rsidR="00AE009B">
        <w:rPr>
          <w:rStyle w:val="Endnotenzeichen"/>
          <w:b w:val="0"/>
        </w:rPr>
        <w:endnoteReference w:id="102"/>
      </w:r>
      <w:r w:rsidR="00AE009B">
        <w:rPr>
          <w:b w:val="0"/>
        </w:rPr>
        <w:t>.</w:t>
      </w:r>
    </w:p>
    <w:tbl>
      <w:tblPr>
        <w:tblStyle w:val="Tabellenraster"/>
        <w:tblW w:w="9250" w:type="dxa"/>
        <w:jc w:val="center"/>
        <w:tblInd w:w="143" w:type="dxa"/>
        <w:tblLayout w:type="fixed"/>
        <w:tblLook w:val="04A0" w:firstRow="1" w:lastRow="0" w:firstColumn="1" w:lastColumn="0" w:noHBand="0" w:noVBand="1"/>
      </w:tblPr>
      <w:tblGrid>
        <w:gridCol w:w="1950"/>
        <w:gridCol w:w="1843"/>
        <w:gridCol w:w="1630"/>
        <w:gridCol w:w="1843"/>
        <w:gridCol w:w="1984"/>
      </w:tblGrid>
      <w:tr w:rsidR="00D310ED" w:rsidRPr="00A0224A" w14:paraId="3E80D1B8" w14:textId="77777777" w:rsidTr="00D13063">
        <w:trPr>
          <w:jc w:val="center"/>
        </w:trPr>
        <w:tc>
          <w:tcPr>
            <w:tcW w:w="1950" w:type="dxa"/>
            <w:tcBorders>
              <w:top w:val="single" w:sz="8" w:space="0" w:color="auto"/>
              <w:left w:val="single" w:sz="8" w:space="0" w:color="auto"/>
              <w:bottom w:val="single" w:sz="8" w:space="0" w:color="auto"/>
              <w:right w:val="single" w:sz="8" w:space="0" w:color="auto"/>
            </w:tcBorders>
            <w:shd w:val="clear" w:color="auto" w:fill="E6E6E6"/>
            <w:vAlign w:val="bottom"/>
          </w:tcPr>
          <w:p w14:paraId="3704FD0F" w14:textId="77777777" w:rsidR="00D310ED" w:rsidRPr="006A55B4" w:rsidRDefault="00D310ED" w:rsidP="00D13063">
            <w:pPr>
              <w:spacing w:after="120" w:line="240" w:lineRule="auto"/>
              <w:jc w:val="center"/>
              <w:rPr>
                <w:rFonts w:eastAsia="Times New Roman" w:cs="Times New Roman"/>
                <w:b/>
                <w:sz w:val="20"/>
                <w:szCs w:val="20"/>
                <w:lang w:eastAsia="de-DE"/>
              </w:rPr>
            </w:pPr>
            <w:r w:rsidRPr="006A55B4">
              <w:rPr>
                <w:rFonts w:eastAsia="Times New Roman" w:cs="Times New Roman"/>
                <w:b/>
                <w:sz w:val="20"/>
                <w:szCs w:val="20"/>
                <w:lang w:eastAsia="de-DE"/>
              </w:rPr>
              <w:t>PLGA Typ</w:t>
            </w:r>
          </w:p>
        </w:tc>
        <w:tc>
          <w:tcPr>
            <w:tcW w:w="1843" w:type="dxa"/>
            <w:tcBorders>
              <w:top w:val="single" w:sz="8" w:space="0" w:color="auto"/>
              <w:left w:val="single" w:sz="8" w:space="0" w:color="auto"/>
              <w:bottom w:val="single" w:sz="8" w:space="0" w:color="auto"/>
              <w:right w:val="single" w:sz="8" w:space="0" w:color="auto"/>
            </w:tcBorders>
            <w:shd w:val="clear" w:color="auto" w:fill="E6E6E6"/>
            <w:vAlign w:val="bottom"/>
          </w:tcPr>
          <w:p w14:paraId="556CF15A" w14:textId="77777777" w:rsidR="00D310ED" w:rsidRPr="00AE009B" w:rsidRDefault="00D310ED" w:rsidP="00D13063">
            <w:pPr>
              <w:spacing w:after="120" w:line="240" w:lineRule="auto"/>
              <w:jc w:val="center"/>
              <w:rPr>
                <w:rFonts w:eastAsia="Times New Roman" w:cs="Times New Roman"/>
                <w:b/>
                <w:sz w:val="20"/>
                <w:szCs w:val="20"/>
                <w:vertAlign w:val="superscript"/>
                <w:lang w:eastAsia="de-DE"/>
              </w:rPr>
            </w:pPr>
            <w:r w:rsidRPr="006A55B4">
              <w:rPr>
                <w:rFonts w:eastAsia="Times New Roman" w:cs="Times New Roman"/>
                <w:b/>
                <w:sz w:val="20"/>
                <w:szCs w:val="20"/>
                <w:lang w:eastAsia="de-DE"/>
              </w:rPr>
              <w:t>MW</w:t>
            </w:r>
            <w:r w:rsidR="009822FE">
              <w:rPr>
                <w:rFonts w:eastAsia="Times New Roman" w:cs="Times New Roman"/>
                <w:b/>
                <w:sz w:val="20"/>
                <w:szCs w:val="20"/>
                <w:vertAlign w:val="superscript"/>
                <w:lang w:eastAsia="de-DE"/>
              </w:rPr>
              <w:t>1</w:t>
            </w:r>
            <w:r w:rsidRPr="006A55B4">
              <w:rPr>
                <w:rFonts w:eastAsia="Times New Roman" w:cs="Times New Roman"/>
                <w:b/>
                <w:sz w:val="20"/>
                <w:szCs w:val="20"/>
                <w:lang w:eastAsia="de-DE"/>
              </w:rPr>
              <w:t xml:space="preserve"> [g/mol]</w:t>
            </w:r>
          </w:p>
        </w:tc>
        <w:tc>
          <w:tcPr>
            <w:tcW w:w="1630" w:type="dxa"/>
            <w:tcBorders>
              <w:top w:val="single" w:sz="8" w:space="0" w:color="auto"/>
              <w:left w:val="single" w:sz="8" w:space="0" w:color="auto"/>
              <w:bottom w:val="single" w:sz="8" w:space="0" w:color="auto"/>
              <w:right w:val="single" w:sz="8" w:space="0" w:color="auto"/>
            </w:tcBorders>
            <w:shd w:val="clear" w:color="auto" w:fill="E6E6E6"/>
            <w:vAlign w:val="bottom"/>
          </w:tcPr>
          <w:p w14:paraId="4F73FFC8" w14:textId="77777777" w:rsidR="00D310ED" w:rsidRPr="00AE009B" w:rsidRDefault="00D310ED" w:rsidP="00D13063">
            <w:pPr>
              <w:spacing w:after="120" w:line="240" w:lineRule="auto"/>
              <w:jc w:val="center"/>
              <w:rPr>
                <w:rFonts w:eastAsia="Times New Roman" w:cs="Times New Roman"/>
                <w:b/>
                <w:sz w:val="20"/>
                <w:szCs w:val="20"/>
                <w:vertAlign w:val="superscript"/>
                <w:lang w:eastAsia="de-DE"/>
              </w:rPr>
            </w:pPr>
            <w:r w:rsidRPr="006A55B4">
              <w:rPr>
                <w:rFonts w:eastAsia="Times New Roman" w:cs="Times New Roman"/>
                <w:b/>
                <w:sz w:val="20"/>
                <w:szCs w:val="20"/>
                <w:lang w:eastAsia="de-DE"/>
              </w:rPr>
              <w:t>Glycolid-Anteil</w:t>
            </w:r>
            <w:r w:rsidR="00AE009B">
              <w:rPr>
                <w:rFonts w:eastAsia="Times New Roman" w:cs="Times New Roman"/>
                <w:b/>
                <w:sz w:val="20"/>
                <w:szCs w:val="20"/>
                <w:vertAlign w:val="superscript"/>
                <w:lang w:eastAsia="de-DE"/>
              </w:rPr>
              <w:t>1</w:t>
            </w:r>
          </w:p>
        </w:tc>
        <w:tc>
          <w:tcPr>
            <w:tcW w:w="1843" w:type="dxa"/>
            <w:tcBorders>
              <w:top w:val="single" w:sz="8" w:space="0" w:color="auto"/>
              <w:left w:val="single" w:sz="8" w:space="0" w:color="auto"/>
              <w:bottom w:val="single" w:sz="8" w:space="0" w:color="auto"/>
              <w:right w:val="single" w:sz="8" w:space="0" w:color="auto"/>
            </w:tcBorders>
            <w:shd w:val="clear" w:color="auto" w:fill="E6E6E6"/>
            <w:vAlign w:val="bottom"/>
          </w:tcPr>
          <w:p w14:paraId="30287FB0" w14:textId="77777777" w:rsidR="00D310ED" w:rsidRPr="00AE009B" w:rsidRDefault="00303412" w:rsidP="00D13063">
            <w:pPr>
              <w:spacing w:after="120" w:line="240" w:lineRule="auto"/>
              <w:jc w:val="center"/>
              <w:rPr>
                <w:rFonts w:eastAsia="Times New Roman" w:cs="Times New Roman"/>
                <w:b/>
                <w:sz w:val="20"/>
                <w:szCs w:val="20"/>
                <w:vertAlign w:val="superscript"/>
                <w:lang w:eastAsia="de-DE"/>
              </w:rPr>
            </w:pPr>
            <w:r w:rsidRPr="006A55B4">
              <w:rPr>
                <w:rFonts w:eastAsia="Times New Roman" w:cs="Times New Roman"/>
                <w:b/>
                <w:sz w:val="20"/>
                <w:szCs w:val="20"/>
                <w:lang w:eastAsia="de-DE"/>
              </w:rPr>
              <w:t>Abbauzeit</w:t>
            </w:r>
            <w:r w:rsidR="00AE009B">
              <w:rPr>
                <w:rFonts w:eastAsia="Times New Roman" w:cs="Times New Roman"/>
                <w:b/>
                <w:sz w:val="20"/>
                <w:szCs w:val="20"/>
                <w:vertAlign w:val="superscript"/>
                <w:lang w:eastAsia="de-DE"/>
              </w:rPr>
              <w:t>2</w:t>
            </w:r>
          </w:p>
        </w:tc>
        <w:tc>
          <w:tcPr>
            <w:tcW w:w="1984" w:type="dxa"/>
            <w:tcBorders>
              <w:top w:val="single" w:sz="8" w:space="0" w:color="auto"/>
              <w:left w:val="single" w:sz="8" w:space="0" w:color="auto"/>
              <w:bottom w:val="single" w:sz="8" w:space="0" w:color="auto"/>
              <w:right w:val="single" w:sz="8" w:space="0" w:color="auto"/>
            </w:tcBorders>
            <w:shd w:val="clear" w:color="auto" w:fill="E6E6E6"/>
            <w:vAlign w:val="bottom"/>
          </w:tcPr>
          <w:p w14:paraId="1CB74939" w14:textId="77777777" w:rsidR="00D310ED" w:rsidRPr="00AE009B" w:rsidRDefault="00303412" w:rsidP="00D13063">
            <w:pPr>
              <w:spacing w:after="120" w:line="240" w:lineRule="auto"/>
              <w:jc w:val="center"/>
              <w:rPr>
                <w:rFonts w:eastAsia="Times New Roman" w:cs="Times New Roman"/>
                <w:b/>
                <w:sz w:val="20"/>
                <w:szCs w:val="20"/>
                <w:vertAlign w:val="superscript"/>
                <w:lang w:eastAsia="de-DE"/>
              </w:rPr>
            </w:pPr>
            <w:r w:rsidRPr="006A55B4">
              <w:rPr>
                <w:rFonts w:eastAsia="Times New Roman" w:cs="Times New Roman"/>
                <w:b/>
                <w:sz w:val="20"/>
                <w:szCs w:val="20"/>
                <w:lang w:eastAsia="de-DE"/>
              </w:rPr>
              <w:t>Endgruppe</w:t>
            </w:r>
            <w:r w:rsidR="00AE009B">
              <w:rPr>
                <w:rFonts w:eastAsia="Times New Roman" w:cs="Times New Roman"/>
                <w:b/>
                <w:sz w:val="20"/>
                <w:szCs w:val="20"/>
                <w:vertAlign w:val="superscript"/>
                <w:lang w:eastAsia="de-DE"/>
              </w:rPr>
              <w:t>1</w:t>
            </w:r>
          </w:p>
        </w:tc>
      </w:tr>
      <w:tr w:rsidR="00D310ED" w:rsidRPr="00A0224A" w14:paraId="096D3602" w14:textId="77777777" w:rsidTr="00A00C28">
        <w:trPr>
          <w:trHeight w:val="397"/>
          <w:jc w:val="center"/>
        </w:trPr>
        <w:tc>
          <w:tcPr>
            <w:tcW w:w="1950" w:type="dxa"/>
            <w:tcBorders>
              <w:top w:val="single" w:sz="8" w:space="0" w:color="auto"/>
              <w:left w:val="single" w:sz="8" w:space="0" w:color="auto"/>
            </w:tcBorders>
            <w:vAlign w:val="bottom"/>
          </w:tcPr>
          <w:p w14:paraId="6EFA5AA8" w14:textId="77777777" w:rsidR="00D310ED" w:rsidRPr="006A55B4" w:rsidRDefault="00D310ED" w:rsidP="00A00C28">
            <w:pPr>
              <w:spacing w:after="120" w:line="240" w:lineRule="auto"/>
              <w:jc w:val="center"/>
              <w:rPr>
                <w:rFonts w:eastAsia="Times New Roman" w:cs="Times New Roman"/>
                <w:sz w:val="18"/>
                <w:szCs w:val="18"/>
                <w:lang w:eastAsia="de-DE"/>
              </w:rPr>
            </w:pPr>
            <w:r w:rsidRPr="006A55B4">
              <w:rPr>
                <w:rFonts w:eastAsia="Times New Roman" w:cs="Times New Roman"/>
                <w:sz w:val="18"/>
                <w:szCs w:val="18"/>
                <w:lang w:eastAsia="de-DE"/>
              </w:rPr>
              <w:t>Resomer</w:t>
            </w:r>
            <w:r w:rsidR="00C85176">
              <w:rPr>
                <w:rFonts w:eastAsia="Times New Roman" w:cs="Times New Roman"/>
                <w:sz w:val="18"/>
                <w:szCs w:val="18"/>
                <w:vertAlign w:val="superscript"/>
                <w:lang w:eastAsia="de-DE"/>
              </w:rPr>
              <w:t>®</w:t>
            </w:r>
            <w:r w:rsidRPr="006A55B4">
              <w:rPr>
                <w:rFonts w:eastAsia="Times New Roman" w:cs="Times New Roman"/>
                <w:sz w:val="18"/>
                <w:szCs w:val="18"/>
                <w:lang w:eastAsia="de-DE"/>
              </w:rPr>
              <w:t xml:space="preserve"> RG 503 H</w:t>
            </w:r>
          </w:p>
        </w:tc>
        <w:tc>
          <w:tcPr>
            <w:tcW w:w="1843" w:type="dxa"/>
            <w:tcBorders>
              <w:top w:val="single" w:sz="8" w:space="0" w:color="auto"/>
            </w:tcBorders>
            <w:vAlign w:val="bottom"/>
          </w:tcPr>
          <w:p w14:paraId="1574BE91" w14:textId="77777777" w:rsidR="00D310ED" w:rsidRPr="006A55B4" w:rsidRDefault="00D310ED" w:rsidP="00A00C28">
            <w:pPr>
              <w:spacing w:after="120" w:line="240" w:lineRule="auto"/>
              <w:jc w:val="center"/>
              <w:rPr>
                <w:rFonts w:eastAsia="Times New Roman" w:cs="Times New Roman"/>
                <w:sz w:val="18"/>
                <w:szCs w:val="18"/>
                <w:lang w:eastAsia="de-DE"/>
              </w:rPr>
            </w:pPr>
            <w:r w:rsidRPr="006A55B4">
              <w:rPr>
                <w:rFonts w:eastAsia="Times New Roman" w:cs="Times New Roman"/>
                <w:sz w:val="18"/>
                <w:szCs w:val="18"/>
                <w:lang w:eastAsia="de-DE"/>
              </w:rPr>
              <w:t>24.000 – 38.000</w:t>
            </w:r>
          </w:p>
        </w:tc>
        <w:tc>
          <w:tcPr>
            <w:tcW w:w="1630" w:type="dxa"/>
            <w:tcBorders>
              <w:top w:val="single" w:sz="8" w:space="0" w:color="auto"/>
            </w:tcBorders>
            <w:vAlign w:val="bottom"/>
          </w:tcPr>
          <w:p w14:paraId="3ABF8AEE" w14:textId="77777777" w:rsidR="00D310ED" w:rsidRPr="006A55B4" w:rsidRDefault="00D310ED" w:rsidP="00A00C28">
            <w:pPr>
              <w:spacing w:after="120" w:line="240" w:lineRule="auto"/>
              <w:jc w:val="center"/>
              <w:rPr>
                <w:rFonts w:eastAsia="Times New Roman" w:cs="Times New Roman"/>
                <w:sz w:val="18"/>
                <w:szCs w:val="18"/>
                <w:lang w:eastAsia="de-DE"/>
              </w:rPr>
            </w:pPr>
            <w:r w:rsidRPr="006A55B4">
              <w:rPr>
                <w:rFonts w:eastAsia="Times New Roman" w:cs="Times New Roman"/>
                <w:sz w:val="18"/>
                <w:szCs w:val="18"/>
                <w:lang w:eastAsia="de-DE"/>
              </w:rPr>
              <w:t>50%</w:t>
            </w:r>
          </w:p>
        </w:tc>
        <w:tc>
          <w:tcPr>
            <w:tcW w:w="1843" w:type="dxa"/>
            <w:tcBorders>
              <w:top w:val="single" w:sz="8" w:space="0" w:color="auto"/>
            </w:tcBorders>
            <w:vAlign w:val="bottom"/>
          </w:tcPr>
          <w:p w14:paraId="6141A686" w14:textId="77777777" w:rsidR="00D310ED" w:rsidRPr="006A55B4" w:rsidRDefault="004806B4" w:rsidP="00A00C28">
            <w:pPr>
              <w:spacing w:after="120" w:line="240" w:lineRule="auto"/>
              <w:jc w:val="center"/>
              <w:rPr>
                <w:rFonts w:eastAsia="Times New Roman" w:cs="Times New Roman"/>
                <w:sz w:val="18"/>
                <w:szCs w:val="18"/>
                <w:lang w:eastAsia="de-DE"/>
              </w:rPr>
            </w:pPr>
            <w:r>
              <w:rPr>
                <w:rFonts w:eastAsia="Times New Roman" w:cs="Times New Roman"/>
                <w:sz w:val="18"/>
                <w:szCs w:val="18"/>
                <w:lang w:eastAsia="de-DE"/>
              </w:rPr>
              <w:t>1-2</w:t>
            </w:r>
            <w:r w:rsidR="00303412" w:rsidRPr="006A55B4">
              <w:rPr>
                <w:rFonts w:eastAsia="Times New Roman" w:cs="Times New Roman"/>
                <w:sz w:val="18"/>
                <w:szCs w:val="18"/>
                <w:lang w:eastAsia="de-DE"/>
              </w:rPr>
              <w:t xml:space="preserve"> Monate</w:t>
            </w:r>
          </w:p>
        </w:tc>
        <w:tc>
          <w:tcPr>
            <w:tcW w:w="1984" w:type="dxa"/>
            <w:tcBorders>
              <w:top w:val="single" w:sz="8" w:space="0" w:color="auto"/>
              <w:right w:val="single" w:sz="8" w:space="0" w:color="auto"/>
            </w:tcBorders>
            <w:vAlign w:val="bottom"/>
          </w:tcPr>
          <w:p w14:paraId="2E9E4942" w14:textId="77777777" w:rsidR="00D310ED" w:rsidRPr="006A55B4" w:rsidRDefault="00303412" w:rsidP="00A00C28">
            <w:pPr>
              <w:spacing w:after="120" w:line="240" w:lineRule="auto"/>
              <w:jc w:val="center"/>
              <w:rPr>
                <w:rFonts w:eastAsia="Times New Roman" w:cs="Times New Roman"/>
                <w:sz w:val="18"/>
                <w:szCs w:val="18"/>
                <w:lang w:eastAsia="de-DE"/>
              </w:rPr>
            </w:pPr>
            <w:r w:rsidRPr="006A55B4">
              <w:rPr>
                <w:rFonts w:eastAsia="Times New Roman" w:cs="Times New Roman"/>
                <w:sz w:val="18"/>
                <w:szCs w:val="18"/>
                <w:lang w:eastAsia="de-DE"/>
              </w:rPr>
              <w:t>Carboxyl</w:t>
            </w:r>
          </w:p>
        </w:tc>
      </w:tr>
      <w:tr w:rsidR="00864F62" w:rsidRPr="00A0224A" w14:paraId="6981043E" w14:textId="77777777" w:rsidTr="00A00C28">
        <w:trPr>
          <w:trHeight w:val="397"/>
          <w:jc w:val="center"/>
        </w:trPr>
        <w:tc>
          <w:tcPr>
            <w:tcW w:w="1950" w:type="dxa"/>
            <w:tcBorders>
              <w:left w:val="single" w:sz="8" w:space="0" w:color="auto"/>
            </w:tcBorders>
            <w:vAlign w:val="bottom"/>
          </w:tcPr>
          <w:p w14:paraId="3DBD93B6" w14:textId="77777777" w:rsidR="00864F62" w:rsidRPr="006A55B4" w:rsidRDefault="00864F62" w:rsidP="00A00C28">
            <w:pPr>
              <w:spacing w:after="120" w:line="240" w:lineRule="auto"/>
              <w:jc w:val="center"/>
              <w:rPr>
                <w:rFonts w:eastAsia="Times New Roman" w:cs="Times New Roman"/>
                <w:sz w:val="18"/>
                <w:szCs w:val="18"/>
                <w:lang w:eastAsia="de-DE"/>
              </w:rPr>
            </w:pPr>
            <w:r w:rsidRPr="006A55B4">
              <w:rPr>
                <w:rFonts w:eastAsia="Times New Roman" w:cs="Times New Roman"/>
                <w:sz w:val="18"/>
                <w:szCs w:val="18"/>
                <w:lang w:eastAsia="de-DE"/>
              </w:rPr>
              <w:t>Res</w:t>
            </w:r>
            <w:r w:rsidR="00C36548" w:rsidRPr="006A55B4">
              <w:rPr>
                <w:rFonts w:eastAsia="Times New Roman" w:cs="Times New Roman"/>
                <w:sz w:val="18"/>
                <w:szCs w:val="18"/>
                <w:lang w:eastAsia="de-DE"/>
              </w:rPr>
              <w:t>omer</w:t>
            </w:r>
            <w:r w:rsidR="00C85176">
              <w:rPr>
                <w:rFonts w:eastAsia="Times New Roman" w:cs="Times New Roman"/>
                <w:sz w:val="18"/>
                <w:szCs w:val="18"/>
                <w:vertAlign w:val="superscript"/>
                <w:lang w:eastAsia="de-DE"/>
              </w:rPr>
              <w:t>®</w:t>
            </w:r>
            <w:r w:rsidR="00C36548" w:rsidRPr="006A55B4">
              <w:rPr>
                <w:rFonts w:eastAsia="Times New Roman" w:cs="Times New Roman"/>
                <w:sz w:val="18"/>
                <w:szCs w:val="18"/>
                <w:lang w:eastAsia="de-DE"/>
              </w:rPr>
              <w:t xml:space="preserve"> </w:t>
            </w:r>
            <w:r w:rsidRPr="006A55B4">
              <w:rPr>
                <w:rFonts w:eastAsia="Times New Roman" w:cs="Times New Roman"/>
                <w:sz w:val="18"/>
                <w:szCs w:val="18"/>
                <w:lang w:eastAsia="de-DE"/>
              </w:rPr>
              <w:t>RG 753 H</w:t>
            </w:r>
          </w:p>
        </w:tc>
        <w:tc>
          <w:tcPr>
            <w:tcW w:w="1843" w:type="dxa"/>
            <w:vAlign w:val="bottom"/>
          </w:tcPr>
          <w:p w14:paraId="2CD894AB" w14:textId="77777777" w:rsidR="00864F62" w:rsidRPr="006A55B4" w:rsidRDefault="00864F62" w:rsidP="00A00C28">
            <w:pPr>
              <w:spacing w:after="120" w:line="240" w:lineRule="auto"/>
              <w:jc w:val="center"/>
              <w:rPr>
                <w:rFonts w:eastAsia="Times New Roman" w:cs="Times New Roman"/>
                <w:sz w:val="18"/>
                <w:szCs w:val="18"/>
                <w:lang w:eastAsia="de-DE"/>
              </w:rPr>
            </w:pPr>
            <w:r w:rsidRPr="006A55B4">
              <w:rPr>
                <w:rFonts w:eastAsia="Times New Roman" w:cs="Times New Roman"/>
                <w:sz w:val="18"/>
                <w:szCs w:val="18"/>
                <w:lang w:eastAsia="de-DE"/>
              </w:rPr>
              <w:t>22.000 – 36.000</w:t>
            </w:r>
          </w:p>
        </w:tc>
        <w:tc>
          <w:tcPr>
            <w:tcW w:w="1630" w:type="dxa"/>
            <w:vAlign w:val="bottom"/>
          </w:tcPr>
          <w:p w14:paraId="0BCC3F03" w14:textId="77777777" w:rsidR="00864F62" w:rsidRPr="006A55B4" w:rsidRDefault="00864F62" w:rsidP="00A00C28">
            <w:pPr>
              <w:spacing w:after="120" w:line="240" w:lineRule="auto"/>
              <w:jc w:val="center"/>
              <w:rPr>
                <w:rFonts w:eastAsia="Times New Roman" w:cs="Times New Roman"/>
                <w:sz w:val="18"/>
                <w:szCs w:val="18"/>
                <w:lang w:eastAsia="de-DE"/>
              </w:rPr>
            </w:pPr>
            <w:r w:rsidRPr="006A55B4">
              <w:rPr>
                <w:rFonts w:eastAsia="Times New Roman" w:cs="Times New Roman"/>
                <w:sz w:val="18"/>
                <w:szCs w:val="18"/>
                <w:lang w:eastAsia="de-DE"/>
              </w:rPr>
              <w:t>25%</w:t>
            </w:r>
          </w:p>
        </w:tc>
        <w:tc>
          <w:tcPr>
            <w:tcW w:w="1843" w:type="dxa"/>
            <w:vAlign w:val="bottom"/>
          </w:tcPr>
          <w:p w14:paraId="359A163B" w14:textId="77777777" w:rsidR="00864F62" w:rsidRPr="006A55B4" w:rsidRDefault="00AE009B" w:rsidP="00A00C28">
            <w:pPr>
              <w:spacing w:after="120" w:line="240" w:lineRule="auto"/>
              <w:jc w:val="center"/>
              <w:rPr>
                <w:rFonts w:eastAsia="Times New Roman" w:cs="Times New Roman"/>
                <w:sz w:val="18"/>
                <w:szCs w:val="18"/>
                <w:lang w:eastAsia="de-DE"/>
              </w:rPr>
            </w:pPr>
            <w:r>
              <w:rPr>
                <w:rFonts w:eastAsia="Times New Roman" w:cs="Times New Roman"/>
                <w:sz w:val="18"/>
                <w:szCs w:val="18"/>
                <w:lang w:eastAsia="de-DE"/>
              </w:rPr>
              <w:t>4-5</w:t>
            </w:r>
            <w:r w:rsidR="00303412" w:rsidRPr="006A55B4">
              <w:rPr>
                <w:rFonts w:eastAsia="Times New Roman" w:cs="Times New Roman"/>
                <w:sz w:val="18"/>
                <w:szCs w:val="18"/>
                <w:lang w:eastAsia="de-DE"/>
              </w:rPr>
              <w:t xml:space="preserve"> Monate</w:t>
            </w:r>
          </w:p>
        </w:tc>
        <w:tc>
          <w:tcPr>
            <w:tcW w:w="1984" w:type="dxa"/>
            <w:tcBorders>
              <w:right w:val="single" w:sz="8" w:space="0" w:color="auto"/>
            </w:tcBorders>
            <w:vAlign w:val="bottom"/>
          </w:tcPr>
          <w:p w14:paraId="73539B7D" w14:textId="77777777" w:rsidR="00864F62" w:rsidRPr="006A55B4" w:rsidRDefault="00303412" w:rsidP="00A00C28">
            <w:pPr>
              <w:spacing w:after="120" w:line="240" w:lineRule="auto"/>
              <w:jc w:val="center"/>
              <w:rPr>
                <w:rFonts w:eastAsia="Times New Roman" w:cs="Times New Roman"/>
                <w:sz w:val="18"/>
                <w:szCs w:val="18"/>
                <w:lang w:eastAsia="de-DE"/>
              </w:rPr>
            </w:pPr>
            <w:r w:rsidRPr="006A55B4">
              <w:rPr>
                <w:rFonts w:eastAsia="Times New Roman" w:cs="Times New Roman"/>
                <w:sz w:val="18"/>
                <w:szCs w:val="18"/>
                <w:lang w:eastAsia="de-DE"/>
              </w:rPr>
              <w:t>Carboxyl</w:t>
            </w:r>
          </w:p>
        </w:tc>
      </w:tr>
      <w:tr w:rsidR="00864F62" w:rsidRPr="00A0224A" w14:paraId="24865A43" w14:textId="77777777" w:rsidTr="00A00C28">
        <w:trPr>
          <w:trHeight w:val="397"/>
          <w:jc w:val="center"/>
        </w:trPr>
        <w:tc>
          <w:tcPr>
            <w:tcW w:w="1950" w:type="dxa"/>
            <w:tcBorders>
              <w:left w:val="single" w:sz="8" w:space="0" w:color="auto"/>
            </w:tcBorders>
            <w:vAlign w:val="bottom"/>
          </w:tcPr>
          <w:p w14:paraId="158CA5DA" w14:textId="77777777" w:rsidR="00864F62" w:rsidRPr="006A55B4" w:rsidRDefault="00C36548" w:rsidP="00A00C28">
            <w:pPr>
              <w:spacing w:after="120" w:line="240" w:lineRule="auto"/>
              <w:jc w:val="center"/>
              <w:rPr>
                <w:rFonts w:eastAsia="Times New Roman" w:cs="Times New Roman"/>
                <w:sz w:val="18"/>
                <w:szCs w:val="18"/>
                <w:lang w:eastAsia="de-DE"/>
              </w:rPr>
            </w:pPr>
            <w:r w:rsidRPr="006A55B4">
              <w:rPr>
                <w:rFonts w:eastAsia="Times New Roman" w:cs="Times New Roman"/>
                <w:sz w:val="18"/>
                <w:szCs w:val="18"/>
                <w:lang w:eastAsia="de-DE"/>
              </w:rPr>
              <w:t>Resomer</w:t>
            </w:r>
            <w:r w:rsidR="00C85176">
              <w:rPr>
                <w:rFonts w:eastAsia="Times New Roman" w:cs="Times New Roman"/>
                <w:sz w:val="18"/>
                <w:szCs w:val="18"/>
                <w:vertAlign w:val="superscript"/>
                <w:lang w:eastAsia="de-DE"/>
              </w:rPr>
              <w:t>®</w:t>
            </w:r>
            <w:r w:rsidRPr="006A55B4">
              <w:rPr>
                <w:rFonts w:eastAsia="Times New Roman" w:cs="Times New Roman"/>
                <w:sz w:val="18"/>
                <w:szCs w:val="18"/>
                <w:lang w:eastAsia="de-DE"/>
              </w:rPr>
              <w:t xml:space="preserve"> </w:t>
            </w:r>
            <w:r w:rsidR="00864F62" w:rsidRPr="006A55B4">
              <w:rPr>
                <w:rFonts w:eastAsia="Times New Roman" w:cs="Times New Roman"/>
                <w:sz w:val="18"/>
                <w:szCs w:val="18"/>
                <w:lang w:eastAsia="de-DE"/>
              </w:rPr>
              <w:t>RG 752 H</w:t>
            </w:r>
          </w:p>
        </w:tc>
        <w:tc>
          <w:tcPr>
            <w:tcW w:w="1843" w:type="dxa"/>
            <w:vAlign w:val="bottom"/>
          </w:tcPr>
          <w:p w14:paraId="4FC3622D" w14:textId="77777777" w:rsidR="00864F62" w:rsidRPr="006A55B4" w:rsidRDefault="00864F62" w:rsidP="00A00C28">
            <w:pPr>
              <w:spacing w:after="120" w:line="240" w:lineRule="auto"/>
              <w:jc w:val="center"/>
              <w:rPr>
                <w:rFonts w:eastAsia="Times New Roman" w:cs="Times New Roman"/>
                <w:sz w:val="18"/>
                <w:szCs w:val="18"/>
                <w:lang w:eastAsia="de-DE"/>
              </w:rPr>
            </w:pPr>
            <w:r w:rsidRPr="006A55B4">
              <w:rPr>
                <w:rFonts w:eastAsia="Times New Roman" w:cs="Times New Roman"/>
                <w:sz w:val="18"/>
                <w:szCs w:val="18"/>
                <w:lang w:eastAsia="de-DE"/>
              </w:rPr>
              <w:t>4.000 – 15.000</w:t>
            </w:r>
          </w:p>
        </w:tc>
        <w:tc>
          <w:tcPr>
            <w:tcW w:w="1630" w:type="dxa"/>
            <w:vAlign w:val="bottom"/>
          </w:tcPr>
          <w:p w14:paraId="159A4B37" w14:textId="77777777" w:rsidR="00864F62" w:rsidRPr="006A55B4" w:rsidRDefault="00864F62" w:rsidP="00A00C28">
            <w:pPr>
              <w:spacing w:after="120" w:line="240" w:lineRule="auto"/>
              <w:jc w:val="center"/>
              <w:rPr>
                <w:rFonts w:eastAsia="Times New Roman" w:cs="Times New Roman"/>
                <w:sz w:val="18"/>
                <w:szCs w:val="18"/>
                <w:lang w:eastAsia="de-DE"/>
              </w:rPr>
            </w:pPr>
            <w:r w:rsidRPr="006A55B4">
              <w:rPr>
                <w:rFonts w:eastAsia="Times New Roman" w:cs="Times New Roman"/>
                <w:sz w:val="18"/>
                <w:szCs w:val="18"/>
                <w:lang w:eastAsia="de-DE"/>
              </w:rPr>
              <w:t>25%</w:t>
            </w:r>
          </w:p>
        </w:tc>
        <w:tc>
          <w:tcPr>
            <w:tcW w:w="1843" w:type="dxa"/>
            <w:vAlign w:val="bottom"/>
          </w:tcPr>
          <w:p w14:paraId="5B4441EA" w14:textId="77777777" w:rsidR="00864F62" w:rsidRPr="006A55B4" w:rsidRDefault="004806B4" w:rsidP="00A00C28">
            <w:pPr>
              <w:spacing w:after="120" w:line="240" w:lineRule="auto"/>
              <w:jc w:val="center"/>
              <w:rPr>
                <w:rFonts w:eastAsia="Times New Roman" w:cs="Times New Roman"/>
                <w:sz w:val="18"/>
                <w:szCs w:val="18"/>
                <w:lang w:eastAsia="de-DE"/>
              </w:rPr>
            </w:pPr>
            <w:r>
              <w:rPr>
                <w:rFonts w:eastAsia="Times New Roman" w:cs="Times New Roman"/>
                <w:sz w:val="18"/>
                <w:szCs w:val="18"/>
                <w:lang w:eastAsia="de-DE"/>
              </w:rPr>
              <w:t>4-5</w:t>
            </w:r>
            <w:r w:rsidR="00303412" w:rsidRPr="006A55B4">
              <w:rPr>
                <w:rFonts w:eastAsia="Times New Roman" w:cs="Times New Roman"/>
                <w:sz w:val="18"/>
                <w:szCs w:val="18"/>
                <w:lang w:eastAsia="de-DE"/>
              </w:rPr>
              <w:t xml:space="preserve"> Monate</w:t>
            </w:r>
          </w:p>
        </w:tc>
        <w:tc>
          <w:tcPr>
            <w:tcW w:w="1984" w:type="dxa"/>
            <w:tcBorders>
              <w:right w:val="single" w:sz="8" w:space="0" w:color="auto"/>
            </w:tcBorders>
            <w:vAlign w:val="bottom"/>
          </w:tcPr>
          <w:p w14:paraId="64A18C0A" w14:textId="77777777" w:rsidR="00864F62" w:rsidRPr="006A55B4" w:rsidRDefault="00303412" w:rsidP="00A00C28">
            <w:pPr>
              <w:spacing w:after="120" w:line="240" w:lineRule="auto"/>
              <w:jc w:val="center"/>
              <w:rPr>
                <w:rFonts w:eastAsia="Times New Roman" w:cs="Times New Roman"/>
                <w:sz w:val="18"/>
                <w:szCs w:val="18"/>
                <w:lang w:eastAsia="de-DE"/>
              </w:rPr>
            </w:pPr>
            <w:r w:rsidRPr="006A55B4">
              <w:rPr>
                <w:rFonts w:eastAsia="Times New Roman" w:cs="Times New Roman"/>
                <w:sz w:val="18"/>
                <w:szCs w:val="18"/>
                <w:lang w:eastAsia="de-DE"/>
              </w:rPr>
              <w:t>Carboxyl</w:t>
            </w:r>
          </w:p>
        </w:tc>
      </w:tr>
      <w:tr w:rsidR="00864F62" w:rsidRPr="00A0224A" w14:paraId="0D0FDCB8" w14:textId="77777777" w:rsidTr="00A00C28">
        <w:trPr>
          <w:trHeight w:val="397"/>
          <w:jc w:val="center"/>
        </w:trPr>
        <w:tc>
          <w:tcPr>
            <w:tcW w:w="1950" w:type="dxa"/>
            <w:tcBorders>
              <w:left w:val="single" w:sz="8" w:space="0" w:color="auto"/>
              <w:bottom w:val="single" w:sz="8" w:space="0" w:color="auto"/>
            </w:tcBorders>
            <w:vAlign w:val="bottom"/>
          </w:tcPr>
          <w:p w14:paraId="51419521" w14:textId="77777777" w:rsidR="00864F62" w:rsidRPr="006A55B4" w:rsidRDefault="00C36548" w:rsidP="00A00C28">
            <w:pPr>
              <w:spacing w:after="120" w:line="240" w:lineRule="auto"/>
              <w:jc w:val="center"/>
              <w:rPr>
                <w:rFonts w:eastAsia="Times New Roman" w:cs="Times New Roman"/>
                <w:sz w:val="18"/>
                <w:szCs w:val="18"/>
                <w:lang w:eastAsia="de-DE"/>
              </w:rPr>
            </w:pPr>
            <w:r w:rsidRPr="006A55B4">
              <w:rPr>
                <w:rFonts w:eastAsia="Times New Roman" w:cs="Times New Roman"/>
                <w:sz w:val="18"/>
                <w:szCs w:val="18"/>
                <w:lang w:eastAsia="de-DE"/>
              </w:rPr>
              <w:t>Resomer</w:t>
            </w:r>
            <w:r w:rsidR="00C85176">
              <w:rPr>
                <w:rFonts w:eastAsia="Times New Roman" w:cs="Times New Roman"/>
                <w:sz w:val="18"/>
                <w:szCs w:val="18"/>
                <w:vertAlign w:val="superscript"/>
                <w:lang w:eastAsia="de-DE"/>
              </w:rPr>
              <w:t>®</w:t>
            </w:r>
            <w:r w:rsidRPr="006A55B4">
              <w:rPr>
                <w:rFonts w:eastAsia="Times New Roman" w:cs="Times New Roman"/>
                <w:sz w:val="18"/>
                <w:szCs w:val="18"/>
                <w:lang w:eastAsia="de-DE"/>
              </w:rPr>
              <w:t xml:space="preserve"> </w:t>
            </w:r>
            <w:r w:rsidR="00864F62" w:rsidRPr="006A55B4">
              <w:rPr>
                <w:rFonts w:eastAsia="Times New Roman" w:cs="Times New Roman"/>
                <w:sz w:val="18"/>
                <w:szCs w:val="18"/>
                <w:lang w:eastAsia="de-DE"/>
              </w:rPr>
              <w:t>RG 858 S</w:t>
            </w:r>
          </w:p>
        </w:tc>
        <w:tc>
          <w:tcPr>
            <w:tcW w:w="1843" w:type="dxa"/>
            <w:tcBorders>
              <w:bottom w:val="single" w:sz="8" w:space="0" w:color="auto"/>
            </w:tcBorders>
            <w:vAlign w:val="bottom"/>
          </w:tcPr>
          <w:p w14:paraId="5C02F631" w14:textId="77777777" w:rsidR="00864F62" w:rsidRPr="006A55B4" w:rsidRDefault="00864F62" w:rsidP="00A00C28">
            <w:pPr>
              <w:spacing w:after="120" w:line="240" w:lineRule="auto"/>
              <w:jc w:val="center"/>
              <w:rPr>
                <w:rFonts w:eastAsia="Times New Roman" w:cs="Times New Roman"/>
                <w:sz w:val="18"/>
                <w:szCs w:val="18"/>
                <w:lang w:eastAsia="de-DE"/>
              </w:rPr>
            </w:pPr>
            <w:r w:rsidRPr="006A55B4">
              <w:rPr>
                <w:rFonts w:eastAsia="Times New Roman" w:cs="Times New Roman"/>
                <w:sz w:val="18"/>
                <w:szCs w:val="18"/>
                <w:lang w:eastAsia="de-DE"/>
              </w:rPr>
              <w:t>190.000 – 240.000</w:t>
            </w:r>
          </w:p>
        </w:tc>
        <w:tc>
          <w:tcPr>
            <w:tcW w:w="1630" w:type="dxa"/>
            <w:tcBorders>
              <w:bottom w:val="single" w:sz="8" w:space="0" w:color="auto"/>
            </w:tcBorders>
            <w:vAlign w:val="bottom"/>
          </w:tcPr>
          <w:p w14:paraId="78ABA285" w14:textId="77777777" w:rsidR="00864F62" w:rsidRPr="006A55B4" w:rsidRDefault="00864F62" w:rsidP="00A00C28">
            <w:pPr>
              <w:spacing w:after="120" w:line="240" w:lineRule="auto"/>
              <w:jc w:val="center"/>
              <w:rPr>
                <w:rFonts w:eastAsia="Times New Roman" w:cs="Times New Roman"/>
                <w:sz w:val="18"/>
                <w:szCs w:val="18"/>
                <w:lang w:eastAsia="de-DE"/>
              </w:rPr>
            </w:pPr>
            <w:r w:rsidRPr="006A55B4">
              <w:rPr>
                <w:rFonts w:eastAsia="Times New Roman" w:cs="Times New Roman"/>
                <w:sz w:val="18"/>
                <w:szCs w:val="18"/>
                <w:lang w:eastAsia="de-DE"/>
              </w:rPr>
              <w:t>15%</w:t>
            </w:r>
          </w:p>
        </w:tc>
        <w:tc>
          <w:tcPr>
            <w:tcW w:w="1843" w:type="dxa"/>
            <w:tcBorders>
              <w:bottom w:val="single" w:sz="8" w:space="0" w:color="auto"/>
            </w:tcBorders>
            <w:vAlign w:val="bottom"/>
          </w:tcPr>
          <w:p w14:paraId="6B86B7A8" w14:textId="77777777" w:rsidR="00864F62" w:rsidRPr="006A55B4" w:rsidRDefault="004806B4" w:rsidP="00A00C28">
            <w:pPr>
              <w:spacing w:after="120" w:line="240" w:lineRule="auto"/>
              <w:jc w:val="center"/>
              <w:rPr>
                <w:rFonts w:eastAsia="Times New Roman" w:cs="Times New Roman"/>
                <w:sz w:val="18"/>
                <w:szCs w:val="18"/>
                <w:lang w:eastAsia="de-DE"/>
              </w:rPr>
            </w:pPr>
            <w:r>
              <w:rPr>
                <w:rFonts w:eastAsia="Times New Roman" w:cs="Times New Roman"/>
                <w:sz w:val="18"/>
                <w:szCs w:val="18"/>
                <w:lang w:eastAsia="de-DE"/>
              </w:rPr>
              <w:t>5-6</w:t>
            </w:r>
            <w:r w:rsidR="00303412" w:rsidRPr="006A55B4">
              <w:rPr>
                <w:rFonts w:eastAsia="Times New Roman" w:cs="Times New Roman"/>
                <w:sz w:val="18"/>
                <w:szCs w:val="18"/>
                <w:lang w:eastAsia="de-DE"/>
              </w:rPr>
              <w:t xml:space="preserve"> Monate</w:t>
            </w:r>
          </w:p>
        </w:tc>
        <w:tc>
          <w:tcPr>
            <w:tcW w:w="1984" w:type="dxa"/>
            <w:tcBorders>
              <w:bottom w:val="single" w:sz="8" w:space="0" w:color="auto"/>
              <w:right w:val="single" w:sz="8" w:space="0" w:color="auto"/>
            </w:tcBorders>
            <w:vAlign w:val="bottom"/>
          </w:tcPr>
          <w:p w14:paraId="2A40A53D" w14:textId="77777777" w:rsidR="00864F62" w:rsidRPr="006A55B4" w:rsidRDefault="00303412" w:rsidP="00A00C28">
            <w:pPr>
              <w:spacing w:after="120" w:line="240" w:lineRule="auto"/>
              <w:jc w:val="center"/>
              <w:rPr>
                <w:rFonts w:eastAsia="Times New Roman" w:cs="Times New Roman"/>
                <w:sz w:val="18"/>
                <w:szCs w:val="18"/>
                <w:lang w:eastAsia="de-DE"/>
              </w:rPr>
            </w:pPr>
            <w:r w:rsidRPr="006A55B4">
              <w:rPr>
                <w:rFonts w:eastAsia="Times New Roman" w:cs="Times New Roman"/>
                <w:sz w:val="18"/>
                <w:szCs w:val="18"/>
                <w:lang w:eastAsia="de-DE"/>
              </w:rPr>
              <w:t>Ester</w:t>
            </w:r>
          </w:p>
        </w:tc>
      </w:tr>
    </w:tbl>
    <w:p w14:paraId="3493443A" w14:textId="77777777" w:rsidR="00D310ED" w:rsidRDefault="00D310ED" w:rsidP="00313F5D"/>
    <w:p w14:paraId="10AD468E" w14:textId="77777777" w:rsidR="00D53ECE" w:rsidRPr="00D53ECE" w:rsidRDefault="00D53ECE" w:rsidP="00AF4CF6">
      <w:r>
        <w:t>Die verwendeten Resomer</w:t>
      </w:r>
      <w:r w:rsidR="005C64A7" w:rsidRPr="005C64A7">
        <w:rPr>
          <w:rFonts w:cs="Times New Roman"/>
          <w:vertAlign w:val="superscript"/>
        </w:rPr>
        <w:t>®</w:t>
      </w:r>
      <w:r w:rsidR="00E24D23">
        <w:t xml:space="preserve"> Polymere wurden </w:t>
      </w:r>
      <w:r>
        <w:t>von der Evonik Industries AG in Darmstadt zur Verfügung gestellt.</w:t>
      </w:r>
    </w:p>
    <w:p w14:paraId="62787520" w14:textId="77777777" w:rsidR="00FE4322" w:rsidRPr="00AF4CF6" w:rsidRDefault="00DE67B1" w:rsidP="00AF4CF6">
      <w:r>
        <w:t>Um eine höhere Beladungskapazität der Arzneistoffträger mit Peptid</w:t>
      </w:r>
      <w:r w:rsidR="00C11558">
        <w:t>en oder Proteinen zu erzielen</w:t>
      </w:r>
      <w:r>
        <w:t xml:space="preserve"> und um die Möglichkeit für spezifische </w:t>
      </w:r>
      <w:r w:rsidR="006B49D2">
        <w:t>Funktionalisierungen der Trägerstoffe</w:t>
      </w:r>
      <w:r>
        <w:t xml:space="preserve"> zu sc</w:t>
      </w:r>
      <w:r w:rsidR="00751D79">
        <w:t>haffen, wurden ausgehend von der Struktur handelsüblicher PLGA Polymere</w:t>
      </w:r>
      <w:r>
        <w:t xml:space="preserve"> neue Polymere synthetisiert. </w:t>
      </w:r>
      <w:r w:rsidR="006B49D2">
        <w:t xml:space="preserve">Die neuen Polymere werden in Kapitel </w:t>
      </w:r>
      <w:r w:rsidR="00D16240">
        <w:fldChar w:fldCharType="begin"/>
      </w:r>
      <w:r w:rsidR="006B49D2">
        <w:instrText xml:space="preserve"> REF _Ref271834093 \n \h </w:instrText>
      </w:r>
      <w:r w:rsidR="00D16240">
        <w:fldChar w:fldCharType="separate"/>
      </w:r>
      <w:r w:rsidR="00711AB8">
        <w:t>3.2</w:t>
      </w:r>
      <w:r w:rsidR="00D16240">
        <w:fldChar w:fldCharType="end"/>
      </w:r>
      <w:r w:rsidR="00B477C9">
        <w:t xml:space="preserve"> vorgestellt</w:t>
      </w:r>
      <w:r w:rsidR="006B49D2">
        <w:t>.</w:t>
      </w:r>
    </w:p>
    <w:p w14:paraId="423227AA" w14:textId="77777777" w:rsidR="00322E64" w:rsidRDefault="005C4647" w:rsidP="00B90911">
      <w:pPr>
        <w:pStyle w:val="berschrift2"/>
      </w:pPr>
      <w:r w:rsidRPr="00501895">
        <w:lastRenderedPageBreak/>
        <w:tab/>
      </w:r>
      <w:bookmarkStart w:id="91" w:name="_Ref271834085"/>
      <w:bookmarkStart w:id="92" w:name="_Ref271834093"/>
      <w:bookmarkStart w:id="93" w:name="_Toc294380188"/>
      <w:r w:rsidR="005C3189">
        <w:t xml:space="preserve">Neue </w:t>
      </w:r>
      <w:r w:rsidR="00322E64" w:rsidRPr="00501895">
        <w:t>Polyesteramid Polymere zur Bioverfügbarkeitserhöhung</w:t>
      </w:r>
      <w:bookmarkEnd w:id="91"/>
      <w:bookmarkEnd w:id="92"/>
      <w:bookmarkEnd w:id="93"/>
    </w:p>
    <w:p w14:paraId="192872D6" w14:textId="77777777" w:rsidR="005C3189" w:rsidRDefault="005C3189" w:rsidP="005C3189">
      <w:r w:rsidRPr="005C3189">
        <w:t xml:space="preserve">Die Anforderungen an </w:t>
      </w:r>
      <w:r w:rsidRPr="000F2617">
        <w:rPr>
          <w:i/>
        </w:rPr>
        <w:t>Drug Delivery</w:t>
      </w:r>
      <w:r w:rsidRPr="005C3189">
        <w:t xml:space="preserve"> Systeme zur Verbesserung der </w:t>
      </w:r>
      <w:r w:rsidR="00FD040A">
        <w:t xml:space="preserve">oralen </w:t>
      </w:r>
      <w:r w:rsidRPr="005C3189">
        <w:t>Bioverfügbarkeit von Pe</w:t>
      </w:r>
      <w:r w:rsidR="006E0E0D">
        <w:t>ptiden und Proteinen sind sehr</w:t>
      </w:r>
      <w:r w:rsidRPr="005C3189">
        <w:t xml:space="preserve"> hoch und mit den etablierten pharmazeutischen Hilfsstoffen kaum zu erfüllen. Der technologische Entwicklungsstand der derze</w:t>
      </w:r>
      <w:r w:rsidR="003B575E">
        <w:t>it in zugelassenen Arzneimitteln enthaltenen</w:t>
      </w:r>
      <w:r w:rsidRPr="005C3189">
        <w:t xml:space="preserve"> Hilfsstoffe liegt inzwischen weit hinter dem der aktuellen Forschung zurück. Aufwendige toxikologische Untersuchungen machen die Zulassung neuer Materialien für pharmazeutische </w:t>
      </w:r>
      <w:r w:rsidR="00313F5D">
        <w:t>Anwendungen extrem teuer und so</w:t>
      </w:r>
      <w:r w:rsidRPr="005C3189">
        <w:t xml:space="preserve"> wird in der Regel auf Altbewährtes zurückgegriffen. Dieser Rückgriff auf altbewähr</w:t>
      </w:r>
      <w:r w:rsidR="006E0E0D">
        <w:t xml:space="preserve">te Materialien hat durchaus </w:t>
      </w:r>
      <w:r w:rsidRPr="005C3189">
        <w:t>Vorteile</w:t>
      </w:r>
      <w:r w:rsidR="006E0E0D">
        <w:t xml:space="preserve"> hinsichtlich regulatorischer Aspekte und</w:t>
      </w:r>
      <w:r w:rsidR="00FD040A">
        <w:t xml:space="preserve"> Produktionskosten</w:t>
      </w:r>
      <w:r w:rsidRPr="005C3189">
        <w:t>, allerdings sind di</w:t>
      </w:r>
      <w:r w:rsidR="00004346">
        <w:t>e Möglichkeiten durch rationale</w:t>
      </w:r>
      <w:r w:rsidRPr="005C3189">
        <w:t xml:space="preserve"> Formulierung und Kombination etablierter Hilfsstoffe bald erschöpft und größere Innovationen auf dem Gebiet der Formulierungsentwickl</w:t>
      </w:r>
      <w:r w:rsidR="006E0E0D">
        <w:t>ung sind</w:t>
      </w:r>
      <w:r w:rsidR="000E75A9">
        <w:t xml:space="preserve"> auf diesem Weg</w:t>
      </w:r>
      <w:r w:rsidR="006E0E0D">
        <w:t xml:space="preserve"> nur noch schwer zu erreichen</w:t>
      </w:r>
      <w:r w:rsidRPr="005C3189">
        <w:t>.</w:t>
      </w:r>
    </w:p>
    <w:p w14:paraId="3FCA398F" w14:textId="77777777" w:rsidR="00292200" w:rsidRPr="005C3189" w:rsidRDefault="00FD040A" w:rsidP="005C3189">
      <w:r>
        <w:t>Um der geschilderten</w:t>
      </w:r>
      <w:r w:rsidR="000E75A9">
        <w:t xml:space="preserve"> Innovationsträgheit in </w:t>
      </w:r>
      <w:r w:rsidR="008953BB">
        <w:t>d</w:t>
      </w:r>
      <w:r w:rsidR="000B55BD">
        <w:t>er Entwicklung neuer</w:t>
      </w:r>
      <w:r w:rsidR="000E75A9">
        <w:t xml:space="preserve"> pharmazeutischer</w:t>
      </w:r>
      <w:r w:rsidR="000B55BD">
        <w:t xml:space="preserve"> Hilfsstoffe</w:t>
      </w:r>
      <w:r w:rsidR="008953BB">
        <w:t xml:space="preserve"> entgegen zu wirken,</w:t>
      </w:r>
      <w:r w:rsidR="00292200">
        <w:t xml:space="preserve"> wurden im Zuge eines BMBF Förderprojektes, das von der Evonik Industries AG koordiniert wurde, </w:t>
      </w:r>
      <w:r w:rsidR="000E75A9">
        <w:t>neue</w:t>
      </w:r>
      <w:r w:rsidR="008953BB">
        <w:t xml:space="preserve"> </w:t>
      </w:r>
      <w:r w:rsidR="002F2140">
        <w:t>Polymere</w:t>
      </w:r>
      <w:r w:rsidR="000E75A9">
        <w:t xml:space="preserve"> für pharmazeutische Anwendungen</w:t>
      </w:r>
      <w:r w:rsidR="002F2140">
        <w:t xml:space="preserve"> synthetisiert. Die Entwicklung</w:t>
      </w:r>
      <w:r w:rsidR="008E6AB0">
        <w:t xml:space="preserve"> und Herstellung dieser</w:t>
      </w:r>
      <w:r w:rsidR="002F2140">
        <w:t xml:space="preserve"> </w:t>
      </w:r>
      <w:r w:rsidR="008953BB">
        <w:t xml:space="preserve">neuen </w:t>
      </w:r>
      <w:r w:rsidR="00345897">
        <w:t xml:space="preserve">Polyesteramid </w:t>
      </w:r>
      <w:r w:rsidR="002F2140">
        <w:t>Polymere</w:t>
      </w:r>
      <w:r w:rsidR="000F2617">
        <w:t xml:space="preserve"> (kurz: PEA)</w:t>
      </w:r>
      <w:r w:rsidR="002F2140">
        <w:t xml:space="preserve"> erfolgte</w:t>
      </w:r>
      <w:r w:rsidR="008953BB">
        <w:t xml:space="preserve"> in enger Zusammenarbeit der beiden Projektpartner</w:t>
      </w:r>
      <w:r w:rsidR="002F2140">
        <w:t xml:space="preserve"> </w:t>
      </w:r>
      <w:r w:rsidR="008953BB">
        <w:t>Evonik Industries AG und der Universität Jena. Die Monomere wurden von Evonik hergestellt, die Polymerisation und die Ent</w:t>
      </w:r>
      <w:r w:rsidR="00710B72">
        <w:t>schützung der Polymere erfolgten</w:t>
      </w:r>
      <w:r w:rsidR="0019717F">
        <w:t xml:space="preserve"> an</w:t>
      </w:r>
      <w:r w:rsidR="008953BB">
        <w:t xml:space="preserve"> der Universität Jena. Die</w:t>
      </w:r>
      <w:r w:rsidR="002F2140" w:rsidRPr="002F2140">
        <w:t xml:space="preserve"> Entwickl</w:t>
      </w:r>
      <w:r w:rsidR="008953BB">
        <w:t>ung</w:t>
      </w:r>
      <w:r w:rsidR="00710B72">
        <w:t xml:space="preserve"> und Herstellung</w:t>
      </w:r>
      <w:r w:rsidR="008953BB">
        <w:t xml:space="preserve"> </w:t>
      </w:r>
      <w:r w:rsidR="00004346">
        <w:t>von peroralen Formulierungen</w:t>
      </w:r>
      <w:r w:rsidR="002F2140" w:rsidRPr="002F2140">
        <w:t xml:space="preserve"> zur Bioverfügbarkeitsverbesserung von Peptiden und Prot</w:t>
      </w:r>
      <w:r w:rsidR="008953BB">
        <w:t>einen aus den neuen Polymeren war Aufgabe der Universität des Saarlandes und ist Gegenstand der vorliegenden Arbeit.</w:t>
      </w:r>
      <w:r w:rsidR="0019717F">
        <w:t xml:space="preserve"> Die Universität des Saarlandes hat </w:t>
      </w:r>
      <w:r w:rsidR="00DA5F05">
        <w:t xml:space="preserve">bereits </w:t>
      </w:r>
      <w:r w:rsidR="0019717F">
        <w:t>bei der Konzeption der neuen Polymere beratend mitgewirkt.</w:t>
      </w:r>
    </w:p>
    <w:p w14:paraId="4C0EF72B" w14:textId="77777777" w:rsidR="00322E64" w:rsidRDefault="00322E64" w:rsidP="00996F38">
      <w:pPr>
        <w:pStyle w:val="berschrift3"/>
      </w:pPr>
      <w:bookmarkStart w:id="94" w:name="_Toc294380189"/>
      <w:r>
        <w:t xml:space="preserve">Konzeption </w:t>
      </w:r>
      <w:r w:rsidR="005C3189">
        <w:t>der neuen</w:t>
      </w:r>
      <w:r>
        <w:t xml:space="preserve"> Trägermaterialien</w:t>
      </w:r>
      <w:bookmarkEnd w:id="94"/>
    </w:p>
    <w:p w14:paraId="752D0CC0" w14:textId="77777777" w:rsidR="00C11558" w:rsidRDefault="00C212E4" w:rsidP="00C11558">
      <w:r>
        <w:t>Die Synthese der neuen Trägermaterialien</w:t>
      </w:r>
      <w:r w:rsidR="00962C48">
        <w:t xml:space="preserve"> erfolgte n</w:t>
      </w:r>
      <w:r w:rsidR="00AE3BE5">
        <w:t xml:space="preserve">ach </w:t>
      </w:r>
      <w:r w:rsidR="00962C48">
        <w:t xml:space="preserve">dem </w:t>
      </w:r>
      <w:r w:rsidR="00AE3BE5">
        <w:t>Vorbild de</w:t>
      </w:r>
      <w:r w:rsidR="00962C48">
        <w:t>r handelsüblichen PLGA Polymere mit Polylactid und Polygly</w:t>
      </w:r>
      <w:r w:rsidR="00D94577">
        <w:t xml:space="preserve">colid </w:t>
      </w:r>
      <w:r w:rsidR="00962C48">
        <w:t>als Hauptbestandteile. Auf diese Weise sollte die Bioabbaubarkeit und Biokompatibilität der neuen Mat</w:t>
      </w:r>
      <w:r>
        <w:t xml:space="preserve">erialien sichergestellt werden. </w:t>
      </w:r>
      <w:r w:rsidR="009D1AFC">
        <w:t xml:space="preserve">Um eine größere Variationsbandbreite der physikochemischen Polymereigenschaften sowie spezifische Funktionalisierungen zu ermöglichen, wurde </w:t>
      </w:r>
      <w:r w:rsidR="00F46735">
        <w:t xml:space="preserve">ein weiterer chemischer Baustein gesucht, der nach Möglichkeit </w:t>
      </w:r>
      <w:r w:rsidR="00491F81">
        <w:t xml:space="preserve">relativ flexibel </w:t>
      </w:r>
      <w:r w:rsidR="00F46735">
        <w:t xml:space="preserve">austauschbar sein sollte. </w:t>
      </w:r>
      <w:r w:rsidR="00FD503B">
        <w:t>Aus toxikologisc</w:t>
      </w:r>
      <w:r w:rsidR="00EF13B3">
        <w:t>hen Überlegungen heraus</w:t>
      </w:r>
      <w:r w:rsidR="00094CBC">
        <w:t xml:space="preserve"> sollte</w:t>
      </w:r>
      <w:r w:rsidR="00FD503B">
        <w:t xml:space="preserve"> diese</w:t>
      </w:r>
      <w:r w:rsidR="00094CBC">
        <w:t>r Baustein</w:t>
      </w:r>
      <w:r w:rsidR="00FD503B">
        <w:t xml:space="preserve"> der Natur entstammen. </w:t>
      </w:r>
      <w:r w:rsidR="00E15830">
        <w:t>Also lag es nahe</w:t>
      </w:r>
      <w:r w:rsidR="00EF13B3">
        <w:t>,</w:t>
      </w:r>
      <w:r w:rsidR="00E15830">
        <w:t xml:space="preserve"> sich am Baukastenprinzip der natürlichen Proteine zu orientieren und proteinogene Aminosäure</w:t>
      </w:r>
      <w:r w:rsidR="008E6AB0">
        <w:t>n zu verwenden und diese entsprechend</w:t>
      </w:r>
      <w:r w:rsidR="00E15830">
        <w:t xml:space="preserve"> der natürlichen Bindungsart peptidisch in das Polymer einzubauen.</w:t>
      </w:r>
      <w:r w:rsidR="00156B32">
        <w:t xml:space="preserve"> Dabei wurde durch den Syntheseweg sichergestellt, dass keine Blöcke mit Polyaminosäuren im Polymerrückrat entstehen konnten, die toxikologisch bedenklich wären, </w:t>
      </w:r>
      <w:r w:rsidR="00156B32">
        <w:lastRenderedPageBreak/>
        <w:t>sondern nur einzelne Moleküle statistisch verteilt eingebaut wurden.</w:t>
      </w:r>
      <w:r w:rsidR="00D94577">
        <w:t xml:space="preserve"> Da die Monomereinheiten in den Polymerketten chemisch gesehen teilweise durch Esterbindungen und teilweise durch Amidbindungen </w:t>
      </w:r>
      <w:r w:rsidR="00EF13B3">
        <w:t>miteinander verknüpft sind, werden</w:t>
      </w:r>
      <w:r w:rsidR="00D94577">
        <w:t xml:space="preserve"> die</w:t>
      </w:r>
      <w:r w:rsidR="00250D23">
        <w:t xml:space="preserve"> Vertreter dieser</w:t>
      </w:r>
      <w:r w:rsidR="00D94577">
        <w:t xml:space="preserve"> Polymerklasse auch als Polyesteramide</w:t>
      </w:r>
      <w:r w:rsidR="00004346">
        <w:t xml:space="preserve"> (PEA)</w:t>
      </w:r>
      <w:r w:rsidR="00D94577">
        <w:t xml:space="preserve"> bezeichnet.</w:t>
      </w:r>
    </w:p>
    <w:p w14:paraId="5C4F23AD" w14:textId="77777777" w:rsidR="00E15830" w:rsidRPr="00C11558" w:rsidRDefault="00E15830" w:rsidP="00C11558">
      <w:r>
        <w:t>Die wesentlichen Anforde</w:t>
      </w:r>
      <w:r w:rsidR="00D94577">
        <w:t>rungen an die neuen Polyesteramide</w:t>
      </w:r>
      <w:r>
        <w:t xml:space="preserve"> waren eine hohe Verkapselungseffizienz für Peptide und Proteine, </w:t>
      </w:r>
      <w:r w:rsidR="00004346">
        <w:t>die Möglichkeit vielfältiger</w:t>
      </w:r>
      <w:r w:rsidR="00156B32">
        <w:t xml:space="preserve"> Funktionalisierungen</w:t>
      </w:r>
      <w:r w:rsidR="002550DF">
        <w:t>, die Formulierbarkeit von Nanopartikeln</w:t>
      </w:r>
      <w:r w:rsidR="00156B32">
        <w:t xml:space="preserve"> sowie deren toxikologische Unbedenklichkeit.</w:t>
      </w:r>
    </w:p>
    <w:p w14:paraId="63187C7C" w14:textId="77777777" w:rsidR="00322E64" w:rsidRDefault="006C3694" w:rsidP="00996F38">
      <w:pPr>
        <w:pStyle w:val="berschrift3"/>
      </w:pPr>
      <w:bookmarkStart w:id="95" w:name="_Ref273892599"/>
      <w:bookmarkStart w:id="96" w:name="_Toc294380190"/>
      <w:r>
        <w:t xml:space="preserve">Herstellung der </w:t>
      </w:r>
      <w:r w:rsidR="00322E64">
        <w:t>Polyesteramide</w:t>
      </w:r>
      <w:bookmarkEnd w:id="95"/>
      <w:bookmarkEnd w:id="96"/>
    </w:p>
    <w:p w14:paraId="3D6C9CAE" w14:textId="77777777" w:rsidR="002550DF" w:rsidRDefault="001C4483" w:rsidP="000F2617">
      <w:pPr>
        <w:spacing w:after="360"/>
      </w:pPr>
      <w:r>
        <w:t>Zunächst mussten Monomere mit Aminosäuren hergestellt werden, die sich in den Polymeri</w:t>
      </w:r>
      <w:r w:rsidR="008E6AB0">
        <w:t>sationsprozess der PLGA Synthese</w:t>
      </w:r>
      <w:r>
        <w:t xml:space="preserve"> </w:t>
      </w:r>
      <w:r w:rsidR="008E6AB0">
        <w:t xml:space="preserve">(siehe </w:t>
      </w:r>
      <w:r w:rsidR="00D16240">
        <w:fldChar w:fldCharType="begin"/>
      </w:r>
      <w:r w:rsidR="008E6AB0">
        <w:instrText xml:space="preserve"> REF _Ref271753716 \h </w:instrText>
      </w:r>
      <w:r w:rsidR="00D16240">
        <w:fldChar w:fldCharType="separate"/>
      </w:r>
      <w:r w:rsidR="00711AB8" w:rsidRPr="009E710C">
        <w:t xml:space="preserve">Abbildung </w:t>
      </w:r>
      <w:r w:rsidR="00711AB8">
        <w:rPr>
          <w:noProof/>
        </w:rPr>
        <w:t>5</w:t>
      </w:r>
      <w:r w:rsidR="00D16240">
        <w:fldChar w:fldCharType="end"/>
      </w:r>
      <w:r w:rsidR="008E6AB0">
        <w:t xml:space="preserve"> in Kapitel </w:t>
      </w:r>
      <w:r w:rsidR="00D16240">
        <w:fldChar w:fldCharType="begin"/>
      </w:r>
      <w:r w:rsidR="008E6AB0">
        <w:instrText xml:space="preserve"> REF _Ref272000492 \n \h </w:instrText>
      </w:r>
      <w:r w:rsidR="00D16240">
        <w:fldChar w:fldCharType="separate"/>
      </w:r>
      <w:r w:rsidR="00711AB8">
        <w:t>1.5.3</w:t>
      </w:r>
      <w:r w:rsidR="00D16240">
        <w:fldChar w:fldCharType="end"/>
      </w:r>
      <w:r w:rsidR="008E6AB0">
        <w:t xml:space="preserve">) </w:t>
      </w:r>
      <w:r>
        <w:t>integrieren ließen. Dabei war sicherzustellen, dass der variable Aminosäurerest nach der Polymerisation als freie Seitengruppe am Polymerrückrat vorliegt. Optimal erschien hier die Verwendung von Morpholin-2,5-dionen, die nach Literaturvorbild</w:t>
      </w:r>
      <w:r w:rsidR="008E6AB0">
        <w:t xml:space="preserve"> mit unterschiedlichen Aminosäuren</w:t>
      </w:r>
      <w:r>
        <w:t xml:space="preserve"> synthetisiert </w:t>
      </w:r>
      <w:r w:rsidR="000E21A8">
        <w:t>wurden</w:t>
      </w:r>
      <w:r w:rsidR="00262CA1">
        <w:rPr>
          <w:rStyle w:val="Endnotenzeichen"/>
        </w:rPr>
        <w:endnoteReference w:id="103"/>
      </w:r>
      <w:r w:rsidR="000E21A8">
        <w:rPr>
          <w:vertAlign w:val="superscript"/>
        </w:rPr>
        <w:t>,</w:t>
      </w:r>
      <w:r w:rsidR="00262CA1">
        <w:rPr>
          <w:rStyle w:val="Endnotenzeichen"/>
        </w:rPr>
        <w:endnoteReference w:id="104"/>
      </w:r>
      <w:r>
        <w:t>.</w:t>
      </w:r>
      <w:r w:rsidR="00AA1E81">
        <w:t xml:space="preserve"> Die Synthese der Monomere verläuft in zwei Schritten und wird in </w:t>
      </w:r>
      <w:r w:rsidR="00D16240">
        <w:fldChar w:fldCharType="begin"/>
      </w:r>
      <w:r w:rsidR="00AA1E81">
        <w:instrText xml:space="preserve"> REF _Ref272000936 \h </w:instrText>
      </w:r>
      <w:r w:rsidR="00D16240">
        <w:fldChar w:fldCharType="separate"/>
      </w:r>
      <w:r w:rsidR="00711AB8" w:rsidRPr="00AA1E81">
        <w:t xml:space="preserve">Abbildung </w:t>
      </w:r>
      <w:r w:rsidR="00711AB8">
        <w:rPr>
          <w:noProof/>
        </w:rPr>
        <w:t>6</w:t>
      </w:r>
      <w:r w:rsidR="00D16240">
        <w:fldChar w:fldCharType="end"/>
      </w:r>
      <w:r w:rsidR="00AA1E81">
        <w:t xml:space="preserve"> schematisch dargestellt.</w:t>
      </w:r>
    </w:p>
    <w:p w14:paraId="0AC38DD0" w14:textId="77777777" w:rsidR="00AA1E81" w:rsidRDefault="008C171A" w:rsidP="00AA1E81">
      <w:pPr>
        <w:jc w:val="center"/>
        <w:rPr>
          <w:rFonts w:cs="Arial"/>
        </w:rPr>
      </w:pPr>
      <w:r>
        <w:rPr>
          <w:rFonts w:cs="Arial"/>
          <w:noProof/>
          <w:lang w:eastAsia="de-DE"/>
        </w:rPr>
        <w:drawing>
          <wp:inline distT="0" distB="0" distL="0" distR="0" wp14:anchorId="6AD7029E" wp14:editId="558C57CA">
            <wp:extent cx="4411345" cy="2463800"/>
            <wp:effectExtent l="0" t="0" r="8255" b="0"/>
            <wp:docPr id="2150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11345" cy="2463800"/>
                    </a:xfrm>
                    <a:prstGeom prst="rect">
                      <a:avLst/>
                    </a:prstGeom>
                    <a:noFill/>
                    <a:ln>
                      <a:noFill/>
                    </a:ln>
                  </pic:spPr>
                </pic:pic>
              </a:graphicData>
            </a:graphic>
          </wp:inline>
        </w:drawing>
      </w:r>
    </w:p>
    <w:p w14:paraId="0B242CCC" w14:textId="77777777" w:rsidR="0098797E" w:rsidRDefault="00AA1E81" w:rsidP="00B240B0">
      <w:pPr>
        <w:pStyle w:val="Beschriftung"/>
        <w:spacing w:after="0"/>
        <w:ind w:firstLine="0"/>
        <w:rPr>
          <w:b w:val="0"/>
        </w:rPr>
      </w:pPr>
      <w:bookmarkStart w:id="97" w:name="_Ref272000936"/>
      <w:r w:rsidRPr="00AA1E81">
        <w:t xml:space="preserve">Abbildung </w:t>
      </w:r>
      <w:fldSimple w:instr=" SEQ Abbildung \* ARABIC ">
        <w:r w:rsidR="00711AB8">
          <w:rPr>
            <w:noProof/>
          </w:rPr>
          <w:t>6</w:t>
        </w:r>
      </w:fldSimple>
      <w:bookmarkEnd w:id="97"/>
      <w:r>
        <w:t xml:space="preserve"> </w:t>
      </w:r>
      <w:r>
        <w:rPr>
          <w:b w:val="0"/>
        </w:rPr>
        <w:t xml:space="preserve">Schematische Darstellung der Synthese von Morpholin-2,5-dion Derivaten mit </w:t>
      </w:r>
      <w:r w:rsidR="00E36FB0">
        <w:rPr>
          <w:b w:val="0"/>
        </w:rPr>
        <w:t>geschützter Aminosäure Seitenkette</w:t>
      </w:r>
      <w:r>
        <w:rPr>
          <w:b w:val="0"/>
        </w:rPr>
        <w:t xml:space="preserve"> in Position 3</w:t>
      </w:r>
      <w:r w:rsidR="00BF6D4C">
        <w:rPr>
          <w:b w:val="0"/>
        </w:rPr>
        <w:t xml:space="preserve"> (R)</w:t>
      </w:r>
      <w:r w:rsidR="00057BAF">
        <w:fldChar w:fldCharType="begin"/>
      </w:r>
      <w:r w:rsidR="00057BAF">
        <w:instrText xml:space="preserve"> NOTEREF _Ref399945408 \f \h  \* MERGEFORMAT </w:instrText>
      </w:r>
      <w:r w:rsidR="00057BAF">
        <w:fldChar w:fldCharType="separate"/>
      </w:r>
      <w:r w:rsidR="00711AB8" w:rsidRPr="00711AB8">
        <w:rPr>
          <w:rStyle w:val="Endnotenzeichen"/>
          <w:b w:val="0"/>
        </w:rPr>
        <w:t>105</w:t>
      </w:r>
      <w:r w:rsidR="00057BAF">
        <w:fldChar w:fldCharType="end"/>
      </w:r>
      <w:r w:rsidR="00EF13B3">
        <w:rPr>
          <w:b w:val="0"/>
        </w:rPr>
        <w:t>.</w:t>
      </w:r>
    </w:p>
    <w:p w14:paraId="05D7457C" w14:textId="77777777" w:rsidR="006A241B" w:rsidRPr="006A241B" w:rsidRDefault="006A241B" w:rsidP="006A241B"/>
    <w:p w14:paraId="2E916271" w14:textId="77777777" w:rsidR="00BF6D4C" w:rsidRDefault="00AA1E81" w:rsidP="00E36FB0">
      <w:r>
        <w:t>I</w:t>
      </w:r>
      <w:r w:rsidRPr="00AA1E81">
        <w:t xml:space="preserve">n der ersten Stufe </w:t>
      </w:r>
      <w:r>
        <w:t xml:space="preserve">wird </w:t>
      </w:r>
      <w:r w:rsidRPr="00AA1E81">
        <w:t>eine Aminosäure mit geschützter Seitenkettenfunktionalität mit Bromacetylbromid zum entsprechenden N-Bromacetylderiva</w:t>
      </w:r>
      <w:r>
        <w:t>t unter Schotten-Baumann Beding</w:t>
      </w:r>
      <w:r w:rsidRPr="00AA1E81">
        <w:t>ungen umgesetzt. Dieses wird dann in der zweite</w:t>
      </w:r>
      <w:r w:rsidR="009B1310">
        <w:t>n Stufe zum Morpholin-2,5-dion cyc</w:t>
      </w:r>
      <w:r w:rsidRPr="00AA1E81">
        <w:t>lisiert.</w:t>
      </w:r>
      <w:r>
        <w:t xml:space="preserve"> </w:t>
      </w:r>
      <w:r w:rsidR="00904803">
        <w:t>Alle</w:t>
      </w:r>
      <w:r w:rsidRPr="00AA1E81">
        <w:t xml:space="preserve"> Produkte konnten nach Aufarbeitung und Umkristallisation i</w:t>
      </w:r>
      <w:r w:rsidR="00EF13B3">
        <w:t>n sehr hoher</w:t>
      </w:r>
      <w:r w:rsidR="008215A9">
        <w:t xml:space="preserve"> Reinheit (&gt;</w:t>
      </w:r>
      <w:r w:rsidR="005844F7">
        <w:t>99</w:t>
      </w:r>
      <w:r w:rsidRPr="00AA1E81">
        <w:t xml:space="preserve">%) erhalten werden. </w:t>
      </w:r>
      <w:r w:rsidR="00E36FB0">
        <w:t xml:space="preserve">Es wurden Monomere mit den Aminosäuren </w:t>
      </w:r>
      <w:r w:rsidR="00E36FB0">
        <w:lastRenderedPageBreak/>
        <w:t>Asparaginsäure, Cystein und Lysin hergestellt.</w:t>
      </w:r>
      <w:r w:rsidR="000A6796">
        <w:t xml:space="preserve"> Formal</w:t>
      </w:r>
      <w:r w:rsidR="00020E10">
        <w:t xml:space="preserve"> stellen die Morpholin-2,5-dione eine</w:t>
      </w:r>
      <w:r w:rsidR="00465968">
        <w:t xml:space="preserve"> cyclische Verbindung aus einer </w:t>
      </w:r>
      <w:r w:rsidR="00D94577">
        <w:t>Aminosäure mit</w:t>
      </w:r>
      <w:r w:rsidR="00465968">
        <w:t xml:space="preserve"> geschütztem Aminosäurerest</w:t>
      </w:r>
      <w:r w:rsidR="00D94577">
        <w:t xml:space="preserve"> </w:t>
      </w:r>
      <w:r w:rsidR="00465968">
        <w:t xml:space="preserve">und </w:t>
      </w:r>
      <w:r w:rsidR="00D94577">
        <w:t>einem</w:t>
      </w:r>
      <w:r w:rsidR="00020E10">
        <w:t xml:space="preserve"> Glycolsäure</w:t>
      </w:r>
      <w:r w:rsidR="00D94577">
        <w:t>molekül dar.</w:t>
      </w:r>
    </w:p>
    <w:p w14:paraId="1A7A4BF7" w14:textId="77777777" w:rsidR="00AA1E81" w:rsidRPr="00AA1E81" w:rsidRDefault="00AA1E81" w:rsidP="00904803">
      <w:pPr>
        <w:contextualSpacing/>
      </w:pPr>
      <w:r w:rsidRPr="00AA1E81">
        <w:t>Für die Auswahl der Schutzgruppen waren folgende Kriterien maßgebend:</w:t>
      </w:r>
    </w:p>
    <w:p w14:paraId="60C0FE12" w14:textId="77777777" w:rsidR="00AA1E81" w:rsidRPr="00AA1E81" w:rsidRDefault="00AA1E81" w:rsidP="00904803">
      <w:pPr>
        <w:numPr>
          <w:ilvl w:val="0"/>
          <w:numId w:val="26"/>
        </w:numPr>
        <w:ind w:left="714" w:hanging="357"/>
        <w:contextualSpacing/>
      </w:pPr>
      <w:r w:rsidRPr="00AA1E81">
        <w:t>Stabilität gegenüber den Reaktionsbedingungen bei der Hers</w:t>
      </w:r>
      <w:r w:rsidR="000A6796">
        <w:t>tellung der Morpholin-2,5-dione.</w:t>
      </w:r>
    </w:p>
    <w:p w14:paraId="66DFF358" w14:textId="77777777" w:rsidR="00AA1E81" w:rsidRPr="00AA1E81" w:rsidRDefault="00AA1E81" w:rsidP="00904803">
      <w:pPr>
        <w:numPr>
          <w:ilvl w:val="0"/>
          <w:numId w:val="26"/>
        </w:numPr>
        <w:ind w:left="714" w:hanging="357"/>
        <w:contextualSpacing/>
      </w:pPr>
      <w:r w:rsidRPr="00AA1E81">
        <w:t>Stabilität gegenüber den Reaktionsbedingungen bei der Polymerisation</w:t>
      </w:r>
      <w:r w:rsidR="000A6796">
        <w:t>.</w:t>
      </w:r>
    </w:p>
    <w:p w14:paraId="38876C02" w14:textId="77777777" w:rsidR="00AA1E81" w:rsidRPr="00AA1E81" w:rsidRDefault="00AA1E81" w:rsidP="00904803">
      <w:pPr>
        <w:numPr>
          <w:ilvl w:val="0"/>
          <w:numId w:val="26"/>
        </w:numPr>
        <w:ind w:left="714" w:hanging="357"/>
        <w:contextualSpacing/>
      </w:pPr>
      <w:r w:rsidRPr="00AA1E81">
        <w:t>Möglichst milde Bedingungen für die Abspaltung auf der Stufe des Polymers</w:t>
      </w:r>
      <w:r w:rsidR="000A6796">
        <w:t>.</w:t>
      </w:r>
    </w:p>
    <w:p w14:paraId="3E4757ED" w14:textId="77777777" w:rsidR="00E36FB0" w:rsidRDefault="00AA1E81" w:rsidP="00BC51E6">
      <w:pPr>
        <w:numPr>
          <w:ilvl w:val="0"/>
          <w:numId w:val="26"/>
        </w:numPr>
        <w:ind w:left="714" w:hanging="357"/>
      </w:pPr>
      <w:r w:rsidRPr="00AA1E81">
        <w:t>Kommerzielle Verfügbarkeit</w:t>
      </w:r>
      <w:r w:rsidR="000A6796">
        <w:t>.</w:t>
      </w:r>
    </w:p>
    <w:p w14:paraId="5204F8B6" w14:textId="77777777" w:rsidR="00E36FB0" w:rsidRDefault="00607A6E" w:rsidP="00E36FB0">
      <w:pPr>
        <w:contextualSpacing/>
      </w:pPr>
      <w:r>
        <w:t>Anschließend wurden die Morpholinderivate an der Universität Jena mittels kationischer Ringöffnungspolymerisation mit L-Lact</w:t>
      </w:r>
      <w:r w:rsidR="00AD661B">
        <w:t>id zu den</w:t>
      </w:r>
      <w:r>
        <w:t xml:space="preserve"> entsprechenden Homopolymere</w:t>
      </w:r>
      <w:r w:rsidR="00AD661B">
        <w:t>n copolymerisiert</w:t>
      </w:r>
      <w:r>
        <w:t>.</w:t>
      </w:r>
      <w:r w:rsidR="00BC51E6">
        <w:t xml:space="preserve"> Die Polymerisationsreaktion</w:t>
      </w:r>
      <w:r w:rsidR="00011005">
        <w:t xml:space="preserve"> für die Polyesteram</w:t>
      </w:r>
      <w:r w:rsidR="00BC51E6">
        <w:t>ide ist</w:t>
      </w:r>
      <w:r w:rsidR="00011005">
        <w:t xml:space="preserve"> in </w:t>
      </w:r>
      <w:r w:rsidR="00D16240">
        <w:fldChar w:fldCharType="begin"/>
      </w:r>
      <w:r w:rsidR="00011005">
        <w:instrText xml:space="preserve"> REF _Ref272011066 \h </w:instrText>
      </w:r>
      <w:r w:rsidR="00D16240">
        <w:fldChar w:fldCharType="separate"/>
      </w:r>
      <w:r w:rsidR="00711AB8" w:rsidRPr="00011005">
        <w:t xml:space="preserve">Abbildung </w:t>
      </w:r>
      <w:r w:rsidR="00711AB8">
        <w:rPr>
          <w:noProof/>
        </w:rPr>
        <w:t>7</w:t>
      </w:r>
      <w:r w:rsidR="00D16240">
        <w:fldChar w:fldCharType="end"/>
      </w:r>
      <w:r w:rsidR="00011005">
        <w:t xml:space="preserve"> schematisch dargestellt:</w:t>
      </w:r>
    </w:p>
    <w:p w14:paraId="23C64140" w14:textId="77777777" w:rsidR="00011005" w:rsidRDefault="00B240B0" w:rsidP="00E36FB0">
      <w:pPr>
        <w:contextualSpacing/>
      </w:pPr>
      <w:r>
        <w:rPr>
          <w:noProof/>
          <w:lang w:eastAsia="de-DE"/>
        </w:rPr>
        <w:drawing>
          <wp:anchor distT="0" distB="0" distL="114300" distR="114300" simplePos="0" relativeHeight="251660288" behindDoc="0" locked="0" layoutInCell="1" allowOverlap="1" wp14:anchorId="0410CBE9" wp14:editId="136B4FDC">
            <wp:simplePos x="0" y="0"/>
            <wp:positionH relativeFrom="column">
              <wp:posOffset>571500</wp:posOffset>
            </wp:positionH>
            <wp:positionV relativeFrom="paragraph">
              <wp:posOffset>205740</wp:posOffset>
            </wp:positionV>
            <wp:extent cx="4114800" cy="1139825"/>
            <wp:effectExtent l="0" t="0" r="0" b="0"/>
            <wp:wrapThrough wrapText="bothSides">
              <wp:wrapPolygon edited="0">
                <wp:start x="6133" y="0"/>
                <wp:lineTo x="3467" y="963"/>
                <wp:lineTo x="667" y="4813"/>
                <wp:lineTo x="667" y="8183"/>
                <wp:lineTo x="0" y="10589"/>
                <wp:lineTo x="0" y="13959"/>
                <wp:lineTo x="667" y="15884"/>
                <wp:lineTo x="533" y="18291"/>
                <wp:lineTo x="1467" y="19253"/>
                <wp:lineTo x="4133" y="20216"/>
                <wp:lineTo x="7600" y="20216"/>
                <wp:lineTo x="21333" y="17328"/>
                <wp:lineTo x="21467" y="13477"/>
                <wp:lineTo x="21467" y="9627"/>
                <wp:lineTo x="19600" y="8183"/>
                <wp:lineTo x="6933" y="0"/>
                <wp:lineTo x="6133" y="0"/>
              </wp:wrapPolygon>
            </wp:wrapThrough>
            <wp:docPr id="866304"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b="38135"/>
                    <a:stretch>
                      <a:fillRect/>
                    </a:stretch>
                  </pic:blipFill>
                  <pic:spPr bwMode="auto">
                    <a:xfrm>
                      <a:off x="0" y="0"/>
                      <a:ext cx="4114800" cy="1139825"/>
                    </a:xfrm>
                    <a:prstGeom prst="rect">
                      <a:avLst/>
                    </a:prstGeom>
                    <a:noFill/>
                    <a:effectLst/>
                  </pic:spPr>
                </pic:pic>
              </a:graphicData>
            </a:graphic>
          </wp:anchor>
        </w:drawing>
      </w:r>
    </w:p>
    <w:p w14:paraId="07C1F3A5" w14:textId="77777777" w:rsidR="00011005" w:rsidRDefault="00011005" w:rsidP="00011005">
      <w:pPr>
        <w:contextualSpacing/>
      </w:pPr>
    </w:p>
    <w:p w14:paraId="36ACA7AE" w14:textId="77777777" w:rsidR="00011005" w:rsidRDefault="00011005" w:rsidP="00011005">
      <w:pPr>
        <w:contextualSpacing/>
      </w:pPr>
    </w:p>
    <w:p w14:paraId="18A99488" w14:textId="77777777" w:rsidR="00011005" w:rsidRDefault="00011005" w:rsidP="00011005">
      <w:pPr>
        <w:contextualSpacing/>
      </w:pPr>
    </w:p>
    <w:p w14:paraId="3CB3E279" w14:textId="77777777" w:rsidR="00011005" w:rsidRDefault="00011005" w:rsidP="00011005">
      <w:pPr>
        <w:contextualSpacing/>
      </w:pPr>
    </w:p>
    <w:p w14:paraId="5C041738" w14:textId="77777777" w:rsidR="002E1F31" w:rsidRDefault="002E1F31" w:rsidP="00011005">
      <w:pPr>
        <w:contextualSpacing/>
      </w:pPr>
    </w:p>
    <w:p w14:paraId="23FBA253" w14:textId="77777777" w:rsidR="002E1F31" w:rsidRPr="00011005" w:rsidRDefault="00011005" w:rsidP="00A00C28">
      <w:pPr>
        <w:pStyle w:val="Beschriftung"/>
        <w:spacing w:after="0"/>
        <w:ind w:firstLine="0"/>
        <w:rPr>
          <w:b w:val="0"/>
        </w:rPr>
      </w:pPr>
      <w:bookmarkStart w:id="98" w:name="_Ref272011066"/>
      <w:r w:rsidRPr="00011005">
        <w:t xml:space="preserve">Abbildung </w:t>
      </w:r>
      <w:fldSimple w:instr=" SEQ Abbildung \* ARABIC ">
        <w:r w:rsidR="00711AB8">
          <w:rPr>
            <w:noProof/>
          </w:rPr>
          <w:t>7</w:t>
        </w:r>
      </w:fldSimple>
      <w:bookmarkEnd w:id="98"/>
      <w:r>
        <w:t xml:space="preserve"> </w:t>
      </w:r>
      <w:r w:rsidR="00BC51E6">
        <w:rPr>
          <w:b w:val="0"/>
        </w:rPr>
        <w:t>Allgemeine Reaktionsgleichung der C</w:t>
      </w:r>
      <w:r>
        <w:rPr>
          <w:b w:val="0"/>
        </w:rPr>
        <w:t>opoly</w:t>
      </w:r>
      <w:r w:rsidR="00755F6E">
        <w:rPr>
          <w:b w:val="0"/>
        </w:rPr>
        <w:t>merisation der Morpholin-2,5-dion Monomere</w:t>
      </w:r>
      <w:r w:rsidR="00B240B0">
        <w:rPr>
          <w:b w:val="0"/>
        </w:rPr>
        <w:t xml:space="preserve"> mit </w:t>
      </w:r>
      <w:r>
        <w:rPr>
          <w:b w:val="0"/>
        </w:rPr>
        <w:t>L-Lactid</w:t>
      </w:r>
      <w:r w:rsidR="000A6796">
        <w:rPr>
          <w:b w:val="0"/>
        </w:rPr>
        <w:t xml:space="preserve">, </w:t>
      </w:r>
      <w:r w:rsidR="00B240B0">
        <w:rPr>
          <w:b w:val="0"/>
        </w:rPr>
        <w:t xml:space="preserve">        </w:t>
      </w:r>
      <w:r w:rsidR="00755F6E">
        <w:rPr>
          <w:b w:val="0"/>
        </w:rPr>
        <w:t>R: Aminosäureseitenkette mit Schutzgruppe</w:t>
      </w:r>
      <w:r w:rsidR="00057BAF">
        <w:fldChar w:fldCharType="begin"/>
      </w:r>
      <w:r w:rsidR="00057BAF">
        <w:instrText xml:space="preserve"> NOTEREF _Ref399945408 \f \h  \* MERGEFORMAT </w:instrText>
      </w:r>
      <w:r w:rsidR="00057BAF">
        <w:fldChar w:fldCharType="separate"/>
      </w:r>
      <w:r w:rsidR="00711AB8" w:rsidRPr="00711AB8">
        <w:rPr>
          <w:rStyle w:val="Endnotenzeichen"/>
          <w:b w:val="0"/>
        </w:rPr>
        <w:t>105</w:t>
      </w:r>
      <w:r w:rsidR="00057BAF">
        <w:fldChar w:fldCharType="end"/>
      </w:r>
    </w:p>
    <w:p w14:paraId="078F21F9" w14:textId="77777777" w:rsidR="00011005" w:rsidRDefault="00011005" w:rsidP="00D90DF8"/>
    <w:p w14:paraId="1916FC71" w14:textId="77777777" w:rsidR="00BA6D0E" w:rsidRDefault="00BA6D0E" w:rsidP="00B7664D">
      <w:r>
        <w:t xml:space="preserve">Die beiden cyclischen Monomere </w:t>
      </w:r>
      <w:r w:rsidR="002E1F31">
        <w:t>Morpholin-2,5-dion</w:t>
      </w:r>
      <w:r>
        <w:t xml:space="preserve"> </w:t>
      </w:r>
      <w:r w:rsidR="002E1F31">
        <w:t xml:space="preserve">und L-Lactid wurden jeweils </w:t>
      </w:r>
      <w:r>
        <w:t xml:space="preserve">unter inerter Atmosphäre verschmolzen </w:t>
      </w:r>
      <w:r w:rsidR="002E1F31">
        <w:t xml:space="preserve">und nach Zugabe des in Toluol gelösten Initiators </w:t>
      </w:r>
      <w:r w:rsidR="002E1F31" w:rsidRPr="002E1F31">
        <w:t>Zinn-2-ethyl-hexanoat (SnOct</w:t>
      </w:r>
      <w:r w:rsidR="002E1F31" w:rsidRPr="002E1F31">
        <w:rPr>
          <w:vertAlign w:val="subscript"/>
        </w:rPr>
        <w:t>2</w:t>
      </w:r>
      <w:r w:rsidR="002E1F31" w:rsidRPr="002E1F31">
        <w:t>)</w:t>
      </w:r>
      <w:r w:rsidR="002E1F31">
        <w:t xml:space="preserve"> unter Argon zwischen 100</w:t>
      </w:r>
      <w:r w:rsidR="00D25750">
        <w:t xml:space="preserve"> </w:t>
      </w:r>
      <w:r w:rsidR="002E1F31">
        <w:t>°C und 140</w:t>
      </w:r>
      <w:r w:rsidR="00D25750">
        <w:t xml:space="preserve"> </w:t>
      </w:r>
      <w:r w:rsidR="002E1F31">
        <w:t>°C für 24, 48 oder 96 Stunden erhitzt.</w:t>
      </w:r>
      <w:r w:rsidR="00011005">
        <w:t xml:space="preserve"> Nach Abschluss der Polymerisation wurden die Polymere in Chloroform gelöst und in Diethylether ausgefällt. Nach der Trocknung wurde ein weißes Pulver erhalten.</w:t>
      </w:r>
    </w:p>
    <w:p w14:paraId="21DF2A42" w14:textId="77777777" w:rsidR="001D05EB" w:rsidRDefault="00B7664D" w:rsidP="004E5E8E">
      <w:r>
        <w:t>Die anschließende Entfernun</w:t>
      </w:r>
      <w:r w:rsidR="007E7624">
        <w:t>g der Schutzgruppe</w:t>
      </w:r>
      <w:r w:rsidR="00755F6E">
        <w:t>n ist bei diesen Strukturen nicht trivial</w:t>
      </w:r>
      <w:r w:rsidR="007E7624">
        <w:t>. Unter dra</w:t>
      </w:r>
      <w:r w:rsidR="00755F6E">
        <w:t>stischen Reaktionsbedingungen kö</w:t>
      </w:r>
      <w:r w:rsidR="007E7624">
        <w:t>nnten die Schutzgruppen zwar quantita</w:t>
      </w:r>
      <w:r w:rsidR="004E5E8E">
        <w:t>tiv entfernt werden, aber dabei kann</w:t>
      </w:r>
      <w:r w:rsidR="007E7624">
        <w:t xml:space="preserve"> </w:t>
      </w:r>
      <w:r w:rsidR="004E5E8E">
        <w:t xml:space="preserve">es </w:t>
      </w:r>
      <w:r w:rsidR="007E7624">
        <w:t>vermehrt zu einem Abbau des Polymerrückrates</w:t>
      </w:r>
      <w:r w:rsidR="004E5E8E">
        <w:t xml:space="preserve"> kommen</w:t>
      </w:r>
      <w:r w:rsidR="007E7624">
        <w:t>. Zu milde Reakt</w:t>
      </w:r>
      <w:r w:rsidR="004E5E8E">
        <w:t>ionsbedingungen hingegen würden</w:t>
      </w:r>
      <w:r w:rsidR="007E7624">
        <w:t xml:space="preserve"> zu niedrigen Entschützungsgraden</w:t>
      </w:r>
      <w:r w:rsidR="004E5E8E">
        <w:t xml:space="preserve"> führen</w:t>
      </w:r>
      <w:r w:rsidR="007E7624">
        <w:t>. Für die Polyesteramide mit Asparaginsäure und Cystein konnten gute Lösungen gefunden werden, während die Entschützung des Lysin-Typs nicht erfolgreich war.</w:t>
      </w:r>
      <w:r w:rsidR="009414AF">
        <w:t xml:space="preserve"> </w:t>
      </w:r>
      <w:r w:rsidR="009414AF" w:rsidRPr="009414AF">
        <w:t>Der Erfolg der Entschützung wurde mittels NMR-Spektroskopie (Entschützungsgrad) und Größenausschlusschromato</w:t>
      </w:r>
      <w:r w:rsidR="009414AF">
        <w:t>-</w:t>
      </w:r>
      <w:r w:rsidR="009414AF" w:rsidRPr="009414AF">
        <w:t>graphie</w:t>
      </w:r>
      <w:r w:rsidR="009414AF">
        <w:t>, kurz</w:t>
      </w:r>
      <w:r w:rsidR="009414AF" w:rsidRPr="009414AF">
        <w:t xml:space="preserve"> SEC</w:t>
      </w:r>
      <w:r w:rsidR="009414AF">
        <w:t>,</w:t>
      </w:r>
      <w:r w:rsidR="009414AF" w:rsidRPr="009414AF">
        <w:t xml:space="preserve"> (Stabilität des Polymerrückrats) untersucht.</w:t>
      </w:r>
      <w:r w:rsidR="003C3EF9">
        <w:t xml:space="preserve"> Bei den</w:t>
      </w:r>
      <w:r w:rsidR="009414AF">
        <w:t xml:space="preserve"> Asparaginsäure und Cystein Polyesteramide</w:t>
      </w:r>
      <w:r w:rsidR="003C3EF9">
        <w:t>n</w:t>
      </w:r>
      <w:r w:rsidR="009414AF">
        <w:t xml:space="preserve"> </w:t>
      </w:r>
      <w:r w:rsidR="003C3EF9">
        <w:t>konnten die Schutzgruppen zu annäh</w:t>
      </w:r>
      <w:r w:rsidR="001025F6">
        <w:t>ernd 100% entfernt werden</w:t>
      </w:r>
      <w:r w:rsidR="003C3EF9">
        <w:t xml:space="preserve"> </w:t>
      </w:r>
      <w:r w:rsidR="003C3EF9">
        <w:lastRenderedPageBreak/>
        <w:t>ohne dabei das Polymerrückrat abzubauen. Beim Lysin Typ gelang die Entfernung der Schutzgruppen unter Erhaltung der Polymerkette maximal zu 50 bis 70%.</w:t>
      </w:r>
    </w:p>
    <w:p w14:paraId="0964EA17" w14:textId="77777777" w:rsidR="001D05EB" w:rsidRDefault="001D05EB" w:rsidP="005D2AB8">
      <w:pPr>
        <w:spacing w:after="0"/>
      </w:pPr>
    </w:p>
    <w:p w14:paraId="7F752C19" w14:textId="77777777" w:rsidR="00661CFB" w:rsidRDefault="00661CFB" w:rsidP="005D2AB8">
      <w:pPr>
        <w:spacing w:after="0"/>
      </w:pPr>
      <w:r>
        <w:t xml:space="preserve">Die </w:t>
      </w:r>
      <w:r w:rsidR="000F6F2F">
        <w:t>in der vorliegende</w:t>
      </w:r>
      <w:r w:rsidR="004E5E8E">
        <w:t>n Arbeit verwenden Polyesteramid</w:t>
      </w:r>
      <w:r w:rsidR="00A70D5A">
        <w:t xml:space="preserve"> Polymere</w:t>
      </w:r>
      <w:r w:rsidR="000F6F2F">
        <w:t xml:space="preserve"> </w:t>
      </w:r>
      <w:r>
        <w:t xml:space="preserve">zur Herstellung von Arzneistoffträgern </w:t>
      </w:r>
      <w:r w:rsidR="00CC018A">
        <w:t xml:space="preserve">sind in </w:t>
      </w:r>
      <w:r w:rsidR="00D16240">
        <w:fldChar w:fldCharType="begin"/>
      </w:r>
      <w:r w:rsidR="00CC018A">
        <w:instrText xml:space="preserve"> REF _Ref272015502 \h </w:instrText>
      </w:r>
      <w:r w:rsidR="00D16240">
        <w:fldChar w:fldCharType="separate"/>
      </w:r>
      <w:r w:rsidR="00711AB8" w:rsidRPr="00661CFB">
        <w:t xml:space="preserve">Tabelle </w:t>
      </w:r>
      <w:r w:rsidR="00711AB8">
        <w:rPr>
          <w:noProof/>
        </w:rPr>
        <w:t>6</w:t>
      </w:r>
      <w:r w:rsidR="00D16240">
        <w:fldChar w:fldCharType="end"/>
      </w:r>
      <w:r>
        <w:t xml:space="preserve"> aufgelistet.</w:t>
      </w:r>
    </w:p>
    <w:p w14:paraId="4D29C0AE" w14:textId="77777777" w:rsidR="005D2AB8" w:rsidRDefault="005D2AB8" w:rsidP="003A4048"/>
    <w:p w14:paraId="55D1A7F4" w14:textId="77777777" w:rsidR="00661CFB" w:rsidRPr="00661CFB" w:rsidRDefault="00661CFB" w:rsidP="00902C2E">
      <w:pPr>
        <w:pStyle w:val="Beschriftung"/>
        <w:ind w:firstLine="0"/>
        <w:rPr>
          <w:b w:val="0"/>
        </w:rPr>
      </w:pPr>
      <w:bookmarkStart w:id="99" w:name="_Ref272015502"/>
      <w:bookmarkStart w:id="100" w:name="_Ref282708548"/>
      <w:r w:rsidRPr="00661CFB">
        <w:t xml:space="preserve">Tabelle </w:t>
      </w:r>
      <w:fldSimple w:instr=" SEQ Tabelle \* ARABIC ">
        <w:r w:rsidR="00711AB8">
          <w:rPr>
            <w:noProof/>
          </w:rPr>
          <w:t>6</w:t>
        </w:r>
      </w:fldSimple>
      <w:bookmarkEnd w:id="99"/>
      <w:r>
        <w:t xml:space="preserve"> </w:t>
      </w:r>
      <w:r w:rsidR="004E5E8E">
        <w:rPr>
          <w:b w:val="0"/>
        </w:rPr>
        <w:t>Polyesteramide mit</w:t>
      </w:r>
      <w:r w:rsidRPr="00661CFB">
        <w:rPr>
          <w:b w:val="0"/>
        </w:rPr>
        <w:t xml:space="preserve"> Charakterisierungsdetails</w:t>
      </w:r>
      <w:r w:rsidR="00057BAF">
        <w:fldChar w:fldCharType="begin"/>
      </w:r>
      <w:r w:rsidR="00057BAF">
        <w:instrText xml:space="preserve"> NOTEREF _Ref399945408 \f \h  \* MERGEFORMAT </w:instrText>
      </w:r>
      <w:r w:rsidR="00057BAF">
        <w:fldChar w:fldCharType="separate"/>
      </w:r>
      <w:r w:rsidR="00711AB8" w:rsidRPr="00711AB8">
        <w:rPr>
          <w:rStyle w:val="Endnotenzeichen"/>
          <w:b w:val="0"/>
        </w:rPr>
        <w:t>105</w:t>
      </w:r>
      <w:r w:rsidR="00057BAF">
        <w:fldChar w:fldCharType="end"/>
      </w:r>
      <w:r w:rsidR="00902D34">
        <w:rPr>
          <w:b w:val="0"/>
        </w:rPr>
        <w:t>; n.v.: Information nicht verfügbar</w:t>
      </w:r>
      <w:bookmarkEnd w:id="100"/>
      <w:r w:rsidR="00B240B0">
        <w:rPr>
          <w:b w:val="0"/>
        </w:rPr>
        <w:t>.</w:t>
      </w:r>
    </w:p>
    <w:tbl>
      <w:tblPr>
        <w:tblW w:w="4391" w:type="pct"/>
        <w:jc w:val="center"/>
        <w:tblInd w:w="-142" w:type="dxa"/>
        <w:tblLayout w:type="fixed"/>
        <w:tblCellMar>
          <w:left w:w="0" w:type="dxa"/>
          <w:right w:w="0" w:type="dxa"/>
        </w:tblCellMar>
        <w:tblLook w:val="04A0" w:firstRow="1" w:lastRow="0" w:firstColumn="1" w:lastColumn="0" w:noHBand="0" w:noVBand="1"/>
      </w:tblPr>
      <w:tblGrid>
        <w:gridCol w:w="425"/>
        <w:gridCol w:w="1137"/>
        <w:gridCol w:w="644"/>
        <w:gridCol w:w="961"/>
        <w:gridCol w:w="961"/>
        <w:gridCol w:w="1182"/>
        <w:gridCol w:w="1055"/>
        <w:gridCol w:w="1055"/>
        <w:gridCol w:w="673"/>
      </w:tblGrid>
      <w:tr w:rsidR="004E5E8E" w:rsidRPr="00661CFB" w14:paraId="39D3BAAF" w14:textId="77777777" w:rsidTr="004E5E8E">
        <w:trPr>
          <w:trHeight w:val="276"/>
          <w:jc w:val="center"/>
        </w:trPr>
        <w:tc>
          <w:tcPr>
            <w:tcW w:w="262" w:type="pct"/>
            <w:vMerge w:val="restart"/>
            <w:tcBorders>
              <w:top w:val="single" w:sz="8" w:space="0" w:color="000000"/>
            </w:tcBorders>
            <w:vAlign w:val="center"/>
          </w:tcPr>
          <w:p w14:paraId="67252630" w14:textId="77777777" w:rsidR="004E5E8E" w:rsidRDefault="004E5E8E" w:rsidP="008454F3">
            <w:pPr>
              <w:spacing w:after="0" w:line="240" w:lineRule="auto"/>
              <w:jc w:val="center"/>
              <w:rPr>
                <w:rFonts w:eastAsia="SimSun" w:cs="Times New Roman"/>
                <w:lang w:val="en-GB" w:eastAsia="de-DE"/>
              </w:rPr>
            </w:pPr>
            <w:r>
              <w:rPr>
                <w:rFonts w:eastAsia="SimSun" w:cs="Times New Roman"/>
                <w:sz w:val="22"/>
                <w:lang w:val="en-GB" w:eastAsia="de-DE"/>
              </w:rPr>
              <w:t>PEA</w:t>
            </w:r>
          </w:p>
          <w:p w14:paraId="1736E485" w14:textId="77777777" w:rsidR="004E5E8E" w:rsidRDefault="004E5E8E" w:rsidP="008454F3">
            <w:pPr>
              <w:spacing w:after="0" w:line="240" w:lineRule="auto"/>
              <w:jc w:val="center"/>
              <w:rPr>
                <w:rFonts w:eastAsia="SimSun" w:cs="Times New Roman"/>
                <w:lang w:val="en-GB" w:eastAsia="de-DE"/>
              </w:rPr>
            </w:pPr>
            <w:r>
              <w:rPr>
                <w:rFonts w:eastAsia="SimSun" w:cs="Times New Roman"/>
                <w:sz w:val="22"/>
                <w:lang w:val="en-GB" w:eastAsia="de-DE"/>
              </w:rPr>
              <w:t>Nr.</w:t>
            </w:r>
          </w:p>
          <w:p w14:paraId="2FE97711" w14:textId="77777777" w:rsidR="004E5E8E" w:rsidRPr="00661CFB" w:rsidRDefault="004E5E8E" w:rsidP="008454F3">
            <w:pPr>
              <w:spacing w:after="0" w:line="240" w:lineRule="auto"/>
              <w:jc w:val="center"/>
              <w:rPr>
                <w:rFonts w:eastAsia="SimSun" w:cs="Times New Roman"/>
                <w:lang w:val="en-GB" w:eastAsia="de-DE"/>
              </w:rPr>
            </w:pPr>
          </w:p>
        </w:tc>
        <w:tc>
          <w:tcPr>
            <w:tcW w:w="702" w:type="pct"/>
            <w:vMerge w:val="restart"/>
            <w:tcBorders>
              <w:top w:val="single" w:sz="8" w:space="0" w:color="000000"/>
              <w:bottom w:val="single" w:sz="8" w:space="0" w:color="000000"/>
            </w:tcBorders>
            <w:shd w:val="clear" w:color="auto" w:fill="auto"/>
            <w:tcMar>
              <w:top w:w="72" w:type="dxa"/>
              <w:left w:w="144" w:type="dxa"/>
              <w:bottom w:w="72" w:type="dxa"/>
              <w:right w:w="144" w:type="dxa"/>
            </w:tcMar>
            <w:vAlign w:val="center"/>
            <w:hideMark/>
          </w:tcPr>
          <w:p w14:paraId="2A899C39" w14:textId="77777777" w:rsidR="004E5E8E" w:rsidRDefault="004E5E8E" w:rsidP="00661CFB">
            <w:pPr>
              <w:spacing w:after="0" w:line="240" w:lineRule="auto"/>
              <w:jc w:val="center"/>
              <w:rPr>
                <w:rFonts w:eastAsia="SimSun" w:cs="Times New Roman"/>
                <w:lang w:val="en-GB" w:eastAsia="de-DE"/>
              </w:rPr>
            </w:pPr>
            <w:r w:rsidRPr="00661CFB">
              <w:rPr>
                <w:rFonts w:eastAsia="SimSun" w:cs="Times New Roman"/>
                <w:sz w:val="22"/>
                <w:lang w:val="en-GB" w:eastAsia="de-DE"/>
              </w:rPr>
              <w:t>Polymer</w:t>
            </w:r>
          </w:p>
          <w:p w14:paraId="7C3AF066" w14:textId="77777777" w:rsidR="004E5E8E" w:rsidRDefault="004E5E8E" w:rsidP="00661CFB">
            <w:pPr>
              <w:spacing w:after="0" w:line="240" w:lineRule="auto"/>
              <w:jc w:val="center"/>
              <w:rPr>
                <w:rFonts w:eastAsia="SimSun" w:cs="Times New Roman"/>
                <w:lang w:val="en-US" w:eastAsia="de-DE"/>
              </w:rPr>
            </w:pPr>
            <w:r>
              <w:rPr>
                <w:rFonts w:eastAsia="SimSun" w:cs="Times New Roman"/>
                <w:sz w:val="22"/>
                <w:lang w:val="en-US" w:eastAsia="de-DE"/>
              </w:rPr>
              <w:t>Charge</w:t>
            </w:r>
          </w:p>
          <w:p w14:paraId="7C257402" w14:textId="77777777" w:rsidR="004E5E8E" w:rsidRPr="00661CFB" w:rsidRDefault="004E5E8E" w:rsidP="00661CFB">
            <w:pPr>
              <w:spacing w:after="0" w:line="240" w:lineRule="auto"/>
              <w:jc w:val="center"/>
              <w:rPr>
                <w:rFonts w:eastAsia="SimSun" w:cs="Times New Roman"/>
                <w:lang w:val="en-US" w:eastAsia="de-DE"/>
              </w:rPr>
            </w:pPr>
          </w:p>
        </w:tc>
        <w:tc>
          <w:tcPr>
            <w:tcW w:w="398" w:type="pct"/>
            <w:vMerge w:val="restart"/>
            <w:tcBorders>
              <w:top w:val="single" w:sz="8" w:space="0" w:color="000000"/>
              <w:bottom w:val="single" w:sz="8" w:space="0" w:color="000000"/>
            </w:tcBorders>
            <w:shd w:val="clear" w:color="auto" w:fill="auto"/>
            <w:tcMar>
              <w:top w:w="72" w:type="dxa"/>
              <w:left w:w="144" w:type="dxa"/>
              <w:bottom w:w="72" w:type="dxa"/>
              <w:right w:w="144" w:type="dxa"/>
            </w:tcMar>
            <w:vAlign w:val="center"/>
            <w:hideMark/>
          </w:tcPr>
          <w:p w14:paraId="43E073C7" w14:textId="77777777" w:rsidR="004E5E8E" w:rsidRPr="00661CFB" w:rsidRDefault="004E5E8E" w:rsidP="00661CFB">
            <w:pPr>
              <w:spacing w:after="0" w:line="240" w:lineRule="auto"/>
              <w:jc w:val="center"/>
              <w:rPr>
                <w:rFonts w:eastAsia="SimSun" w:cs="Times New Roman"/>
                <w:lang w:val="en-US" w:eastAsia="de-DE"/>
              </w:rPr>
            </w:pPr>
            <w:r>
              <w:rPr>
                <w:rFonts w:eastAsia="SimSun" w:cs="Times New Roman"/>
                <w:sz w:val="22"/>
                <w:lang w:val="en-US" w:eastAsia="de-DE"/>
              </w:rPr>
              <w:t>Typ</w:t>
            </w:r>
          </w:p>
        </w:tc>
        <w:tc>
          <w:tcPr>
            <w:tcW w:w="594" w:type="pct"/>
            <w:vMerge w:val="restart"/>
            <w:tcBorders>
              <w:top w:val="single" w:sz="8" w:space="0" w:color="000000"/>
              <w:bottom w:val="single" w:sz="8" w:space="0" w:color="000000"/>
            </w:tcBorders>
            <w:shd w:val="clear" w:color="auto" w:fill="auto"/>
            <w:tcMar>
              <w:top w:w="72" w:type="dxa"/>
              <w:left w:w="144" w:type="dxa"/>
              <w:bottom w:w="72" w:type="dxa"/>
              <w:right w:w="144" w:type="dxa"/>
            </w:tcMar>
            <w:vAlign w:val="center"/>
            <w:hideMark/>
          </w:tcPr>
          <w:p w14:paraId="14C6674C" w14:textId="77777777" w:rsidR="004E5E8E" w:rsidRPr="00661CFB" w:rsidRDefault="004E5E8E" w:rsidP="00661CFB">
            <w:pPr>
              <w:spacing w:after="0" w:line="240" w:lineRule="auto"/>
              <w:jc w:val="center"/>
              <w:rPr>
                <w:rFonts w:eastAsia="SimSun" w:cs="Times New Roman"/>
                <w:lang w:val="en-US" w:eastAsia="de-DE"/>
              </w:rPr>
            </w:pPr>
            <w:r w:rsidRPr="00661CFB">
              <w:rPr>
                <w:rFonts w:eastAsia="SimSun" w:cs="Times New Roman"/>
                <w:i/>
                <w:iCs/>
                <w:sz w:val="22"/>
                <w:lang w:val="en-GB" w:eastAsia="de-DE"/>
              </w:rPr>
              <w:t>x</w:t>
            </w:r>
            <w:r w:rsidRPr="00661CFB">
              <w:rPr>
                <w:rFonts w:eastAsia="SimSun" w:cs="Times New Roman"/>
                <w:sz w:val="22"/>
                <w:lang w:val="en-GB" w:eastAsia="de-DE"/>
              </w:rPr>
              <w:t>M</w:t>
            </w:r>
            <w:r w:rsidRPr="00661CFB">
              <w:rPr>
                <w:rFonts w:eastAsia="SimSun" w:cs="Times New Roman"/>
                <w:sz w:val="22"/>
                <w:vertAlign w:val="superscript"/>
                <w:lang w:val="en-GB" w:eastAsia="de-DE"/>
              </w:rPr>
              <w:t>a</w:t>
            </w:r>
          </w:p>
          <w:p w14:paraId="1A758576" w14:textId="77777777" w:rsidR="004E5E8E" w:rsidRPr="00661CFB" w:rsidRDefault="004E5E8E" w:rsidP="00661CFB">
            <w:pPr>
              <w:spacing w:after="0" w:line="240" w:lineRule="auto"/>
              <w:jc w:val="center"/>
              <w:rPr>
                <w:rFonts w:eastAsia="SimSun" w:cs="Times New Roman"/>
                <w:lang w:val="en-US" w:eastAsia="de-DE"/>
              </w:rPr>
            </w:pPr>
            <w:r w:rsidRPr="00661CFB">
              <w:rPr>
                <w:rFonts w:eastAsia="SimSun" w:cs="Times New Roman"/>
                <w:sz w:val="22"/>
                <w:lang w:val="en-GB" w:eastAsia="de-DE"/>
              </w:rPr>
              <w:t>(mol%)</w:t>
            </w:r>
          </w:p>
        </w:tc>
        <w:tc>
          <w:tcPr>
            <w:tcW w:w="594" w:type="pct"/>
            <w:vMerge w:val="restart"/>
            <w:tcBorders>
              <w:top w:val="single" w:sz="8" w:space="0" w:color="000000"/>
              <w:bottom w:val="single" w:sz="8" w:space="0" w:color="000000"/>
            </w:tcBorders>
            <w:shd w:val="clear" w:color="auto" w:fill="auto"/>
            <w:tcMar>
              <w:top w:w="72" w:type="dxa"/>
              <w:left w:w="144" w:type="dxa"/>
              <w:bottom w:w="72" w:type="dxa"/>
              <w:right w:w="144" w:type="dxa"/>
            </w:tcMar>
            <w:vAlign w:val="center"/>
            <w:hideMark/>
          </w:tcPr>
          <w:p w14:paraId="298DB1D9" w14:textId="77777777" w:rsidR="004E5E8E" w:rsidRPr="00661CFB" w:rsidRDefault="004E5E8E" w:rsidP="00661CFB">
            <w:pPr>
              <w:spacing w:after="0" w:line="240" w:lineRule="auto"/>
              <w:jc w:val="center"/>
              <w:rPr>
                <w:rFonts w:eastAsia="SimSun" w:cs="Times New Roman"/>
                <w:lang w:val="en-US" w:eastAsia="de-DE"/>
              </w:rPr>
            </w:pPr>
            <w:r>
              <w:rPr>
                <w:rFonts w:eastAsia="SimSun" w:cs="Times New Roman"/>
                <w:i/>
                <w:iCs/>
                <w:sz w:val="22"/>
                <w:lang w:val="en-GB" w:eastAsia="de-DE"/>
              </w:rPr>
              <w:t>x</w:t>
            </w:r>
            <w:r w:rsidRPr="00661CFB">
              <w:rPr>
                <w:rFonts w:eastAsia="SimSun" w:cs="Times New Roman"/>
                <w:sz w:val="22"/>
                <w:lang w:val="en-GB" w:eastAsia="de-DE"/>
              </w:rPr>
              <w:t>M</w:t>
            </w:r>
            <w:r w:rsidRPr="00661CFB">
              <w:rPr>
                <w:rFonts w:eastAsia="SimSun" w:cs="Times New Roman"/>
                <w:sz w:val="22"/>
                <w:vertAlign w:val="superscript"/>
                <w:lang w:val="en-GB" w:eastAsia="de-DE"/>
              </w:rPr>
              <w:t>b</w:t>
            </w:r>
          </w:p>
          <w:p w14:paraId="3BEC8B3A" w14:textId="77777777" w:rsidR="004E5E8E" w:rsidRPr="00661CFB" w:rsidRDefault="004E5E8E" w:rsidP="00661CFB">
            <w:pPr>
              <w:spacing w:after="0" w:line="240" w:lineRule="auto"/>
              <w:jc w:val="center"/>
              <w:rPr>
                <w:rFonts w:eastAsia="SimSun" w:cs="Times New Roman"/>
                <w:lang w:val="en-US" w:eastAsia="de-DE"/>
              </w:rPr>
            </w:pPr>
            <w:r w:rsidRPr="00661CFB">
              <w:rPr>
                <w:rFonts w:eastAsia="SimSun" w:cs="Times New Roman"/>
                <w:sz w:val="22"/>
                <w:lang w:val="en-GB" w:eastAsia="de-DE"/>
              </w:rPr>
              <w:t>(mol%)</w:t>
            </w:r>
          </w:p>
        </w:tc>
        <w:tc>
          <w:tcPr>
            <w:tcW w:w="730" w:type="pct"/>
            <w:vMerge w:val="restart"/>
            <w:tcBorders>
              <w:top w:val="single" w:sz="8" w:space="0" w:color="000000"/>
              <w:bottom w:val="single" w:sz="8" w:space="0" w:color="000000"/>
            </w:tcBorders>
            <w:shd w:val="clear" w:color="auto" w:fill="auto"/>
            <w:tcMar>
              <w:top w:w="72" w:type="dxa"/>
              <w:left w:w="144" w:type="dxa"/>
              <w:bottom w:w="72" w:type="dxa"/>
              <w:right w:w="144" w:type="dxa"/>
            </w:tcMar>
            <w:vAlign w:val="center"/>
            <w:hideMark/>
          </w:tcPr>
          <w:p w14:paraId="7CA60F27" w14:textId="77777777" w:rsidR="004E5E8E" w:rsidRPr="00661CFB" w:rsidRDefault="004E5E8E" w:rsidP="00661CFB">
            <w:pPr>
              <w:spacing w:after="0" w:line="240" w:lineRule="auto"/>
              <w:jc w:val="center"/>
              <w:rPr>
                <w:rFonts w:eastAsia="SimSun" w:cs="Times New Roman"/>
                <w:lang w:val="en-US" w:eastAsia="de-DE"/>
              </w:rPr>
            </w:pPr>
            <w:r>
              <w:rPr>
                <w:rFonts w:eastAsia="SimSun" w:cs="Times New Roman"/>
                <w:sz w:val="22"/>
                <w:lang w:val="en-GB" w:eastAsia="de-DE"/>
              </w:rPr>
              <w:t>entschützt</w:t>
            </w:r>
            <w:r w:rsidRPr="00661CFB">
              <w:rPr>
                <w:rFonts w:eastAsia="SimSun" w:cs="Times New Roman"/>
                <w:sz w:val="22"/>
                <w:lang w:val="en-GB" w:eastAsia="de-DE"/>
              </w:rPr>
              <w:t xml:space="preserve"> (%)</w:t>
            </w:r>
          </w:p>
        </w:tc>
        <w:tc>
          <w:tcPr>
            <w:tcW w:w="652" w:type="pct"/>
            <w:vMerge w:val="restart"/>
            <w:tcBorders>
              <w:top w:val="single" w:sz="8" w:space="0" w:color="000000"/>
              <w:bottom w:val="single" w:sz="8" w:space="0" w:color="000000"/>
            </w:tcBorders>
            <w:shd w:val="clear" w:color="auto" w:fill="auto"/>
            <w:tcMar>
              <w:top w:w="72" w:type="dxa"/>
              <w:left w:w="144" w:type="dxa"/>
              <w:bottom w:w="72" w:type="dxa"/>
              <w:right w:w="144" w:type="dxa"/>
            </w:tcMar>
            <w:vAlign w:val="center"/>
            <w:hideMark/>
          </w:tcPr>
          <w:p w14:paraId="09A03844" w14:textId="77777777" w:rsidR="004E5E8E" w:rsidRPr="00661CFB" w:rsidRDefault="004E5E8E" w:rsidP="00661CFB">
            <w:pPr>
              <w:spacing w:after="0" w:line="240" w:lineRule="auto"/>
              <w:jc w:val="center"/>
              <w:rPr>
                <w:rFonts w:eastAsia="SimSun" w:cs="Times New Roman"/>
                <w:lang w:val="en-US" w:eastAsia="de-DE"/>
              </w:rPr>
            </w:pPr>
            <w:r w:rsidRPr="00661CFB">
              <w:rPr>
                <w:rFonts w:eastAsia="SimSun" w:cs="Times New Roman"/>
                <w:sz w:val="22"/>
                <w:lang w:val="en-GB" w:eastAsia="de-DE"/>
              </w:rPr>
              <w:t>Mn</w:t>
            </w:r>
          </w:p>
          <w:p w14:paraId="629B4E29" w14:textId="77777777" w:rsidR="004E5E8E" w:rsidRPr="00661CFB" w:rsidRDefault="004E5E8E" w:rsidP="00661CFB">
            <w:pPr>
              <w:spacing w:after="0" w:line="240" w:lineRule="auto"/>
              <w:jc w:val="center"/>
              <w:rPr>
                <w:rFonts w:eastAsia="SimSun" w:cs="Times New Roman"/>
                <w:lang w:val="en-US" w:eastAsia="de-DE"/>
              </w:rPr>
            </w:pPr>
            <w:r w:rsidRPr="00661CFB">
              <w:rPr>
                <w:rFonts w:eastAsia="SimSun" w:cs="Times New Roman"/>
                <w:sz w:val="22"/>
                <w:lang w:val="en-GB" w:eastAsia="de-DE"/>
              </w:rPr>
              <w:t>(g/mol)*</w:t>
            </w:r>
          </w:p>
        </w:tc>
        <w:tc>
          <w:tcPr>
            <w:tcW w:w="652" w:type="pct"/>
            <w:vMerge w:val="restart"/>
            <w:tcBorders>
              <w:top w:val="single" w:sz="8" w:space="0" w:color="000000"/>
              <w:bottom w:val="single" w:sz="8" w:space="0" w:color="000000"/>
            </w:tcBorders>
            <w:shd w:val="clear" w:color="auto" w:fill="auto"/>
            <w:tcMar>
              <w:top w:w="72" w:type="dxa"/>
              <w:left w:w="144" w:type="dxa"/>
              <w:bottom w:w="72" w:type="dxa"/>
              <w:right w:w="144" w:type="dxa"/>
            </w:tcMar>
            <w:vAlign w:val="center"/>
            <w:hideMark/>
          </w:tcPr>
          <w:p w14:paraId="7B126357" w14:textId="77777777" w:rsidR="004E5E8E" w:rsidRPr="00661CFB" w:rsidRDefault="004E5E8E" w:rsidP="00661CFB">
            <w:pPr>
              <w:spacing w:after="0" w:line="240" w:lineRule="auto"/>
              <w:jc w:val="center"/>
              <w:rPr>
                <w:rFonts w:eastAsia="SimSun" w:cs="Times New Roman"/>
                <w:lang w:val="en-US" w:eastAsia="de-DE"/>
              </w:rPr>
            </w:pPr>
            <w:r w:rsidRPr="00661CFB">
              <w:rPr>
                <w:rFonts w:eastAsia="SimSun" w:cs="Times New Roman"/>
                <w:sz w:val="22"/>
                <w:lang w:val="en-GB" w:eastAsia="de-DE"/>
              </w:rPr>
              <w:t>Mw</w:t>
            </w:r>
          </w:p>
          <w:p w14:paraId="0B7A08C1" w14:textId="77777777" w:rsidR="004E5E8E" w:rsidRPr="00661CFB" w:rsidRDefault="004E5E8E" w:rsidP="00661CFB">
            <w:pPr>
              <w:spacing w:after="0" w:line="240" w:lineRule="auto"/>
              <w:jc w:val="center"/>
              <w:rPr>
                <w:rFonts w:eastAsia="SimSun" w:cs="Times New Roman"/>
                <w:lang w:val="en-US" w:eastAsia="de-DE"/>
              </w:rPr>
            </w:pPr>
            <w:r w:rsidRPr="00661CFB">
              <w:rPr>
                <w:rFonts w:eastAsia="SimSun" w:cs="Times New Roman"/>
                <w:sz w:val="22"/>
                <w:lang w:val="en-GB" w:eastAsia="de-DE"/>
              </w:rPr>
              <w:t>(g/mol)*</w:t>
            </w:r>
          </w:p>
        </w:tc>
        <w:tc>
          <w:tcPr>
            <w:tcW w:w="416" w:type="pct"/>
            <w:vMerge w:val="restart"/>
            <w:tcBorders>
              <w:top w:val="single" w:sz="8" w:space="0" w:color="000000"/>
              <w:bottom w:val="single" w:sz="8" w:space="0" w:color="000000"/>
            </w:tcBorders>
            <w:shd w:val="clear" w:color="auto" w:fill="auto"/>
            <w:tcMar>
              <w:top w:w="72" w:type="dxa"/>
              <w:left w:w="144" w:type="dxa"/>
              <w:bottom w:w="72" w:type="dxa"/>
              <w:right w:w="144" w:type="dxa"/>
            </w:tcMar>
            <w:vAlign w:val="center"/>
            <w:hideMark/>
          </w:tcPr>
          <w:p w14:paraId="63AE893C" w14:textId="77777777" w:rsidR="004E5E8E" w:rsidRPr="00661CFB" w:rsidRDefault="004E5E8E" w:rsidP="00661CFB">
            <w:pPr>
              <w:spacing w:after="0" w:line="240" w:lineRule="auto"/>
              <w:jc w:val="center"/>
              <w:rPr>
                <w:rFonts w:eastAsia="SimSun" w:cs="Times New Roman"/>
                <w:lang w:val="en-US" w:eastAsia="de-DE"/>
              </w:rPr>
            </w:pPr>
            <w:r w:rsidRPr="00661CFB">
              <w:rPr>
                <w:rFonts w:eastAsia="SimSun" w:cs="Times New Roman"/>
                <w:sz w:val="22"/>
                <w:lang w:val="en-GB" w:eastAsia="de-DE"/>
              </w:rPr>
              <w:t>PDI</w:t>
            </w:r>
          </w:p>
        </w:tc>
      </w:tr>
      <w:tr w:rsidR="004E5E8E" w:rsidRPr="00661CFB" w14:paraId="5F53AE27" w14:textId="77777777" w:rsidTr="004E5E8E">
        <w:trPr>
          <w:trHeight w:val="276"/>
          <w:jc w:val="center"/>
        </w:trPr>
        <w:tc>
          <w:tcPr>
            <w:tcW w:w="262" w:type="pct"/>
            <w:vMerge/>
            <w:tcBorders>
              <w:bottom w:val="single" w:sz="8" w:space="0" w:color="000000"/>
            </w:tcBorders>
          </w:tcPr>
          <w:p w14:paraId="0AAD9708" w14:textId="77777777" w:rsidR="004E5E8E" w:rsidRPr="00661CFB" w:rsidRDefault="004E5E8E" w:rsidP="00661CFB">
            <w:pPr>
              <w:spacing w:after="0" w:line="240" w:lineRule="auto"/>
              <w:jc w:val="center"/>
              <w:rPr>
                <w:rFonts w:eastAsia="SimSun" w:cs="Times New Roman"/>
                <w:lang w:val="en-US" w:eastAsia="de-DE"/>
              </w:rPr>
            </w:pPr>
          </w:p>
        </w:tc>
        <w:tc>
          <w:tcPr>
            <w:tcW w:w="702" w:type="pct"/>
            <w:vMerge/>
            <w:tcBorders>
              <w:top w:val="single" w:sz="8" w:space="0" w:color="000000"/>
              <w:bottom w:val="single" w:sz="8" w:space="0" w:color="000000"/>
            </w:tcBorders>
            <w:vAlign w:val="center"/>
            <w:hideMark/>
          </w:tcPr>
          <w:p w14:paraId="4087BE03" w14:textId="77777777" w:rsidR="004E5E8E" w:rsidRPr="00661CFB" w:rsidRDefault="004E5E8E" w:rsidP="00661CFB">
            <w:pPr>
              <w:spacing w:after="0" w:line="240" w:lineRule="auto"/>
              <w:jc w:val="center"/>
              <w:rPr>
                <w:rFonts w:eastAsia="SimSun" w:cs="Times New Roman"/>
                <w:lang w:val="en-US" w:eastAsia="de-DE"/>
              </w:rPr>
            </w:pPr>
          </w:p>
        </w:tc>
        <w:tc>
          <w:tcPr>
            <w:tcW w:w="398" w:type="pct"/>
            <w:vMerge/>
            <w:tcBorders>
              <w:top w:val="single" w:sz="8" w:space="0" w:color="000000"/>
              <w:bottom w:val="single" w:sz="8" w:space="0" w:color="000000"/>
            </w:tcBorders>
            <w:vAlign w:val="center"/>
            <w:hideMark/>
          </w:tcPr>
          <w:p w14:paraId="32914418" w14:textId="77777777" w:rsidR="004E5E8E" w:rsidRPr="00661CFB" w:rsidRDefault="004E5E8E" w:rsidP="00661CFB">
            <w:pPr>
              <w:spacing w:after="0" w:line="240" w:lineRule="auto"/>
              <w:jc w:val="center"/>
              <w:rPr>
                <w:rFonts w:eastAsia="SimSun" w:cs="Times New Roman"/>
                <w:lang w:val="en-US" w:eastAsia="de-DE"/>
              </w:rPr>
            </w:pPr>
          </w:p>
        </w:tc>
        <w:tc>
          <w:tcPr>
            <w:tcW w:w="594" w:type="pct"/>
            <w:vMerge/>
            <w:tcBorders>
              <w:top w:val="single" w:sz="8" w:space="0" w:color="000000"/>
              <w:bottom w:val="single" w:sz="8" w:space="0" w:color="000000"/>
            </w:tcBorders>
            <w:vAlign w:val="center"/>
            <w:hideMark/>
          </w:tcPr>
          <w:p w14:paraId="09EE1FBE" w14:textId="77777777" w:rsidR="004E5E8E" w:rsidRPr="00661CFB" w:rsidRDefault="004E5E8E" w:rsidP="00661CFB">
            <w:pPr>
              <w:spacing w:after="0" w:line="240" w:lineRule="auto"/>
              <w:jc w:val="center"/>
              <w:rPr>
                <w:rFonts w:eastAsia="SimSun" w:cs="Times New Roman"/>
                <w:lang w:val="en-US" w:eastAsia="de-DE"/>
              </w:rPr>
            </w:pPr>
          </w:p>
        </w:tc>
        <w:tc>
          <w:tcPr>
            <w:tcW w:w="594" w:type="pct"/>
            <w:vMerge/>
            <w:tcBorders>
              <w:top w:val="single" w:sz="8" w:space="0" w:color="000000"/>
              <w:bottom w:val="single" w:sz="8" w:space="0" w:color="000000"/>
            </w:tcBorders>
            <w:vAlign w:val="center"/>
            <w:hideMark/>
          </w:tcPr>
          <w:p w14:paraId="0F447965" w14:textId="77777777" w:rsidR="004E5E8E" w:rsidRPr="00661CFB" w:rsidRDefault="004E5E8E" w:rsidP="00661CFB">
            <w:pPr>
              <w:spacing w:after="0" w:line="240" w:lineRule="auto"/>
              <w:jc w:val="center"/>
              <w:rPr>
                <w:rFonts w:eastAsia="SimSun" w:cs="Times New Roman"/>
                <w:lang w:val="en-US" w:eastAsia="de-DE"/>
              </w:rPr>
            </w:pPr>
          </w:p>
        </w:tc>
        <w:tc>
          <w:tcPr>
            <w:tcW w:w="730" w:type="pct"/>
            <w:vMerge/>
            <w:tcBorders>
              <w:top w:val="single" w:sz="8" w:space="0" w:color="000000"/>
              <w:bottom w:val="single" w:sz="8" w:space="0" w:color="000000"/>
            </w:tcBorders>
            <w:vAlign w:val="center"/>
            <w:hideMark/>
          </w:tcPr>
          <w:p w14:paraId="50F1C21A" w14:textId="77777777" w:rsidR="004E5E8E" w:rsidRPr="00661CFB" w:rsidRDefault="004E5E8E" w:rsidP="00661CFB">
            <w:pPr>
              <w:spacing w:after="0" w:line="240" w:lineRule="auto"/>
              <w:jc w:val="center"/>
              <w:rPr>
                <w:rFonts w:eastAsia="SimSun" w:cs="Times New Roman"/>
                <w:lang w:val="en-US" w:eastAsia="de-DE"/>
              </w:rPr>
            </w:pPr>
          </w:p>
        </w:tc>
        <w:tc>
          <w:tcPr>
            <w:tcW w:w="652" w:type="pct"/>
            <w:vMerge/>
            <w:tcBorders>
              <w:top w:val="single" w:sz="8" w:space="0" w:color="000000"/>
              <w:bottom w:val="single" w:sz="8" w:space="0" w:color="000000"/>
            </w:tcBorders>
            <w:vAlign w:val="center"/>
            <w:hideMark/>
          </w:tcPr>
          <w:p w14:paraId="65B031F0" w14:textId="77777777" w:rsidR="004E5E8E" w:rsidRPr="00661CFB" w:rsidRDefault="004E5E8E" w:rsidP="00661CFB">
            <w:pPr>
              <w:spacing w:after="0" w:line="240" w:lineRule="auto"/>
              <w:jc w:val="center"/>
              <w:rPr>
                <w:rFonts w:eastAsia="SimSun" w:cs="Times New Roman"/>
                <w:lang w:val="en-US" w:eastAsia="de-DE"/>
              </w:rPr>
            </w:pPr>
          </w:p>
        </w:tc>
        <w:tc>
          <w:tcPr>
            <w:tcW w:w="652" w:type="pct"/>
            <w:vMerge/>
            <w:tcBorders>
              <w:top w:val="single" w:sz="8" w:space="0" w:color="000000"/>
              <w:bottom w:val="single" w:sz="8" w:space="0" w:color="000000"/>
            </w:tcBorders>
            <w:vAlign w:val="center"/>
            <w:hideMark/>
          </w:tcPr>
          <w:p w14:paraId="3378C3DE" w14:textId="77777777" w:rsidR="004E5E8E" w:rsidRPr="00661CFB" w:rsidRDefault="004E5E8E" w:rsidP="00661CFB">
            <w:pPr>
              <w:spacing w:after="0" w:line="240" w:lineRule="auto"/>
              <w:jc w:val="center"/>
              <w:rPr>
                <w:rFonts w:eastAsia="SimSun" w:cs="Times New Roman"/>
                <w:lang w:val="en-US" w:eastAsia="de-DE"/>
              </w:rPr>
            </w:pPr>
          </w:p>
        </w:tc>
        <w:tc>
          <w:tcPr>
            <w:tcW w:w="416" w:type="pct"/>
            <w:vMerge/>
            <w:tcBorders>
              <w:top w:val="single" w:sz="8" w:space="0" w:color="000000"/>
              <w:bottom w:val="single" w:sz="8" w:space="0" w:color="000000"/>
            </w:tcBorders>
            <w:vAlign w:val="center"/>
            <w:hideMark/>
          </w:tcPr>
          <w:p w14:paraId="3AFEE2E8" w14:textId="77777777" w:rsidR="004E5E8E" w:rsidRPr="00661CFB" w:rsidRDefault="004E5E8E" w:rsidP="00661CFB">
            <w:pPr>
              <w:spacing w:after="0" w:line="240" w:lineRule="auto"/>
              <w:jc w:val="center"/>
              <w:rPr>
                <w:rFonts w:eastAsia="SimSun" w:cs="Times New Roman"/>
                <w:lang w:val="en-US" w:eastAsia="de-DE"/>
              </w:rPr>
            </w:pPr>
          </w:p>
        </w:tc>
      </w:tr>
      <w:tr w:rsidR="004E5E8E" w:rsidRPr="00661CFB" w14:paraId="3C5C8482" w14:textId="77777777" w:rsidTr="004E5E8E">
        <w:trPr>
          <w:trHeight w:val="20"/>
          <w:jc w:val="center"/>
        </w:trPr>
        <w:tc>
          <w:tcPr>
            <w:tcW w:w="262" w:type="pct"/>
          </w:tcPr>
          <w:p w14:paraId="284D0023"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01</w:t>
            </w:r>
          </w:p>
        </w:tc>
        <w:tc>
          <w:tcPr>
            <w:tcW w:w="702" w:type="pct"/>
            <w:shd w:val="clear" w:color="auto" w:fill="auto"/>
            <w:tcMar>
              <w:top w:w="72" w:type="dxa"/>
              <w:left w:w="144" w:type="dxa"/>
              <w:bottom w:w="72" w:type="dxa"/>
              <w:right w:w="144" w:type="dxa"/>
            </w:tcMar>
            <w:vAlign w:val="center"/>
          </w:tcPr>
          <w:p w14:paraId="2D0AFCC2" w14:textId="77777777" w:rsidR="004E5E8E" w:rsidRPr="0098797E" w:rsidRDefault="004E5E8E" w:rsidP="00661CFB">
            <w:pPr>
              <w:spacing w:after="0" w:line="240" w:lineRule="auto"/>
              <w:rPr>
                <w:sz w:val="20"/>
                <w:szCs w:val="20"/>
              </w:rPr>
            </w:pPr>
            <w:r w:rsidRPr="0098797E">
              <w:rPr>
                <w:sz w:val="20"/>
                <w:szCs w:val="20"/>
              </w:rPr>
              <w:t>PCCLA03</w:t>
            </w:r>
          </w:p>
        </w:tc>
        <w:tc>
          <w:tcPr>
            <w:tcW w:w="398" w:type="pct"/>
            <w:shd w:val="clear" w:color="auto" w:fill="auto"/>
            <w:tcMar>
              <w:top w:w="72" w:type="dxa"/>
              <w:left w:w="144" w:type="dxa"/>
              <w:bottom w:w="72" w:type="dxa"/>
              <w:right w:w="144" w:type="dxa"/>
            </w:tcMar>
            <w:vAlign w:val="center"/>
          </w:tcPr>
          <w:p w14:paraId="198F613E" w14:textId="77777777" w:rsidR="004E5E8E" w:rsidRPr="0098797E" w:rsidRDefault="004E5E8E" w:rsidP="00661CFB">
            <w:pPr>
              <w:spacing w:after="0" w:line="240" w:lineRule="auto"/>
              <w:jc w:val="center"/>
              <w:rPr>
                <w:sz w:val="20"/>
                <w:szCs w:val="20"/>
              </w:rPr>
            </w:pPr>
            <w:r w:rsidRPr="0098797E">
              <w:rPr>
                <w:sz w:val="20"/>
                <w:szCs w:val="20"/>
              </w:rPr>
              <w:t>Asp</w:t>
            </w:r>
          </w:p>
        </w:tc>
        <w:tc>
          <w:tcPr>
            <w:tcW w:w="594" w:type="pct"/>
            <w:shd w:val="clear" w:color="auto" w:fill="auto"/>
            <w:tcMar>
              <w:top w:w="72" w:type="dxa"/>
              <w:left w:w="144" w:type="dxa"/>
              <w:bottom w:w="72" w:type="dxa"/>
              <w:right w:w="144" w:type="dxa"/>
            </w:tcMar>
            <w:vAlign w:val="center"/>
          </w:tcPr>
          <w:p w14:paraId="2C9234EE" w14:textId="77777777" w:rsidR="004E5E8E" w:rsidRPr="0098797E" w:rsidRDefault="004E5E8E" w:rsidP="00661CFB">
            <w:pPr>
              <w:spacing w:after="0" w:line="240" w:lineRule="auto"/>
              <w:jc w:val="center"/>
              <w:rPr>
                <w:sz w:val="20"/>
                <w:szCs w:val="20"/>
              </w:rPr>
            </w:pPr>
            <w:r w:rsidRPr="0098797E">
              <w:rPr>
                <w:sz w:val="20"/>
                <w:szCs w:val="20"/>
              </w:rPr>
              <w:t>20</w:t>
            </w:r>
          </w:p>
        </w:tc>
        <w:tc>
          <w:tcPr>
            <w:tcW w:w="594" w:type="pct"/>
            <w:shd w:val="clear" w:color="auto" w:fill="auto"/>
            <w:tcMar>
              <w:top w:w="72" w:type="dxa"/>
              <w:left w:w="144" w:type="dxa"/>
              <w:bottom w:w="72" w:type="dxa"/>
              <w:right w:w="144" w:type="dxa"/>
            </w:tcMar>
            <w:vAlign w:val="center"/>
          </w:tcPr>
          <w:p w14:paraId="00056B27" w14:textId="77777777" w:rsidR="004E5E8E" w:rsidRPr="0098797E" w:rsidRDefault="004E5E8E" w:rsidP="00661CFB">
            <w:pPr>
              <w:spacing w:after="0" w:line="240" w:lineRule="auto"/>
              <w:jc w:val="center"/>
              <w:rPr>
                <w:sz w:val="20"/>
                <w:szCs w:val="20"/>
              </w:rPr>
            </w:pPr>
            <w:r w:rsidRPr="0098797E">
              <w:rPr>
                <w:sz w:val="20"/>
                <w:szCs w:val="20"/>
              </w:rPr>
              <w:t>28</w:t>
            </w:r>
          </w:p>
        </w:tc>
        <w:tc>
          <w:tcPr>
            <w:tcW w:w="730" w:type="pct"/>
            <w:shd w:val="clear" w:color="auto" w:fill="auto"/>
            <w:tcMar>
              <w:top w:w="72" w:type="dxa"/>
              <w:left w:w="144" w:type="dxa"/>
              <w:bottom w:w="72" w:type="dxa"/>
              <w:right w:w="144" w:type="dxa"/>
            </w:tcMar>
            <w:vAlign w:val="center"/>
          </w:tcPr>
          <w:p w14:paraId="6AEC5EBA" w14:textId="77777777" w:rsidR="004E5E8E" w:rsidRPr="0098797E" w:rsidRDefault="004E5E8E" w:rsidP="00661CFB">
            <w:pPr>
              <w:spacing w:after="0" w:line="240" w:lineRule="auto"/>
              <w:jc w:val="center"/>
              <w:rPr>
                <w:sz w:val="20"/>
                <w:szCs w:val="20"/>
              </w:rPr>
            </w:pPr>
            <w:r w:rsidRPr="0098797E">
              <w:rPr>
                <w:sz w:val="20"/>
                <w:szCs w:val="20"/>
              </w:rPr>
              <w:t>95</w:t>
            </w:r>
          </w:p>
        </w:tc>
        <w:tc>
          <w:tcPr>
            <w:tcW w:w="652" w:type="pct"/>
            <w:shd w:val="clear" w:color="auto" w:fill="auto"/>
            <w:tcMar>
              <w:top w:w="72" w:type="dxa"/>
              <w:left w:w="144" w:type="dxa"/>
              <w:bottom w:w="72" w:type="dxa"/>
              <w:right w:w="144" w:type="dxa"/>
            </w:tcMar>
            <w:vAlign w:val="center"/>
          </w:tcPr>
          <w:p w14:paraId="08FB022E" w14:textId="77777777" w:rsidR="004E5E8E" w:rsidRPr="0098797E" w:rsidRDefault="004E5E8E" w:rsidP="00661CFB">
            <w:pPr>
              <w:spacing w:after="0" w:line="240" w:lineRule="auto"/>
              <w:jc w:val="center"/>
              <w:rPr>
                <w:sz w:val="20"/>
                <w:szCs w:val="20"/>
              </w:rPr>
            </w:pPr>
            <w:r w:rsidRPr="0098797E">
              <w:rPr>
                <w:sz w:val="20"/>
                <w:szCs w:val="20"/>
              </w:rPr>
              <w:t>25.000</w:t>
            </w:r>
          </w:p>
        </w:tc>
        <w:tc>
          <w:tcPr>
            <w:tcW w:w="652" w:type="pct"/>
            <w:shd w:val="clear" w:color="auto" w:fill="auto"/>
            <w:tcMar>
              <w:top w:w="72" w:type="dxa"/>
              <w:left w:w="144" w:type="dxa"/>
              <w:bottom w:w="72" w:type="dxa"/>
              <w:right w:w="144" w:type="dxa"/>
            </w:tcMar>
            <w:vAlign w:val="center"/>
          </w:tcPr>
          <w:p w14:paraId="208F62AC" w14:textId="77777777" w:rsidR="004E5E8E" w:rsidRPr="0098797E" w:rsidRDefault="004E5E8E" w:rsidP="00661CFB">
            <w:pPr>
              <w:spacing w:after="0" w:line="240" w:lineRule="auto"/>
              <w:jc w:val="center"/>
              <w:rPr>
                <w:sz w:val="20"/>
                <w:szCs w:val="20"/>
              </w:rPr>
            </w:pPr>
            <w:r w:rsidRPr="0098797E">
              <w:rPr>
                <w:sz w:val="20"/>
                <w:szCs w:val="20"/>
              </w:rPr>
              <w:t>32.700</w:t>
            </w:r>
          </w:p>
        </w:tc>
        <w:tc>
          <w:tcPr>
            <w:tcW w:w="416" w:type="pct"/>
            <w:shd w:val="clear" w:color="auto" w:fill="auto"/>
            <w:tcMar>
              <w:top w:w="72" w:type="dxa"/>
              <w:left w:w="144" w:type="dxa"/>
              <w:bottom w:w="72" w:type="dxa"/>
              <w:right w:w="144" w:type="dxa"/>
            </w:tcMar>
            <w:vAlign w:val="center"/>
          </w:tcPr>
          <w:p w14:paraId="37C930A9" w14:textId="77777777" w:rsidR="004E5E8E" w:rsidRPr="0098797E" w:rsidRDefault="004E5E8E" w:rsidP="002E36FF">
            <w:pPr>
              <w:spacing w:after="0" w:line="240" w:lineRule="auto"/>
              <w:jc w:val="center"/>
              <w:rPr>
                <w:sz w:val="20"/>
                <w:szCs w:val="20"/>
              </w:rPr>
            </w:pPr>
            <w:r w:rsidRPr="0098797E">
              <w:rPr>
                <w:sz w:val="20"/>
                <w:szCs w:val="20"/>
              </w:rPr>
              <w:t>1,28</w:t>
            </w:r>
          </w:p>
        </w:tc>
      </w:tr>
      <w:tr w:rsidR="004E5E8E" w:rsidRPr="00661CFB" w14:paraId="357880BB" w14:textId="77777777" w:rsidTr="004E5E8E">
        <w:trPr>
          <w:trHeight w:val="20"/>
          <w:jc w:val="center"/>
        </w:trPr>
        <w:tc>
          <w:tcPr>
            <w:tcW w:w="262" w:type="pct"/>
          </w:tcPr>
          <w:p w14:paraId="44544325"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02</w:t>
            </w:r>
          </w:p>
        </w:tc>
        <w:tc>
          <w:tcPr>
            <w:tcW w:w="702" w:type="pct"/>
            <w:shd w:val="clear" w:color="auto" w:fill="auto"/>
            <w:tcMar>
              <w:top w:w="72" w:type="dxa"/>
              <w:left w:w="144" w:type="dxa"/>
              <w:bottom w:w="72" w:type="dxa"/>
              <w:right w:w="144" w:type="dxa"/>
            </w:tcMar>
            <w:vAlign w:val="center"/>
          </w:tcPr>
          <w:p w14:paraId="6FA0CD10" w14:textId="77777777" w:rsidR="004E5E8E" w:rsidRPr="0098797E" w:rsidRDefault="004E5E8E" w:rsidP="00661CFB">
            <w:pPr>
              <w:spacing w:after="0" w:line="240" w:lineRule="auto"/>
              <w:rPr>
                <w:sz w:val="20"/>
                <w:szCs w:val="20"/>
              </w:rPr>
            </w:pPr>
            <w:r w:rsidRPr="0098797E">
              <w:rPr>
                <w:sz w:val="20"/>
                <w:szCs w:val="20"/>
              </w:rPr>
              <w:t>PCCLA04</w:t>
            </w:r>
          </w:p>
        </w:tc>
        <w:tc>
          <w:tcPr>
            <w:tcW w:w="398" w:type="pct"/>
            <w:shd w:val="clear" w:color="auto" w:fill="auto"/>
            <w:tcMar>
              <w:top w:w="72" w:type="dxa"/>
              <w:left w:w="144" w:type="dxa"/>
              <w:bottom w:w="72" w:type="dxa"/>
              <w:right w:w="144" w:type="dxa"/>
            </w:tcMar>
            <w:vAlign w:val="center"/>
          </w:tcPr>
          <w:p w14:paraId="06E7CADD" w14:textId="77777777" w:rsidR="004E5E8E" w:rsidRPr="0098797E" w:rsidRDefault="004E5E8E" w:rsidP="00661CFB">
            <w:pPr>
              <w:spacing w:after="0" w:line="240" w:lineRule="auto"/>
              <w:jc w:val="center"/>
              <w:rPr>
                <w:sz w:val="20"/>
                <w:szCs w:val="20"/>
              </w:rPr>
            </w:pPr>
            <w:r w:rsidRPr="0098797E">
              <w:rPr>
                <w:sz w:val="20"/>
                <w:szCs w:val="20"/>
              </w:rPr>
              <w:t>Asp</w:t>
            </w:r>
          </w:p>
        </w:tc>
        <w:tc>
          <w:tcPr>
            <w:tcW w:w="594" w:type="pct"/>
            <w:shd w:val="clear" w:color="auto" w:fill="auto"/>
            <w:tcMar>
              <w:top w:w="72" w:type="dxa"/>
              <w:left w:w="144" w:type="dxa"/>
              <w:bottom w:w="72" w:type="dxa"/>
              <w:right w:w="144" w:type="dxa"/>
            </w:tcMar>
            <w:vAlign w:val="center"/>
          </w:tcPr>
          <w:p w14:paraId="055E3111" w14:textId="77777777" w:rsidR="004E5E8E" w:rsidRPr="0098797E" w:rsidRDefault="004E5E8E" w:rsidP="00661CFB">
            <w:pPr>
              <w:spacing w:after="0" w:line="240" w:lineRule="auto"/>
              <w:jc w:val="center"/>
              <w:rPr>
                <w:sz w:val="20"/>
                <w:szCs w:val="20"/>
              </w:rPr>
            </w:pPr>
            <w:r w:rsidRPr="0098797E">
              <w:rPr>
                <w:sz w:val="20"/>
                <w:szCs w:val="20"/>
              </w:rPr>
              <w:t>20</w:t>
            </w:r>
          </w:p>
        </w:tc>
        <w:tc>
          <w:tcPr>
            <w:tcW w:w="594" w:type="pct"/>
            <w:shd w:val="clear" w:color="auto" w:fill="auto"/>
            <w:tcMar>
              <w:top w:w="72" w:type="dxa"/>
              <w:left w:w="144" w:type="dxa"/>
              <w:bottom w:w="72" w:type="dxa"/>
              <w:right w:w="144" w:type="dxa"/>
            </w:tcMar>
            <w:vAlign w:val="center"/>
          </w:tcPr>
          <w:p w14:paraId="098D162C" w14:textId="77777777" w:rsidR="004E5E8E" w:rsidRPr="0098797E" w:rsidRDefault="004E5E8E" w:rsidP="00661CFB">
            <w:pPr>
              <w:spacing w:after="0" w:line="240" w:lineRule="auto"/>
              <w:jc w:val="center"/>
              <w:rPr>
                <w:sz w:val="20"/>
                <w:szCs w:val="20"/>
              </w:rPr>
            </w:pPr>
            <w:r w:rsidRPr="0098797E">
              <w:rPr>
                <w:sz w:val="20"/>
                <w:szCs w:val="20"/>
              </w:rPr>
              <w:t>35</w:t>
            </w:r>
          </w:p>
        </w:tc>
        <w:tc>
          <w:tcPr>
            <w:tcW w:w="730" w:type="pct"/>
            <w:shd w:val="clear" w:color="auto" w:fill="auto"/>
            <w:tcMar>
              <w:top w:w="72" w:type="dxa"/>
              <w:left w:w="144" w:type="dxa"/>
              <w:bottom w:w="72" w:type="dxa"/>
              <w:right w:w="144" w:type="dxa"/>
            </w:tcMar>
            <w:vAlign w:val="center"/>
          </w:tcPr>
          <w:p w14:paraId="049843EB" w14:textId="77777777" w:rsidR="004E5E8E" w:rsidRPr="0098797E" w:rsidRDefault="004E5E8E" w:rsidP="00661CFB">
            <w:pPr>
              <w:spacing w:after="0" w:line="240" w:lineRule="auto"/>
              <w:jc w:val="center"/>
              <w:rPr>
                <w:sz w:val="20"/>
                <w:szCs w:val="20"/>
              </w:rPr>
            </w:pPr>
            <w:r w:rsidRPr="0098797E">
              <w:rPr>
                <w:sz w:val="20"/>
                <w:szCs w:val="20"/>
              </w:rPr>
              <w:t>95</w:t>
            </w:r>
          </w:p>
        </w:tc>
        <w:tc>
          <w:tcPr>
            <w:tcW w:w="652" w:type="pct"/>
            <w:shd w:val="clear" w:color="auto" w:fill="auto"/>
            <w:tcMar>
              <w:top w:w="72" w:type="dxa"/>
              <w:left w:w="144" w:type="dxa"/>
              <w:bottom w:w="72" w:type="dxa"/>
              <w:right w:w="144" w:type="dxa"/>
            </w:tcMar>
            <w:vAlign w:val="center"/>
          </w:tcPr>
          <w:p w14:paraId="60724F1C" w14:textId="77777777" w:rsidR="004E5E8E" w:rsidRPr="0098797E" w:rsidRDefault="004E5E8E" w:rsidP="00661CFB">
            <w:pPr>
              <w:spacing w:after="0" w:line="240" w:lineRule="auto"/>
              <w:jc w:val="center"/>
              <w:rPr>
                <w:sz w:val="20"/>
                <w:szCs w:val="20"/>
              </w:rPr>
            </w:pPr>
            <w:r w:rsidRPr="0098797E">
              <w:rPr>
                <w:sz w:val="20"/>
                <w:szCs w:val="20"/>
              </w:rPr>
              <w:t>4.200</w:t>
            </w:r>
          </w:p>
        </w:tc>
        <w:tc>
          <w:tcPr>
            <w:tcW w:w="652" w:type="pct"/>
            <w:shd w:val="clear" w:color="auto" w:fill="auto"/>
            <w:tcMar>
              <w:top w:w="72" w:type="dxa"/>
              <w:left w:w="144" w:type="dxa"/>
              <w:bottom w:w="72" w:type="dxa"/>
              <w:right w:w="144" w:type="dxa"/>
            </w:tcMar>
            <w:vAlign w:val="center"/>
          </w:tcPr>
          <w:p w14:paraId="1C51BC9E" w14:textId="77777777" w:rsidR="004E5E8E" w:rsidRPr="0098797E" w:rsidRDefault="004E5E8E" w:rsidP="00661CFB">
            <w:pPr>
              <w:spacing w:after="0" w:line="240" w:lineRule="auto"/>
              <w:jc w:val="center"/>
              <w:rPr>
                <w:sz w:val="20"/>
                <w:szCs w:val="20"/>
              </w:rPr>
            </w:pPr>
            <w:r w:rsidRPr="0098797E">
              <w:rPr>
                <w:sz w:val="20"/>
                <w:szCs w:val="20"/>
              </w:rPr>
              <w:t>5.600</w:t>
            </w:r>
          </w:p>
        </w:tc>
        <w:tc>
          <w:tcPr>
            <w:tcW w:w="416" w:type="pct"/>
            <w:shd w:val="clear" w:color="auto" w:fill="auto"/>
            <w:tcMar>
              <w:top w:w="72" w:type="dxa"/>
              <w:left w:w="144" w:type="dxa"/>
              <w:bottom w:w="72" w:type="dxa"/>
              <w:right w:w="144" w:type="dxa"/>
            </w:tcMar>
            <w:vAlign w:val="center"/>
          </w:tcPr>
          <w:p w14:paraId="06BDABE7" w14:textId="77777777" w:rsidR="004E5E8E" w:rsidRPr="0098797E" w:rsidRDefault="004E5E8E" w:rsidP="002E36FF">
            <w:pPr>
              <w:spacing w:after="0" w:line="240" w:lineRule="auto"/>
              <w:jc w:val="center"/>
              <w:rPr>
                <w:sz w:val="20"/>
                <w:szCs w:val="20"/>
              </w:rPr>
            </w:pPr>
            <w:r w:rsidRPr="0098797E">
              <w:rPr>
                <w:sz w:val="20"/>
                <w:szCs w:val="20"/>
              </w:rPr>
              <w:t>1,33</w:t>
            </w:r>
          </w:p>
        </w:tc>
      </w:tr>
      <w:tr w:rsidR="004E5E8E" w:rsidRPr="00661CFB" w14:paraId="37DBCBE2" w14:textId="77777777" w:rsidTr="004E5E8E">
        <w:trPr>
          <w:trHeight w:val="20"/>
          <w:jc w:val="center"/>
        </w:trPr>
        <w:tc>
          <w:tcPr>
            <w:tcW w:w="262" w:type="pct"/>
          </w:tcPr>
          <w:p w14:paraId="6AEF482B"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03</w:t>
            </w:r>
          </w:p>
        </w:tc>
        <w:tc>
          <w:tcPr>
            <w:tcW w:w="702" w:type="pct"/>
            <w:shd w:val="clear" w:color="auto" w:fill="auto"/>
            <w:tcMar>
              <w:top w:w="72" w:type="dxa"/>
              <w:left w:w="144" w:type="dxa"/>
              <w:bottom w:w="72" w:type="dxa"/>
              <w:right w:w="144" w:type="dxa"/>
            </w:tcMar>
            <w:vAlign w:val="center"/>
          </w:tcPr>
          <w:p w14:paraId="78B08956" w14:textId="77777777" w:rsidR="004E5E8E" w:rsidRPr="0098797E" w:rsidRDefault="004E5E8E" w:rsidP="00661CFB">
            <w:pPr>
              <w:spacing w:after="0" w:line="240" w:lineRule="auto"/>
              <w:rPr>
                <w:sz w:val="20"/>
                <w:szCs w:val="20"/>
              </w:rPr>
            </w:pPr>
            <w:r w:rsidRPr="0098797E">
              <w:rPr>
                <w:sz w:val="20"/>
                <w:szCs w:val="20"/>
              </w:rPr>
              <w:t>PCCLA05</w:t>
            </w:r>
          </w:p>
        </w:tc>
        <w:tc>
          <w:tcPr>
            <w:tcW w:w="398" w:type="pct"/>
            <w:shd w:val="clear" w:color="auto" w:fill="auto"/>
            <w:tcMar>
              <w:top w:w="72" w:type="dxa"/>
              <w:left w:w="144" w:type="dxa"/>
              <w:bottom w:w="72" w:type="dxa"/>
              <w:right w:w="144" w:type="dxa"/>
            </w:tcMar>
            <w:vAlign w:val="center"/>
          </w:tcPr>
          <w:p w14:paraId="2791A1DA" w14:textId="77777777" w:rsidR="004E5E8E" w:rsidRPr="0098797E" w:rsidRDefault="004E5E8E" w:rsidP="00661CFB">
            <w:pPr>
              <w:spacing w:after="0" w:line="240" w:lineRule="auto"/>
              <w:jc w:val="center"/>
              <w:rPr>
                <w:sz w:val="20"/>
                <w:szCs w:val="20"/>
              </w:rPr>
            </w:pPr>
            <w:r w:rsidRPr="0098797E">
              <w:rPr>
                <w:sz w:val="20"/>
                <w:szCs w:val="20"/>
              </w:rPr>
              <w:t>Asp</w:t>
            </w:r>
          </w:p>
        </w:tc>
        <w:tc>
          <w:tcPr>
            <w:tcW w:w="594" w:type="pct"/>
            <w:shd w:val="clear" w:color="auto" w:fill="auto"/>
            <w:tcMar>
              <w:top w:w="72" w:type="dxa"/>
              <w:left w:w="144" w:type="dxa"/>
              <w:bottom w:w="72" w:type="dxa"/>
              <w:right w:w="144" w:type="dxa"/>
            </w:tcMar>
            <w:vAlign w:val="center"/>
          </w:tcPr>
          <w:p w14:paraId="18FAFA8B" w14:textId="77777777" w:rsidR="004E5E8E" w:rsidRPr="0098797E" w:rsidRDefault="004E5E8E" w:rsidP="00661CFB">
            <w:pPr>
              <w:spacing w:after="0" w:line="240" w:lineRule="auto"/>
              <w:jc w:val="center"/>
              <w:rPr>
                <w:sz w:val="20"/>
                <w:szCs w:val="20"/>
              </w:rPr>
            </w:pPr>
            <w:r w:rsidRPr="0098797E">
              <w:rPr>
                <w:sz w:val="20"/>
                <w:szCs w:val="20"/>
              </w:rPr>
              <w:t>25</w:t>
            </w:r>
          </w:p>
        </w:tc>
        <w:tc>
          <w:tcPr>
            <w:tcW w:w="594" w:type="pct"/>
            <w:shd w:val="clear" w:color="auto" w:fill="auto"/>
            <w:tcMar>
              <w:top w:w="72" w:type="dxa"/>
              <w:left w:w="144" w:type="dxa"/>
              <w:bottom w:w="72" w:type="dxa"/>
              <w:right w:w="144" w:type="dxa"/>
            </w:tcMar>
            <w:vAlign w:val="center"/>
          </w:tcPr>
          <w:p w14:paraId="6F6A71DF" w14:textId="77777777" w:rsidR="004E5E8E" w:rsidRPr="0098797E" w:rsidRDefault="004E5E8E" w:rsidP="00661CFB">
            <w:pPr>
              <w:spacing w:after="0" w:line="240" w:lineRule="auto"/>
              <w:jc w:val="center"/>
              <w:rPr>
                <w:sz w:val="20"/>
                <w:szCs w:val="20"/>
              </w:rPr>
            </w:pPr>
            <w:r w:rsidRPr="0098797E">
              <w:rPr>
                <w:sz w:val="20"/>
                <w:szCs w:val="20"/>
              </w:rPr>
              <w:t>50</w:t>
            </w:r>
          </w:p>
        </w:tc>
        <w:tc>
          <w:tcPr>
            <w:tcW w:w="730" w:type="pct"/>
            <w:shd w:val="clear" w:color="auto" w:fill="auto"/>
            <w:tcMar>
              <w:top w:w="72" w:type="dxa"/>
              <w:left w:w="144" w:type="dxa"/>
              <w:bottom w:w="72" w:type="dxa"/>
              <w:right w:w="144" w:type="dxa"/>
            </w:tcMar>
            <w:vAlign w:val="center"/>
          </w:tcPr>
          <w:p w14:paraId="619F6DDF" w14:textId="77777777" w:rsidR="004E5E8E" w:rsidRPr="0098797E" w:rsidRDefault="004E5E8E" w:rsidP="00661CFB">
            <w:pPr>
              <w:spacing w:after="0" w:line="240" w:lineRule="auto"/>
              <w:jc w:val="center"/>
              <w:rPr>
                <w:sz w:val="20"/>
                <w:szCs w:val="20"/>
              </w:rPr>
            </w:pPr>
            <w:r w:rsidRPr="0098797E">
              <w:rPr>
                <w:sz w:val="20"/>
                <w:szCs w:val="20"/>
              </w:rPr>
              <w:t>95</w:t>
            </w:r>
          </w:p>
        </w:tc>
        <w:tc>
          <w:tcPr>
            <w:tcW w:w="652" w:type="pct"/>
            <w:shd w:val="clear" w:color="auto" w:fill="auto"/>
            <w:tcMar>
              <w:top w:w="72" w:type="dxa"/>
              <w:left w:w="144" w:type="dxa"/>
              <w:bottom w:w="72" w:type="dxa"/>
              <w:right w:w="144" w:type="dxa"/>
            </w:tcMar>
            <w:vAlign w:val="center"/>
          </w:tcPr>
          <w:p w14:paraId="3C46F993" w14:textId="77777777" w:rsidR="004E5E8E" w:rsidRPr="0098797E" w:rsidRDefault="004E5E8E" w:rsidP="00661CFB">
            <w:pPr>
              <w:spacing w:after="0" w:line="240" w:lineRule="auto"/>
              <w:jc w:val="center"/>
              <w:rPr>
                <w:sz w:val="20"/>
                <w:szCs w:val="20"/>
              </w:rPr>
            </w:pPr>
            <w:r w:rsidRPr="0098797E">
              <w:rPr>
                <w:sz w:val="20"/>
                <w:szCs w:val="20"/>
              </w:rPr>
              <w:t>10.700</w:t>
            </w:r>
          </w:p>
        </w:tc>
        <w:tc>
          <w:tcPr>
            <w:tcW w:w="652" w:type="pct"/>
            <w:shd w:val="clear" w:color="auto" w:fill="auto"/>
            <w:tcMar>
              <w:top w:w="72" w:type="dxa"/>
              <w:left w:w="144" w:type="dxa"/>
              <w:bottom w:w="72" w:type="dxa"/>
              <w:right w:w="144" w:type="dxa"/>
            </w:tcMar>
            <w:vAlign w:val="center"/>
          </w:tcPr>
          <w:p w14:paraId="09E15605" w14:textId="77777777" w:rsidR="004E5E8E" w:rsidRPr="0098797E" w:rsidRDefault="004E5E8E" w:rsidP="00661CFB">
            <w:pPr>
              <w:spacing w:after="0" w:line="240" w:lineRule="auto"/>
              <w:jc w:val="center"/>
              <w:rPr>
                <w:sz w:val="20"/>
                <w:szCs w:val="20"/>
              </w:rPr>
            </w:pPr>
            <w:r w:rsidRPr="0098797E">
              <w:rPr>
                <w:sz w:val="20"/>
                <w:szCs w:val="20"/>
              </w:rPr>
              <w:t>19.800</w:t>
            </w:r>
          </w:p>
        </w:tc>
        <w:tc>
          <w:tcPr>
            <w:tcW w:w="416" w:type="pct"/>
            <w:shd w:val="clear" w:color="auto" w:fill="auto"/>
            <w:tcMar>
              <w:top w:w="72" w:type="dxa"/>
              <w:left w:w="144" w:type="dxa"/>
              <w:bottom w:w="72" w:type="dxa"/>
              <w:right w:w="144" w:type="dxa"/>
            </w:tcMar>
            <w:vAlign w:val="center"/>
          </w:tcPr>
          <w:p w14:paraId="24ADBA96" w14:textId="77777777" w:rsidR="004E5E8E" w:rsidRPr="0098797E" w:rsidRDefault="004E5E8E" w:rsidP="002E36FF">
            <w:pPr>
              <w:spacing w:after="0" w:line="240" w:lineRule="auto"/>
              <w:jc w:val="center"/>
              <w:rPr>
                <w:sz w:val="20"/>
                <w:szCs w:val="20"/>
              </w:rPr>
            </w:pPr>
            <w:r w:rsidRPr="0098797E">
              <w:rPr>
                <w:sz w:val="20"/>
                <w:szCs w:val="20"/>
              </w:rPr>
              <w:t>1,83</w:t>
            </w:r>
          </w:p>
        </w:tc>
      </w:tr>
      <w:tr w:rsidR="004E5E8E" w:rsidRPr="00661CFB" w14:paraId="70F80682" w14:textId="77777777" w:rsidTr="004E5E8E">
        <w:trPr>
          <w:trHeight w:val="20"/>
          <w:jc w:val="center"/>
        </w:trPr>
        <w:tc>
          <w:tcPr>
            <w:tcW w:w="262" w:type="pct"/>
          </w:tcPr>
          <w:p w14:paraId="06296A35"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04</w:t>
            </w:r>
          </w:p>
        </w:tc>
        <w:tc>
          <w:tcPr>
            <w:tcW w:w="702" w:type="pct"/>
            <w:shd w:val="clear" w:color="auto" w:fill="auto"/>
            <w:tcMar>
              <w:top w:w="72" w:type="dxa"/>
              <w:left w:w="144" w:type="dxa"/>
              <w:bottom w:w="72" w:type="dxa"/>
              <w:right w:w="144" w:type="dxa"/>
            </w:tcMar>
            <w:vAlign w:val="center"/>
          </w:tcPr>
          <w:p w14:paraId="7DDC2334" w14:textId="77777777" w:rsidR="004E5E8E" w:rsidRPr="0098797E" w:rsidRDefault="004E5E8E" w:rsidP="00661CFB">
            <w:pPr>
              <w:spacing w:after="0" w:line="240" w:lineRule="auto"/>
              <w:rPr>
                <w:sz w:val="20"/>
                <w:szCs w:val="20"/>
              </w:rPr>
            </w:pPr>
            <w:r w:rsidRPr="0098797E">
              <w:rPr>
                <w:sz w:val="20"/>
                <w:szCs w:val="20"/>
              </w:rPr>
              <w:t>12SW</w:t>
            </w:r>
          </w:p>
        </w:tc>
        <w:tc>
          <w:tcPr>
            <w:tcW w:w="398" w:type="pct"/>
            <w:shd w:val="clear" w:color="auto" w:fill="auto"/>
            <w:tcMar>
              <w:top w:w="72" w:type="dxa"/>
              <w:left w:w="144" w:type="dxa"/>
              <w:bottom w:w="72" w:type="dxa"/>
              <w:right w:w="144" w:type="dxa"/>
            </w:tcMar>
            <w:vAlign w:val="center"/>
          </w:tcPr>
          <w:p w14:paraId="013F8BB0" w14:textId="77777777" w:rsidR="004E5E8E" w:rsidRPr="0098797E" w:rsidRDefault="004E5E8E" w:rsidP="00661CFB">
            <w:pPr>
              <w:spacing w:after="0" w:line="240" w:lineRule="auto"/>
              <w:jc w:val="center"/>
              <w:rPr>
                <w:sz w:val="20"/>
                <w:szCs w:val="20"/>
              </w:rPr>
            </w:pPr>
            <w:r w:rsidRPr="0098797E">
              <w:rPr>
                <w:sz w:val="20"/>
                <w:szCs w:val="20"/>
              </w:rPr>
              <w:t>Asp</w:t>
            </w:r>
          </w:p>
        </w:tc>
        <w:tc>
          <w:tcPr>
            <w:tcW w:w="594" w:type="pct"/>
            <w:shd w:val="clear" w:color="auto" w:fill="auto"/>
            <w:tcMar>
              <w:top w:w="72" w:type="dxa"/>
              <w:left w:w="144" w:type="dxa"/>
              <w:bottom w:w="72" w:type="dxa"/>
              <w:right w:w="144" w:type="dxa"/>
            </w:tcMar>
            <w:vAlign w:val="center"/>
          </w:tcPr>
          <w:p w14:paraId="7DDE93E9" w14:textId="77777777" w:rsidR="004E5E8E" w:rsidRPr="0098797E" w:rsidRDefault="00902D34" w:rsidP="00661CFB">
            <w:pPr>
              <w:spacing w:after="0" w:line="240" w:lineRule="auto"/>
              <w:jc w:val="center"/>
              <w:rPr>
                <w:sz w:val="20"/>
                <w:szCs w:val="20"/>
              </w:rPr>
            </w:pPr>
            <w:r>
              <w:rPr>
                <w:sz w:val="20"/>
                <w:szCs w:val="20"/>
              </w:rPr>
              <w:t>n.v.</w:t>
            </w:r>
          </w:p>
        </w:tc>
        <w:tc>
          <w:tcPr>
            <w:tcW w:w="594" w:type="pct"/>
            <w:shd w:val="clear" w:color="auto" w:fill="auto"/>
            <w:tcMar>
              <w:top w:w="72" w:type="dxa"/>
              <w:left w:w="144" w:type="dxa"/>
              <w:bottom w:w="72" w:type="dxa"/>
              <w:right w:w="144" w:type="dxa"/>
            </w:tcMar>
            <w:vAlign w:val="center"/>
          </w:tcPr>
          <w:p w14:paraId="5EDD3B98" w14:textId="77777777" w:rsidR="004E5E8E" w:rsidRPr="0098797E" w:rsidRDefault="004E5E8E" w:rsidP="00661CFB">
            <w:pPr>
              <w:spacing w:after="0" w:line="240" w:lineRule="auto"/>
              <w:jc w:val="center"/>
              <w:rPr>
                <w:sz w:val="20"/>
                <w:szCs w:val="20"/>
              </w:rPr>
            </w:pPr>
            <w:r w:rsidRPr="0098797E">
              <w:rPr>
                <w:sz w:val="20"/>
                <w:szCs w:val="20"/>
              </w:rPr>
              <w:t>40</w:t>
            </w:r>
          </w:p>
        </w:tc>
        <w:tc>
          <w:tcPr>
            <w:tcW w:w="730" w:type="pct"/>
            <w:shd w:val="clear" w:color="auto" w:fill="auto"/>
            <w:tcMar>
              <w:top w:w="72" w:type="dxa"/>
              <w:left w:w="144" w:type="dxa"/>
              <w:bottom w:w="72" w:type="dxa"/>
              <w:right w:w="144" w:type="dxa"/>
            </w:tcMar>
            <w:vAlign w:val="center"/>
          </w:tcPr>
          <w:p w14:paraId="68441573" w14:textId="77777777" w:rsidR="004E5E8E" w:rsidRPr="0098797E" w:rsidRDefault="004E5E8E" w:rsidP="00661CFB">
            <w:pPr>
              <w:spacing w:after="0" w:line="240" w:lineRule="auto"/>
              <w:jc w:val="center"/>
              <w:rPr>
                <w:sz w:val="20"/>
                <w:szCs w:val="20"/>
              </w:rPr>
            </w:pPr>
            <w:r w:rsidRPr="0098797E">
              <w:rPr>
                <w:sz w:val="20"/>
                <w:szCs w:val="20"/>
              </w:rPr>
              <w:t>95</w:t>
            </w:r>
          </w:p>
        </w:tc>
        <w:tc>
          <w:tcPr>
            <w:tcW w:w="652" w:type="pct"/>
            <w:shd w:val="clear" w:color="auto" w:fill="auto"/>
            <w:tcMar>
              <w:top w:w="72" w:type="dxa"/>
              <w:left w:w="144" w:type="dxa"/>
              <w:bottom w:w="72" w:type="dxa"/>
              <w:right w:w="144" w:type="dxa"/>
            </w:tcMar>
            <w:vAlign w:val="center"/>
          </w:tcPr>
          <w:p w14:paraId="16F7D7D0" w14:textId="77777777" w:rsidR="004E5E8E" w:rsidRPr="0098797E" w:rsidRDefault="004E5E8E" w:rsidP="00661CFB">
            <w:pPr>
              <w:spacing w:after="0" w:line="240" w:lineRule="auto"/>
              <w:jc w:val="center"/>
              <w:rPr>
                <w:sz w:val="20"/>
                <w:szCs w:val="20"/>
              </w:rPr>
            </w:pPr>
            <w:r w:rsidRPr="0098797E">
              <w:rPr>
                <w:sz w:val="20"/>
                <w:szCs w:val="20"/>
              </w:rPr>
              <w:t>48.400</w:t>
            </w:r>
          </w:p>
        </w:tc>
        <w:tc>
          <w:tcPr>
            <w:tcW w:w="652" w:type="pct"/>
            <w:shd w:val="clear" w:color="auto" w:fill="auto"/>
            <w:tcMar>
              <w:top w:w="72" w:type="dxa"/>
              <w:left w:w="144" w:type="dxa"/>
              <w:bottom w:w="72" w:type="dxa"/>
              <w:right w:w="144" w:type="dxa"/>
            </w:tcMar>
            <w:vAlign w:val="center"/>
          </w:tcPr>
          <w:p w14:paraId="3D1F03C8" w14:textId="77777777" w:rsidR="004E5E8E" w:rsidRPr="0098797E" w:rsidRDefault="004E5E8E" w:rsidP="00661CFB">
            <w:pPr>
              <w:spacing w:after="0" w:line="240" w:lineRule="auto"/>
              <w:jc w:val="center"/>
              <w:rPr>
                <w:sz w:val="20"/>
                <w:szCs w:val="20"/>
              </w:rPr>
            </w:pPr>
            <w:r w:rsidRPr="0098797E">
              <w:rPr>
                <w:sz w:val="20"/>
                <w:szCs w:val="20"/>
              </w:rPr>
              <w:t>80.000</w:t>
            </w:r>
          </w:p>
        </w:tc>
        <w:tc>
          <w:tcPr>
            <w:tcW w:w="416" w:type="pct"/>
            <w:shd w:val="clear" w:color="auto" w:fill="auto"/>
            <w:tcMar>
              <w:top w:w="72" w:type="dxa"/>
              <w:left w:w="144" w:type="dxa"/>
              <w:bottom w:w="72" w:type="dxa"/>
              <w:right w:w="144" w:type="dxa"/>
            </w:tcMar>
            <w:vAlign w:val="center"/>
          </w:tcPr>
          <w:p w14:paraId="69E0D27D" w14:textId="77777777" w:rsidR="004E5E8E" w:rsidRPr="0098797E" w:rsidRDefault="004E5E8E" w:rsidP="002E36FF">
            <w:pPr>
              <w:spacing w:after="0" w:line="240" w:lineRule="auto"/>
              <w:jc w:val="center"/>
              <w:rPr>
                <w:sz w:val="20"/>
                <w:szCs w:val="20"/>
              </w:rPr>
            </w:pPr>
            <w:r w:rsidRPr="0098797E">
              <w:rPr>
                <w:sz w:val="20"/>
                <w:szCs w:val="20"/>
              </w:rPr>
              <w:t>1,6</w:t>
            </w:r>
          </w:p>
        </w:tc>
      </w:tr>
      <w:tr w:rsidR="004E5E8E" w:rsidRPr="00661CFB" w14:paraId="12E7C9A4" w14:textId="77777777" w:rsidTr="004E5E8E">
        <w:trPr>
          <w:trHeight w:val="20"/>
          <w:jc w:val="center"/>
        </w:trPr>
        <w:tc>
          <w:tcPr>
            <w:tcW w:w="262" w:type="pct"/>
          </w:tcPr>
          <w:p w14:paraId="761EA827"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05</w:t>
            </w:r>
          </w:p>
        </w:tc>
        <w:tc>
          <w:tcPr>
            <w:tcW w:w="702" w:type="pct"/>
            <w:shd w:val="clear" w:color="auto" w:fill="auto"/>
            <w:tcMar>
              <w:top w:w="72" w:type="dxa"/>
              <w:left w:w="144" w:type="dxa"/>
              <w:bottom w:w="72" w:type="dxa"/>
              <w:right w:w="144" w:type="dxa"/>
            </w:tcMar>
            <w:vAlign w:val="center"/>
          </w:tcPr>
          <w:p w14:paraId="1125D4FC" w14:textId="77777777" w:rsidR="004E5E8E" w:rsidRPr="0098797E" w:rsidRDefault="004E5E8E" w:rsidP="00661CFB">
            <w:pPr>
              <w:spacing w:after="0" w:line="240" w:lineRule="auto"/>
              <w:rPr>
                <w:sz w:val="20"/>
                <w:szCs w:val="20"/>
              </w:rPr>
            </w:pPr>
            <w:r w:rsidRPr="0098797E">
              <w:rPr>
                <w:sz w:val="20"/>
                <w:szCs w:val="20"/>
              </w:rPr>
              <w:t>14SW</w:t>
            </w:r>
          </w:p>
        </w:tc>
        <w:tc>
          <w:tcPr>
            <w:tcW w:w="398" w:type="pct"/>
            <w:shd w:val="clear" w:color="auto" w:fill="auto"/>
            <w:tcMar>
              <w:top w:w="72" w:type="dxa"/>
              <w:left w:w="144" w:type="dxa"/>
              <w:bottom w:w="72" w:type="dxa"/>
              <w:right w:w="144" w:type="dxa"/>
            </w:tcMar>
            <w:vAlign w:val="center"/>
          </w:tcPr>
          <w:p w14:paraId="736881EA" w14:textId="77777777" w:rsidR="004E5E8E" w:rsidRPr="0098797E" w:rsidRDefault="004E5E8E" w:rsidP="00661CFB">
            <w:pPr>
              <w:spacing w:after="0" w:line="240" w:lineRule="auto"/>
              <w:jc w:val="center"/>
              <w:rPr>
                <w:sz w:val="20"/>
                <w:szCs w:val="20"/>
              </w:rPr>
            </w:pPr>
            <w:r w:rsidRPr="0098797E">
              <w:rPr>
                <w:sz w:val="20"/>
                <w:szCs w:val="20"/>
              </w:rPr>
              <w:t>Asp</w:t>
            </w:r>
          </w:p>
        </w:tc>
        <w:tc>
          <w:tcPr>
            <w:tcW w:w="594" w:type="pct"/>
            <w:shd w:val="clear" w:color="auto" w:fill="auto"/>
            <w:tcMar>
              <w:top w:w="72" w:type="dxa"/>
              <w:left w:w="144" w:type="dxa"/>
              <w:bottom w:w="72" w:type="dxa"/>
              <w:right w:w="144" w:type="dxa"/>
            </w:tcMar>
            <w:vAlign w:val="center"/>
          </w:tcPr>
          <w:p w14:paraId="0B4CDAF5" w14:textId="77777777" w:rsidR="004E5E8E" w:rsidRPr="0098797E" w:rsidRDefault="00902D34" w:rsidP="00661CFB">
            <w:pPr>
              <w:spacing w:after="0" w:line="240" w:lineRule="auto"/>
              <w:jc w:val="center"/>
              <w:rPr>
                <w:sz w:val="20"/>
                <w:szCs w:val="20"/>
              </w:rPr>
            </w:pPr>
            <w:r>
              <w:rPr>
                <w:sz w:val="20"/>
                <w:szCs w:val="20"/>
              </w:rPr>
              <w:t>n.v.</w:t>
            </w:r>
          </w:p>
        </w:tc>
        <w:tc>
          <w:tcPr>
            <w:tcW w:w="594" w:type="pct"/>
            <w:shd w:val="clear" w:color="auto" w:fill="auto"/>
            <w:tcMar>
              <w:top w:w="72" w:type="dxa"/>
              <w:left w:w="144" w:type="dxa"/>
              <w:bottom w:w="72" w:type="dxa"/>
              <w:right w:w="144" w:type="dxa"/>
            </w:tcMar>
            <w:vAlign w:val="center"/>
          </w:tcPr>
          <w:p w14:paraId="1E78A0AE" w14:textId="77777777" w:rsidR="004E5E8E" w:rsidRPr="0098797E" w:rsidRDefault="004E5E8E" w:rsidP="00661CFB">
            <w:pPr>
              <w:spacing w:after="0" w:line="240" w:lineRule="auto"/>
              <w:jc w:val="center"/>
              <w:rPr>
                <w:sz w:val="20"/>
                <w:szCs w:val="20"/>
              </w:rPr>
            </w:pPr>
            <w:r w:rsidRPr="0098797E">
              <w:rPr>
                <w:sz w:val="20"/>
                <w:szCs w:val="20"/>
              </w:rPr>
              <w:t>25</w:t>
            </w:r>
          </w:p>
        </w:tc>
        <w:tc>
          <w:tcPr>
            <w:tcW w:w="730" w:type="pct"/>
            <w:shd w:val="clear" w:color="auto" w:fill="auto"/>
            <w:tcMar>
              <w:top w:w="72" w:type="dxa"/>
              <w:left w:w="144" w:type="dxa"/>
              <w:bottom w:w="72" w:type="dxa"/>
              <w:right w:w="144" w:type="dxa"/>
            </w:tcMar>
            <w:vAlign w:val="center"/>
          </w:tcPr>
          <w:p w14:paraId="14B8E51E" w14:textId="77777777" w:rsidR="004E5E8E" w:rsidRPr="0098797E" w:rsidRDefault="004E5E8E" w:rsidP="00661CFB">
            <w:pPr>
              <w:spacing w:after="0" w:line="240" w:lineRule="auto"/>
              <w:jc w:val="center"/>
              <w:rPr>
                <w:sz w:val="20"/>
                <w:szCs w:val="20"/>
              </w:rPr>
            </w:pPr>
            <w:r w:rsidRPr="0098797E">
              <w:rPr>
                <w:sz w:val="20"/>
                <w:szCs w:val="20"/>
              </w:rPr>
              <w:t>90</w:t>
            </w:r>
          </w:p>
        </w:tc>
        <w:tc>
          <w:tcPr>
            <w:tcW w:w="652" w:type="pct"/>
            <w:shd w:val="clear" w:color="auto" w:fill="auto"/>
            <w:tcMar>
              <w:top w:w="72" w:type="dxa"/>
              <w:left w:w="144" w:type="dxa"/>
              <w:bottom w:w="72" w:type="dxa"/>
              <w:right w:w="144" w:type="dxa"/>
            </w:tcMar>
            <w:vAlign w:val="center"/>
          </w:tcPr>
          <w:p w14:paraId="143A6254" w14:textId="77777777" w:rsidR="004E5E8E" w:rsidRPr="0098797E" w:rsidRDefault="004E5E8E" w:rsidP="00661CFB">
            <w:pPr>
              <w:spacing w:after="0" w:line="240" w:lineRule="auto"/>
              <w:jc w:val="center"/>
              <w:rPr>
                <w:sz w:val="20"/>
                <w:szCs w:val="20"/>
              </w:rPr>
            </w:pPr>
            <w:r w:rsidRPr="0098797E">
              <w:rPr>
                <w:sz w:val="20"/>
                <w:szCs w:val="20"/>
              </w:rPr>
              <w:t>57.000</w:t>
            </w:r>
          </w:p>
        </w:tc>
        <w:tc>
          <w:tcPr>
            <w:tcW w:w="652" w:type="pct"/>
            <w:shd w:val="clear" w:color="auto" w:fill="auto"/>
            <w:tcMar>
              <w:top w:w="72" w:type="dxa"/>
              <w:left w:w="144" w:type="dxa"/>
              <w:bottom w:w="72" w:type="dxa"/>
              <w:right w:w="144" w:type="dxa"/>
            </w:tcMar>
            <w:vAlign w:val="center"/>
          </w:tcPr>
          <w:p w14:paraId="1EDAED5C" w14:textId="77777777" w:rsidR="004E5E8E" w:rsidRPr="0098797E" w:rsidRDefault="004E5E8E" w:rsidP="00661CFB">
            <w:pPr>
              <w:spacing w:after="0" w:line="240" w:lineRule="auto"/>
              <w:jc w:val="center"/>
              <w:rPr>
                <w:sz w:val="20"/>
                <w:szCs w:val="20"/>
              </w:rPr>
            </w:pPr>
            <w:r w:rsidRPr="0098797E">
              <w:rPr>
                <w:sz w:val="20"/>
                <w:szCs w:val="20"/>
              </w:rPr>
              <w:t>97.800</w:t>
            </w:r>
          </w:p>
        </w:tc>
        <w:tc>
          <w:tcPr>
            <w:tcW w:w="416" w:type="pct"/>
            <w:shd w:val="clear" w:color="auto" w:fill="auto"/>
            <w:tcMar>
              <w:top w:w="72" w:type="dxa"/>
              <w:left w:w="144" w:type="dxa"/>
              <w:bottom w:w="72" w:type="dxa"/>
              <w:right w:w="144" w:type="dxa"/>
            </w:tcMar>
            <w:vAlign w:val="center"/>
          </w:tcPr>
          <w:p w14:paraId="4FD0A8C7" w14:textId="77777777" w:rsidR="004E5E8E" w:rsidRPr="0098797E" w:rsidRDefault="004E5E8E" w:rsidP="002E36FF">
            <w:pPr>
              <w:spacing w:after="0" w:line="240" w:lineRule="auto"/>
              <w:jc w:val="center"/>
              <w:rPr>
                <w:sz w:val="20"/>
                <w:szCs w:val="20"/>
              </w:rPr>
            </w:pPr>
            <w:r w:rsidRPr="0098797E">
              <w:rPr>
                <w:sz w:val="20"/>
                <w:szCs w:val="20"/>
              </w:rPr>
              <w:t>1,7</w:t>
            </w:r>
          </w:p>
        </w:tc>
      </w:tr>
      <w:tr w:rsidR="004E5E8E" w:rsidRPr="00661CFB" w14:paraId="0C852CFB" w14:textId="77777777" w:rsidTr="004E5E8E">
        <w:trPr>
          <w:trHeight w:val="20"/>
          <w:jc w:val="center"/>
        </w:trPr>
        <w:tc>
          <w:tcPr>
            <w:tcW w:w="262" w:type="pct"/>
          </w:tcPr>
          <w:p w14:paraId="612F48E8"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06</w:t>
            </w:r>
          </w:p>
        </w:tc>
        <w:tc>
          <w:tcPr>
            <w:tcW w:w="702" w:type="pct"/>
            <w:shd w:val="clear" w:color="auto" w:fill="auto"/>
            <w:tcMar>
              <w:top w:w="72" w:type="dxa"/>
              <w:left w:w="144" w:type="dxa"/>
              <w:bottom w:w="72" w:type="dxa"/>
              <w:right w:w="144" w:type="dxa"/>
            </w:tcMar>
            <w:vAlign w:val="center"/>
          </w:tcPr>
          <w:p w14:paraId="6E0CCC30" w14:textId="77777777" w:rsidR="004E5E8E" w:rsidRPr="0098797E" w:rsidRDefault="004E5E8E" w:rsidP="00661CFB">
            <w:pPr>
              <w:spacing w:after="0" w:line="240" w:lineRule="auto"/>
              <w:rPr>
                <w:sz w:val="20"/>
                <w:szCs w:val="20"/>
              </w:rPr>
            </w:pPr>
            <w:r w:rsidRPr="0098797E">
              <w:rPr>
                <w:sz w:val="20"/>
                <w:szCs w:val="20"/>
              </w:rPr>
              <w:t>2652-S3</w:t>
            </w:r>
          </w:p>
        </w:tc>
        <w:tc>
          <w:tcPr>
            <w:tcW w:w="398" w:type="pct"/>
            <w:shd w:val="clear" w:color="auto" w:fill="auto"/>
            <w:tcMar>
              <w:top w:w="72" w:type="dxa"/>
              <w:left w:w="144" w:type="dxa"/>
              <w:bottom w:w="72" w:type="dxa"/>
              <w:right w:w="144" w:type="dxa"/>
            </w:tcMar>
            <w:vAlign w:val="center"/>
          </w:tcPr>
          <w:p w14:paraId="7C023A74" w14:textId="77777777" w:rsidR="004E5E8E" w:rsidRPr="0098797E" w:rsidRDefault="004E5E8E" w:rsidP="00661CFB">
            <w:pPr>
              <w:spacing w:after="0" w:line="240" w:lineRule="auto"/>
              <w:jc w:val="center"/>
              <w:rPr>
                <w:sz w:val="20"/>
                <w:szCs w:val="20"/>
              </w:rPr>
            </w:pPr>
            <w:r w:rsidRPr="0098797E">
              <w:rPr>
                <w:sz w:val="20"/>
                <w:szCs w:val="20"/>
              </w:rPr>
              <w:t>Asp</w:t>
            </w:r>
          </w:p>
        </w:tc>
        <w:tc>
          <w:tcPr>
            <w:tcW w:w="594" w:type="pct"/>
            <w:shd w:val="clear" w:color="auto" w:fill="auto"/>
            <w:tcMar>
              <w:top w:w="72" w:type="dxa"/>
              <w:left w:w="144" w:type="dxa"/>
              <w:bottom w:w="72" w:type="dxa"/>
              <w:right w:w="144" w:type="dxa"/>
            </w:tcMar>
            <w:vAlign w:val="center"/>
          </w:tcPr>
          <w:p w14:paraId="7C897F6E" w14:textId="77777777" w:rsidR="004E5E8E" w:rsidRPr="0098797E" w:rsidRDefault="00902D34" w:rsidP="00661CFB">
            <w:pPr>
              <w:spacing w:after="0" w:line="240" w:lineRule="auto"/>
              <w:jc w:val="center"/>
              <w:rPr>
                <w:sz w:val="20"/>
                <w:szCs w:val="20"/>
              </w:rPr>
            </w:pPr>
            <w:r>
              <w:rPr>
                <w:sz w:val="20"/>
                <w:szCs w:val="20"/>
              </w:rPr>
              <w:t>n.v.</w:t>
            </w:r>
          </w:p>
        </w:tc>
        <w:tc>
          <w:tcPr>
            <w:tcW w:w="594" w:type="pct"/>
            <w:shd w:val="clear" w:color="auto" w:fill="auto"/>
            <w:tcMar>
              <w:top w:w="72" w:type="dxa"/>
              <w:left w:w="144" w:type="dxa"/>
              <w:bottom w:w="72" w:type="dxa"/>
              <w:right w:w="144" w:type="dxa"/>
            </w:tcMar>
            <w:vAlign w:val="center"/>
          </w:tcPr>
          <w:p w14:paraId="41EA9293" w14:textId="77777777" w:rsidR="004E5E8E" w:rsidRPr="0098797E" w:rsidRDefault="004E5E8E" w:rsidP="00661CFB">
            <w:pPr>
              <w:spacing w:after="0" w:line="240" w:lineRule="auto"/>
              <w:jc w:val="center"/>
              <w:rPr>
                <w:sz w:val="20"/>
                <w:szCs w:val="20"/>
              </w:rPr>
            </w:pPr>
            <w:r w:rsidRPr="0098797E">
              <w:rPr>
                <w:sz w:val="20"/>
                <w:szCs w:val="20"/>
              </w:rPr>
              <w:t>23</w:t>
            </w:r>
          </w:p>
        </w:tc>
        <w:tc>
          <w:tcPr>
            <w:tcW w:w="730" w:type="pct"/>
            <w:shd w:val="clear" w:color="auto" w:fill="auto"/>
            <w:tcMar>
              <w:top w:w="72" w:type="dxa"/>
              <w:left w:w="144" w:type="dxa"/>
              <w:bottom w:w="72" w:type="dxa"/>
              <w:right w:w="144" w:type="dxa"/>
            </w:tcMar>
            <w:vAlign w:val="center"/>
          </w:tcPr>
          <w:p w14:paraId="5F05F5BB" w14:textId="77777777" w:rsidR="004E5E8E" w:rsidRPr="0098797E" w:rsidRDefault="004E5E8E" w:rsidP="00661CFB">
            <w:pPr>
              <w:spacing w:after="0" w:line="240" w:lineRule="auto"/>
              <w:jc w:val="center"/>
              <w:rPr>
                <w:sz w:val="20"/>
                <w:szCs w:val="20"/>
              </w:rPr>
            </w:pPr>
            <w:r w:rsidRPr="0098797E">
              <w:rPr>
                <w:sz w:val="20"/>
                <w:szCs w:val="20"/>
              </w:rPr>
              <w:t>93</w:t>
            </w:r>
          </w:p>
        </w:tc>
        <w:tc>
          <w:tcPr>
            <w:tcW w:w="652" w:type="pct"/>
            <w:shd w:val="clear" w:color="auto" w:fill="auto"/>
            <w:tcMar>
              <w:top w:w="72" w:type="dxa"/>
              <w:left w:w="144" w:type="dxa"/>
              <w:bottom w:w="72" w:type="dxa"/>
              <w:right w:w="144" w:type="dxa"/>
            </w:tcMar>
            <w:vAlign w:val="center"/>
          </w:tcPr>
          <w:p w14:paraId="02B0E918" w14:textId="77777777" w:rsidR="004E5E8E" w:rsidRPr="0098797E" w:rsidRDefault="004E5E8E" w:rsidP="00661CFB">
            <w:pPr>
              <w:spacing w:after="0" w:line="240" w:lineRule="auto"/>
              <w:jc w:val="center"/>
              <w:rPr>
                <w:sz w:val="20"/>
                <w:szCs w:val="20"/>
              </w:rPr>
            </w:pPr>
            <w:r w:rsidRPr="0098797E">
              <w:rPr>
                <w:sz w:val="20"/>
                <w:szCs w:val="20"/>
              </w:rPr>
              <w:t>32.600</w:t>
            </w:r>
          </w:p>
        </w:tc>
        <w:tc>
          <w:tcPr>
            <w:tcW w:w="652" w:type="pct"/>
            <w:shd w:val="clear" w:color="auto" w:fill="auto"/>
            <w:tcMar>
              <w:top w:w="72" w:type="dxa"/>
              <w:left w:w="144" w:type="dxa"/>
              <w:bottom w:w="72" w:type="dxa"/>
              <w:right w:w="144" w:type="dxa"/>
            </w:tcMar>
            <w:vAlign w:val="center"/>
          </w:tcPr>
          <w:p w14:paraId="57EAEF3F" w14:textId="77777777" w:rsidR="004E5E8E" w:rsidRPr="0098797E" w:rsidRDefault="004E5E8E" w:rsidP="00661CFB">
            <w:pPr>
              <w:spacing w:after="0" w:line="240" w:lineRule="auto"/>
              <w:jc w:val="center"/>
              <w:rPr>
                <w:sz w:val="20"/>
                <w:szCs w:val="20"/>
              </w:rPr>
            </w:pPr>
            <w:r w:rsidRPr="0098797E">
              <w:rPr>
                <w:sz w:val="20"/>
                <w:szCs w:val="20"/>
              </w:rPr>
              <w:t>53.800</w:t>
            </w:r>
          </w:p>
        </w:tc>
        <w:tc>
          <w:tcPr>
            <w:tcW w:w="416" w:type="pct"/>
            <w:shd w:val="clear" w:color="auto" w:fill="auto"/>
            <w:tcMar>
              <w:top w:w="72" w:type="dxa"/>
              <w:left w:w="144" w:type="dxa"/>
              <w:bottom w:w="72" w:type="dxa"/>
              <w:right w:w="144" w:type="dxa"/>
            </w:tcMar>
            <w:vAlign w:val="center"/>
          </w:tcPr>
          <w:p w14:paraId="6AE92033" w14:textId="77777777" w:rsidR="004E5E8E" w:rsidRPr="0098797E" w:rsidRDefault="004E5E8E" w:rsidP="002E36FF">
            <w:pPr>
              <w:spacing w:after="0" w:line="240" w:lineRule="auto"/>
              <w:jc w:val="center"/>
              <w:rPr>
                <w:sz w:val="20"/>
                <w:szCs w:val="20"/>
              </w:rPr>
            </w:pPr>
            <w:r w:rsidRPr="0098797E">
              <w:rPr>
                <w:sz w:val="20"/>
                <w:szCs w:val="20"/>
              </w:rPr>
              <w:t>1,65</w:t>
            </w:r>
          </w:p>
        </w:tc>
      </w:tr>
      <w:tr w:rsidR="004E5E8E" w:rsidRPr="00661CFB" w14:paraId="4D5AF0D6" w14:textId="77777777" w:rsidTr="004E5E8E">
        <w:trPr>
          <w:trHeight w:val="20"/>
          <w:jc w:val="center"/>
        </w:trPr>
        <w:tc>
          <w:tcPr>
            <w:tcW w:w="262" w:type="pct"/>
          </w:tcPr>
          <w:p w14:paraId="6C1B54C0"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07</w:t>
            </w:r>
          </w:p>
        </w:tc>
        <w:tc>
          <w:tcPr>
            <w:tcW w:w="702" w:type="pct"/>
            <w:shd w:val="clear" w:color="auto" w:fill="auto"/>
            <w:tcMar>
              <w:top w:w="72" w:type="dxa"/>
              <w:left w:w="144" w:type="dxa"/>
              <w:bottom w:w="72" w:type="dxa"/>
              <w:right w:w="144" w:type="dxa"/>
            </w:tcMar>
            <w:vAlign w:val="center"/>
          </w:tcPr>
          <w:p w14:paraId="6F8F3319" w14:textId="77777777" w:rsidR="004E5E8E" w:rsidRPr="0098797E" w:rsidRDefault="004E5E8E" w:rsidP="00661CFB">
            <w:pPr>
              <w:spacing w:after="0" w:line="240" w:lineRule="auto"/>
              <w:rPr>
                <w:sz w:val="20"/>
                <w:szCs w:val="20"/>
              </w:rPr>
            </w:pPr>
            <w:r w:rsidRPr="0098797E">
              <w:rPr>
                <w:rFonts w:eastAsia="SimSun" w:cs="Times New Roman"/>
                <w:sz w:val="20"/>
                <w:szCs w:val="20"/>
                <w:lang w:val="en-GB" w:eastAsia="de-DE"/>
              </w:rPr>
              <w:t>PCC04X</w:t>
            </w:r>
          </w:p>
        </w:tc>
        <w:tc>
          <w:tcPr>
            <w:tcW w:w="398" w:type="pct"/>
            <w:shd w:val="clear" w:color="auto" w:fill="auto"/>
            <w:tcMar>
              <w:top w:w="72" w:type="dxa"/>
              <w:left w:w="144" w:type="dxa"/>
              <w:bottom w:w="72" w:type="dxa"/>
              <w:right w:w="144" w:type="dxa"/>
            </w:tcMar>
            <w:vAlign w:val="center"/>
          </w:tcPr>
          <w:p w14:paraId="63A82EE8" w14:textId="77777777" w:rsidR="004E5E8E" w:rsidRPr="0098797E" w:rsidRDefault="004E5E8E" w:rsidP="00661CFB">
            <w:pPr>
              <w:spacing w:after="0" w:line="240" w:lineRule="auto"/>
              <w:jc w:val="center"/>
              <w:rPr>
                <w:sz w:val="20"/>
                <w:szCs w:val="20"/>
              </w:rPr>
            </w:pPr>
            <w:r w:rsidRPr="0098797E">
              <w:rPr>
                <w:rFonts w:eastAsia="SimSun" w:cs="Times New Roman"/>
                <w:sz w:val="20"/>
                <w:szCs w:val="20"/>
                <w:lang w:val="en-GB" w:eastAsia="de-DE"/>
              </w:rPr>
              <w:t>Cys</w:t>
            </w:r>
          </w:p>
        </w:tc>
        <w:tc>
          <w:tcPr>
            <w:tcW w:w="594" w:type="pct"/>
            <w:shd w:val="clear" w:color="auto" w:fill="auto"/>
            <w:tcMar>
              <w:top w:w="72" w:type="dxa"/>
              <w:left w:w="144" w:type="dxa"/>
              <w:bottom w:w="72" w:type="dxa"/>
              <w:right w:w="144" w:type="dxa"/>
            </w:tcMar>
            <w:vAlign w:val="center"/>
          </w:tcPr>
          <w:p w14:paraId="461C589E" w14:textId="77777777" w:rsidR="004E5E8E" w:rsidRPr="0098797E" w:rsidRDefault="00902D34" w:rsidP="00661CFB">
            <w:pPr>
              <w:spacing w:after="0" w:line="240" w:lineRule="auto"/>
              <w:jc w:val="center"/>
              <w:rPr>
                <w:sz w:val="20"/>
                <w:szCs w:val="20"/>
              </w:rPr>
            </w:pPr>
            <w:r>
              <w:rPr>
                <w:rFonts w:eastAsia="SimSun" w:cs="Times New Roman"/>
                <w:sz w:val="20"/>
                <w:szCs w:val="20"/>
                <w:lang w:val="en-GB" w:eastAsia="de-DE"/>
              </w:rPr>
              <w:t>n.v.</w:t>
            </w:r>
          </w:p>
        </w:tc>
        <w:tc>
          <w:tcPr>
            <w:tcW w:w="594" w:type="pct"/>
            <w:shd w:val="clear" w:color="auto" w:fill="auto"/>
            <w:tcMar>
              <w:top w:w="72" w:type="dxa"/>
              <w:left w:w="144" w:type="dxa"/>
              <w:bottom w:w="72" w:type="dxa"/>
              <w:right w:w="144" w:type="dxa"/>
            </w:tcMar>
            <w:vAlign w:val="center"/>
          </w:tcPr>
          <w:p w14:paraId="4880732C" w14:textId="77777777" w:rsidR="004E5E8E" w:rsidRPr="0098797E" w:rsidRDefault="00902D34" w:rsidP="00661CFB">
            <w:pPr>
              <w:spacing w:after="0" w:line="240" w:lineRule="auto"/>
              <w:jc w:val="center"/>
              <w:rPr>
                <w:sz w:val="20"/>
                <w:szCs w:val="20"/>
              </w:rPr>
            </w:pPr>
            <w:r>
              <w:rPr>
                <w:rFonts w:eastAsia="SimSun" w:cs="Times New Roman"/>
                <w:sz w:val="20"/>
                <w:szCs w:val="20"/>
                <w:lang w:val="en-GB" w:eastAsia="de-DE"/>
              </w:rPr>
              <w:t>n.v.</w:t>
            </w:r>
          </w:p>
        </w:tc>
        <w:tc>
          <w:tcPr>
            <w:tcW w:w="730" w:type="pct"/>
            <w:shd w:val="clear" w:color="auto" w:fill="auto"/>
            <w:tcMar>
              <w:top w:w="72" w:type="dxa"/>
              <w:left w:w="144" w:type="dxa"/>
              <w:bottom w:w="72" w:type="dxa"/>
              <w:right w:w="144" w:type="dxa"/>
            </w:tcMar>
            <w:vAlign w:val="center"/>
          </w:tcPr>
          <w:p w14:paraId="02CF4DA8" w14:textId="77777777" w:rsidR="004E5E8E" w:rsidRPr="0098797E" w:rsidRDefault="004E5E8E" w:rsidP="00661CFB">
            <w:pPr>
              <w:spacing w:after="0" w:line="240" w:lineRule="auto"/>
              <w:jc w:val="center"/>
              <w:rPr>
                <w:sz w:val="20"/>
                <w:szCs w:val="20"/>
              </w:rPr>
            </w:pPr>
            <w:r w:rsidRPr="0098797E">
              <w:rPr>
                <w:sz w:val="20"/>
                <w:szCs w:val="20"/>
              </w:rPr>
              <w:t>97</w:t>
            </w:r>
          </w:p>
        </w:tc>
        <w:tc>
          <w:tcPr>
            <w:tcW w:w="652" w:type="pct"/>
            <w:shd w:val="clear" w:color="auto" w:fill="auto"/>
            <w:tcMar>
              <w:top w:w="72" w:type="dxa"/>
              <w:left w:w="144" w:type="dxa"/>
              <w:bottom w:w="72" w:type="dxa"/>
              <w:right w:w="144" w:type="dxa"/>
            </w:tcMar>
            <w:vAlign w:val="center"/>
          </w:tcPr>
          <w:p w14:paraId="65E2E45F" w14:textId="77777777" w:rsidR="004E5E8E" w:rsidRPr="0098797E" w:rsidRDefault="004E5E8E" w:rsidP="00661CFB">
            <w:pPr>
              <w:spacing w:after="0" w:line="240" w:lineRule="auto"/>
              <w:jc w:val="center"/>
              <w:rPr>
                <w:sz w:val="20"/>
                <w:szCs w:val="20"/>
              </w:rPr>
            </w:pPr>
            <w:r w:rsidRPr="0098797E">
              <w:rPr>
                <w:rFonts w:eastAsia="SimSun" w:cs="Times New Roman"/>
                <w:sz w:val="20"/>
                <w:szCs w:val="20"/>
                <w:lang w:val="en-GB" w:eastAsia="de-DE"/>
              </w:rPr>
              <w:t>13.500</w:t>
            </w:r>
          </w:p>
        </w:tc>
        <w:tc>
          <w:tcPr>
            <w:tcW w:w="652" w:type="pct"/>
            <w:shd w:val="clear" w:color="auto" w:fill="auto"/>
            <w:tcMar>
              <w:top w:w="72" w:type="dxa"/>
              <w:left w:w="144" w:type="dxa"/>
              <w:bottom w:w="72" w:type="dxa"/>
              <w:right w:w="144" w:type="dxa"/>
            </w:tcMar>
            <w:vAlign w:val="center"/>
          </w:tcPr>
          <w:p w14:paraId="4C5FEF26" w14:textId="77777777" w:rsidR="004E5E8E" w:rsidRPr="0098797E" w:rsidRDefault="004E5E8E" w:rsidP="00661CFB">
            <w:pPr>
              <w:spacing w:after="0" w:line="240" w:lineRule="auto"/>
              <w:jc w:val="center"/>
              <w:rPr>
                <w:sz w:val="20"/>
                <w:szCs w:val="20"/>
              </w:rPr>
            </w:pPr>
            <w:r w:rsidRPr="0098797E">
              <w:rPr>
                <w:rFonts w:eastAsia="SimSun" w:cs="Times New Roman"/>
                <w:sz w:val="20"/>
                <w:szCs w:val="20"/>
                <w:lang w:val="en-GB" w:eastAsia="de-DE"/>
              </w:rPr>
              <w:t>21.100</w:t>
            </w:r>
          </w:p>
        </w:tc>
        <w:tc>
          <w:tcPr>
            <w:tcW w:w="416" w:type="pct"/>
            <w:shd w:val="clear" w:color="auto" w:fill="auto"/>
            <w:tcMar>
              <w:top w:w="72" w:type="dxa"/>
              <w:left w:w="144" w:type="dxa"/>
              <w:bottom w:w="72" w:type="dxa"/>
              <w:right w:w="144" w:type="dxa"/>
            </w:tcMar>
            <w:vAlign w:val="center"/>
          </w:tcPr>
          <w:p w14:paraId="17665F19" w14:textId="77777777" w:rsidR="004E5E8E" w:rsidRPr="0098797E" w:rsidRDefault="004E5E8E" w:rsidP="002E36FF">
            <w:pPr>
              <w:spacing w:after="0" w:line="240" w:lineRule="auto"/>
              <w:jc w:val="center"/>
              <w:rPr>
                <w:sz w:val="20"/>
                <w:szCs w:val="20"/>
              </w:rPr>
            </w:pPr>
            <w:r w:rsidRPr="0098797E">
              <w:rPr>
                <w:rFonts w:eastAsia="SimSun" w:cs="Times New Roman"/>
                <w:sz w:val="20"/>
                <w:szCs w:val="20"/>
                <w:lang w:val="en-GB" w:eastAsia="de-DE"/>
              </w:rPr>
              <w:t>1,54</w:t>
            </w:r>
          </w:p>
        </w:tc>
      </w:tr>
      <w:tr w:rsidR="004E5E8E" w:rsidRPr="00661CFB" w14:paraId="4E4DD81A" w14:textId="77777777" w:rsidTr="004E5E8E">
        <w:trPr>
          <w:trHeight w:val="20"/>
          <w:jc w:val="center"/>
        </w:trPr>
        <w:tc>
          <w:tcPr>
            <w:tcW w:w="262" w:type="pct"/>
          </w:tcPr>
          <w:p w14:paraId="34D628C5"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08</w:t>
            </w:r>
          </w:p>
        </w:tc>
        <w:tc>
          <w:tcPr>
            <w:tcW w:w="702" w:type="pct"/>
            <w:shd w:val="clear" w:color="auto" w:fill="auto"/>
            <w:tcMar>
              <w:top w:w="72" w:type="dxa"/>
              <w:left w:w="144" w:type="dxa"/>
              <w:bottom w:w="72" w:type="dxa"/>
              <w:right w:w="144" w:type="dxa"/>
            </w:tcMar>
            <w:vAlign w:val="center"/>
          </w:tcPr>
          <w:p w14:paraId="16E6DE0B" w14:textId="77777777" w:rsidR="004E5E8E" w:rsidRPr="0098797E" w:rsidRDefault="004E5E8E" w:rsidP="00661CFB">
            <w:pPr>
              <w:spacing w:after="0" w:line="240" w:lineRule="auto"/>
              <w:rPr>
                <w:rFonts w:eastAsia="SimSun" w:cs="Times New Roman"/>
                <w:sz w:val="20"/>
                <w:szCs w:val="20"/>
                <w:lang w:val="en-GB" w:eastAsia="de-DE"/>
              </w:rPr>
            </w:pPr>
            <w:r w:rsidRPr="0098797E">
              <w:rPr>
                <w:rFonts w:eastAsia="SimSun" w:cs="Times New Roman"/>
                <w:sz w:val="20"/>
                <w:szCs w:val="20"/>
                <w:lang w:val="en-GB" w:eastAsia="de-DE"/>
              </w:rPr>
              <w:t>2652-S2</w:t>
            </w:r>
          </w:p>
        </w:tc>
        <w:tc>
          <w:tcPr>
            <w:tcW w:w="398" w:type="pct"/>
            <w:shd w:val="clear" w:color="auto" w:fill="auto"/>
            <w:tcMar>
              <w:top w:w="72" w:type="dxa"/>
              <w:left w:w="144" w:type="dxa"/>
              <w:bottom w:w="72" w:type="dxa"/>
              <w:right w:w="144" w:type="dxa"/>
            </w:tcMar>
            <w:vAlign w:val="center"/>
          </w:tcPr>
          <w:p w14:paraId="31E1029F"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Asp</w:t>
            </w:r>
          </w:p>
        </w:tc>
        <w:tc>
          <w:tcPr>
            <w:tcW w:w="594" w:type="pct"/>
            <w:shd w:val="clear" w:color="auto" w:fill="auto"/>
            <w:tcMar>
              <w:top w:w="72" w:type="dxa"/>
              <w:left w:w="144" w:type="dxa"/>
              <w:bottom w:w="72" w:type="dxa"/>
              <w:right w:w="144" w:type="dxa"/>
            </w:tcMar>
            <w:vAlign w:val="center"/>
          </w:tcPr>
          <w:p w14:paraId="202E5133" w14:textId="77777777" w:rsidR="004E5E8E" w:rsidRPr="0098797E" w:rsidRDefault="00902D34" w:rsidP="00661CFB">
            <w:pPr>
              <w:spacing w:after="0" w:line="240" w:lineRule="auto"/>
              <w:jc w:val="center"/>
              <w:rPr>
                <w:rFonts w:eastAsia="SimSun" w:cs="Times New Roman"/>
                <w:sz w:val="20"/>
                <w:szCs w:val="20"/>
                <w:lang w:val="en-GB" w:eastAsia="de-DE"/>
              </w:rPr>
            </w:pPr>
            <w:r>
              <w:rPr>
                <w:rFonts w:eastAsia="SimSun" w:cs="Times New Roman"/>
                <w:sz w:val="20"/>
                <w:szCs w:val="20"/>
                <w:lang w:val="en-GB" w:eastAsia="de-DE"/>
              </w:rPr>
              <w:t>n.v.</w:t>
            </w:r>
          </w:p>
        </w:tc>
        <w:tc>
          <w:tcPr>
            <w:tcW w:w="594" w:type="pct"/>
            <w:shd w:val="clear" w:color="auto" w:fill="auto"/>
            <w:tcMar>
              <w:top w:w="72" w:type="dxa"/>
              <w:left w:w="144" w:type="dxa"/>
              <w:bottom w:w="72" w:type="dxa"/>
              <w:right w:w="144" w:type="dxa"/>
            </w:tcMar>
            <w:vAlign w:val="center"/>
          </w:tcPr>
          <w:p w14:paraId="2BEDD74A"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23</w:t>
            </w:r>
          </w:p>
        </w:tc>
        <w:tc>
          <w:tcPr>
            <w:tcW w:w="730" w:type="pct"/>
            <w:shd w:val="clear" w:color="auto" w:fill="auto"/>
            <w:tcMar>
              <w:top w:w="72" w:type="dxa"/>
              <w:left w:w="144" w:type="dxa"/>
              <w:bottom w:w="72" w:type="dxa"/>
              <w:right w:w="144" w:type="dxa"/>
            </w:tcMar>
            <w:vAlign w:val="center"/>
          </w:tcPr>
          <w:p w14:paraId="5E68E97A" w14:textId="77777777" w:rsidR="004E5E8E" w:rsidRPr="0098797E" w:rsidRDefault="004E5E8E" w:rsidP="00661CFB">
            <w:pPr>
              <w:spacing w:after="0" w:line="240" w:lineRule="auto"/>
              <w:jc w:val="center"/>
              <w:rPr>
                <w:sz w:val="20"/>
                <w:szCs w:val="20"/>
              </w:rPr>
            </w:pPr>
            <w:r w:rsidRPr="0098797E">
              <w:rPr>
                <w:sz w:val="20"/>
                <w:szCs w:val="20"/>
              </w:rPr>
              <w:t>73</w:t>
            </w:r>
          </w:p>
        </w:tc>
        <w:tc>
          <w:tcPr>
            <w:tcW w:w="652" w:type="pct"/>
            <w:shd w:val="clear" w:color="auto" w:fill="auto"/>
            <w:tcMar>
              <w:top w:w="72" w:type="dxa"/>
              <w:left w:w="144" w:type="dxa"/>
              <w:bottom w:w="72" w:type="dxa"/>
              <w:right w:w="144" w:type="dxa"/>
            </w:tcMar>
            <w:vAlign w:val="center"/>
          </w:tcPr>
          <w:p w14:paraId="79D1E4FA"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32.600</w:t>
            </w:r>
          </w:p>
        </w:tc>
        <w:tc>
          <w:tcPr>
            <w:tcW w:w="652" w:type="pct"/>
            <w:shd w:val="clear" w:color="auto" w:fill="auto"/>
            <w:tcMar>
              <w:top w:w="72" w:type="dxa"/>
              <w:left w:w="144" w:type="dxa"/>
              <w:bottom w:w="72" w:type="dxa"/>
              <w:right w:w="144" w:type="dxa"/>
            </w:tcMar>
            <w:vAlign w:val="center"/>
          </w:tcPr>
          <w:p w14:paraId="044A4E19"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53.800</w:t>
            </w:r>
          </w:p>
        </w:tc>
        <w:tc>
          <w:tcPr>
            <w:tcW w:w="416" w:type="pct"/>
            <w:shd w:val="clear" w:color="auto" w:fill="auto"/>
            <w:tcMar>
              <w:top w:w="72" w:type="dxa"/>
              <w:left w:w="144" w:type="dxa"/>
              <w:bottom w:w="72" w:type="dxa"/>
              <w:right w:w="144" w:type="dxa"/>
            </w:tcMar>
            <w:vAlign w:val="center"/>
          </w:tcPr>
          <w:p w14:paraId="31A2D18D" w14:textId="77777777" w:rsidR="004E5E8E" w:rsidRPr="0098797E" w:rsidRDefault="004E5E8E" w:rsidP="002E36FF">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1,65</w:t>
            </w:r>
          </w:p>
        </w:tc>
      </w:tr>
      <w:tr w:rsidR="004E5E8E" w:rsidRPr="00661CFB" w14:paraId="7C8AC151" w14:textId="77777777" w:rsidTr="004E5E8E">
        <w:trPr>
          <w:trHeight w:val="20"/>
          <w:jc w:val="center"/>
        </w:trPr>
        <w:tc>
          <w:tcPr>
            <w:tcW w:w="262" w:type="pct"/>
          </w:tcPr>
          <w:p w14:paraId="1B683B09"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09</w:t>
            </w:r>
          </w:p>
        </w:tc>
        <w:tc>
          <w:tcPr>
            <w:tcW w:w="702" w:type="pct"/>
            <w:shd w:val="clear" w:color="auto" w:fill="auto"/>
            <w:tcMar>
              <w:top w:w="72" w:type="dxa"/>
              <w:left w:w="144" w:type="dxa"/>
              <w:bottom w:w="72" w:type="dxa"/>
              <w:right w:w="144" w:type="dxa"/>
            </w:tcMar>
            <w:vAlign w:val="center"/>
          </w:tcPr>
          <w:p w14:paraId="08AD76BB" w14:textId="77777777" w:rsidR="004E5E8E" w:rsidRPr="0098797E" w:rsidRDefault="004E5E8E" w:rsidP="00661CFB">
            <w:pPr>
              <w:spacing w:after="0" w:line="240" w:lineRule="auto"/>
              <w:rPr>
                <w:rFonts w:eastAsia="SimSun" w:cs="Times New Roman"/>
                <w:sz w:val="20"/>
                <w:szCs w:val="20"/>
                <w:lang w:val="en-GB" w:eastAsia="de-DE"/>
              </w:rPr>
            </w:pPr>
            <w:r w:rsidRPr="0098797E">
              <w:rPr>
                <w:rFonts w:eastAsia="SimSun" w:cs="Times New Roman"/>
                <w:sz w:val="20"/>
                <w:szCs w:val="20"/>
                <w:lang w:val="en-GB" w:eastAsia="de-DE"/>
              </w:rPr>
              <w:t>PCC04T</w:t>
            </w:r>
          </w:p>
        </w:tc>
        <w:tc>
          <w:tcPr>
            <w:tcW w:w="398" w:type="pct"/>
            <w:shd w:val="clear" w:color="auto" w:fill="auto"/>
            <w:tcMar>
              <w:top w:w="72" w:type="dxa"/>
              <w:left w:w="144" w:type="dxa"/>
              <w:bottom w:w="72" w:type="dxa"/>
              <w:right w:w="144" w:type="dxa"/>
            </w:tcMar>
            <w:vAlign w:val="center"/>
          </w:tcPr>
          <w:p w14:paraId="01B088BA"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Cys</w:t>
            </w:r>
          </w:p>
        </w:tc>
        <w:tc>
          <w:tcPr>
            <w:tcW w:w="594" w:type="pct"/>
            <w:shd w:val="clear" w:color="auto" w:fill="auto"/>
            <w:tcMar>
              <w:top w:w="72" w:type="dxa"/>
              <w:left w:w="144" w:type="dxa"/>
              <w:bottom w:w="72" w:type="dxa"/>
              <w:right w:w="144" w:type="dxa"/>
            </w:tcMar>
            <w:vAlign w:val="center"/>
          </w:tcPr>
          <w:p w14:paraId="6C7A0229" w14:textId="77777777" w:rsidR="004E5E8E" w:rsidRPr="0098797E" w:rsidRDefault="00902D34" w:rsidP="00661CFB">
            <w:pPr>
              <w:spacing w:after="0" w:line="240" w:lineRule="auto"/>
              <w:jc w:val="center"/>
              <w:rPr>
                <w:rFonts w:eastAsia="SimSun" w:cs="Times New Roman"/>
                <w:sz w:val="20"/>
                <w:szCs w:val="20"/>
                <w:lang w:val="en-GB" w:eastAsia="de-DE"/>
              </w:rPr>
            </w:pPr>
            <w:r>
              <w:rPr>
                <w:rFonts w:eastAsia="SimSun" w:cs="Times New Roman"/>
                <w:sz w:val="20"/>
                <w:szCs w:val="20"/>
                <w:lang w:val="en-GB" w:eastAsia="de-DE"/>
              </w:rPr>
              <w:t>n.v.</w:t>
            </w:r>
          </w:p>
        </w:tc>
        <w:tc>
          <w:tcPr>
            <w:tcW w:w="594" w:type="pct"/>
            <w:shd w:val="clear" w:color="auto" w:fill="auto"/>
            <w:tcMar>
              <w:top w:w="72" w:type="dxa"/>
              <w:left w:w="144" w:type="dxa"/>
              <w:bottom w:w="72" w:type="dxa"/>
              <w:right w:w="144" w:type="dxa"/>
            </w:tcMar>
            <w:vAlign w:val="center"/>
          </w:tcPr>
          <w:p w14:paraId="1FB1E0C0" w14:textId="77777777" w:rsidR="004E5E8E" w:rsidRPr="0098797E" w:rsidRDefault="00902D34" w:rsidP="00661CFB">
            <w:pPr>
              <w:spacing w:after="0" w:line="240" w:lineRule="auto"/>
              <w:jc w:val="center"/>
              <w:rPr>
                <w:rFonts w:eastAsia="SimSun" w:cs="Times New Roman"/>
                <w:sz w:val="20"/>
                <w:szCs w:val="20"/>
                <w:lang w:val="en-GB" w:eastAsia="de-DE"/>
              </w:rPr>
            </w:pPr>
            <w:r>
              <w:rPr>
                <w:rFonts w:eastAsia="SimSun" w:cs="Times New Roman"/>
                <w:sz w:val="20"/>
                <w:szCs w:val="20"/>
                <w:lang w:val="en-GB" w:eastAsia="de-DE"/>
              </w:rPr>
              <w:t>n.v.</w:t>
            </w:r>
          </w:p>
        </w:tc>
        <w:tc>
          <w:tcPr>
            <w:tcW w:w="730" w:type="pct"/>
            <w:shd w:val="clear" w:color="auto" w:fill="auto"/>
            <w:tcMar>
              <w:top w:w="72" w:type="dxa"/>
              <w:left w:w="144" w:type="dxa"/>
              <w:bottom w:w="72" w:type="dxa"/>
              <w:right w:w="144" w:type="dxa"/>
            </w:tcMar>
            <w:vAlign w:val="center"/>
          </w:tcPr>
          <w:p w14:paraId="0607E7EA" w14:textId="77777777" w:rsidR="004E5E8E" w:rsidRPr="0098797E" w:rsidRDefault="004E5E8E" w:rsidP="00661CFB">
            <w:pPr>
              <w:spacing w:after="0" w:line="240" w:lineRule="auto"/>
              <w:jc w:val="center"/>
              <w:rPr>
                <w:sz w:val="20"/>
                <w:szCs w:val="20"/>
              </w:rPr>
            </w:pPr>
            <w:r w:rsidRPr="0098797E">
              <w:rPr>
                <w:sz w:val="20"/>
                <w:szCs w:val="20"/>
              </w:rPr>
              <w:t>100</w:t>
            </w:r>
          </w:p>
        </w:tc>
        <w:tc>
          <w:tcPr>
            <w:tcW w:w="652" w:type="pct"/>
            <w:shd w:val="clear" w:color="auto" w:fill="auto"/>
            <w:tcMar>
              <w:top w:w="72" w:type="dxa"/>
              <w:left w:w="144" w:type="dxa"/>
              <w:bottom w:w="72" w:type="dxa"/>
              <w:right w:w="144" w:type="dxa"/>
            </w:tcMar>
            <w:vAlign w:val="center"/>
          </w:tcPr>
          <w:p w14:paraId="7858BE64"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13.500</w:t>
            </w:r>
          </w:p>
        </w:tc>
        <w:tc>
          <w:tcPr>
            <w:tcW w:w="652" w:type="pct"/>
            <w:shd w:val="clear" w:color="auto" w:fill="auto"/>
            <w:tcMar>
              <w:top w:w="72" w:type="dxa"/>
              <w:left w:w="144" w:type="dxa"/>
              <w:bottom w:w="72" w:type="dxa"/>
              <w:right w:w="144" w:type="dxa"/>
            </w:tcMar>
            <w:vAlign w:val="center"/>
          </w:tcPr>
          <w:p w14:paraId="7F8CFFFB"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21.100</w:t>
            </w:r>
          </w:p>
        </w:tc>
        <w:tc>
          <w:tcPr>
            <w:tcW w:w="416" w:type="pct"/>
            <w:shd w:val="clear" w:color="auto" w:fill="auto"/>
            <w:tcMar>
              <w:top w:w="72" w:type="dxa"/>
              <w:left w:w="144" w:type="dxa"/>
              <w:bottom w:w="72" w:type="dxa"/>
              <w:right w:w="144" w:type="dxa"/>
            </w:tcMar>
            <w:vAlign w:val="center"/>
          </w:tcPr>
          <w:p w14:paraId="5F45318C" w14:textId="77777777" w:rsidR="004E5E8E" w:rsidRPr="0098797E" w:rsidRDefault="004E5E8E" w:rsidP="002E36FF">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1,54</w:t>
            </w:r>
          </w:p>
        </w:tc>
      </w:tr>
      <w:tr w:rsidR="004E5E8E" w:rsidRPr="00661CFB" w14:paraId="69F8EBC4" w14:textId="77777777" w:rsidTr="004E5E8E">
        <w:trPr>
          <w:trHeight w:val="20"/>
          <w:jc w:val="center"/>
        </w:trPr>
        <w:tc>
          <w:tcPr>
            <w:tcW w:w="262" w:type="pct"/>
            <w:tcBorders>
              <w:bottom w:val="single" w:sz="4" w:space="0" w:color="auto"/>
            </w:tcBorders>
          </w:tcPr>
          <w:p w14:paraId="72272B1F"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10</w:t>
            </w:r>
          </w:p>
        </w:tc>
        <w:tc>
          <w:tcPr>
            <w:tcW w:w="702" w:type="pct"/>
            <w:tcBorders>
              <w:bottom w:val="single" w:sz="4" w:space="0" w:color="auto"/>
            </w:tcBorders>
            <w:shd w:val="clear" w:color="auto" w:fill="auto"/>
            <w:tcMar>
              <w:top w:w="72" w:type="dxa"/>
              <w:left w:w="144" w:type="dxa"/>
              <w:bottom w:w="72" w:type="dxa"/>
              <w:right w:w="144" w:type="dxa"/>
            </w:tcMar>
            <w:vAlign w:val="center"/>
          </w:tcPr>
          <w:p w14:paraId="63AE3746" w14:textId="77777777" w:rsidR="004E5E8E" w:rsidRPr="0098797E" w:rsidRDefault="004E5E8E" w:rsidP="00661CFB">
            <w:pPr>
              <w:spacing w:after="0" w:line="240" w:lineRule="auto"/>
              <w:rPr>
                <w:rFonts w:eastAsia="SimSun" w:cs="Times New Roman"/>
                <w:sz w:val="20"/>
                <w:szCs w:val="20"/>
                <w:lang w:val="en-GB" w:eastAsia="de-DE"/>
              </w:rPr>
            </w:pPr>
            <w:r w:rsidRPr="0098797E">
              <w:rPr>
                <w:rFonts w:eastAsia="SimSun" w:cs="Times New Roman"/>
                <w:sz w:val="20"/>
                <w:szCs w:val="20"/>
                <w:lang w:val="en-GB" w:eastAsia="de-DE"/>
              </w:rPr>
              <w:t>PCC06B</w:t>
            </w:r>
          </w:p>
        </w:tc>
        <w:tc>
          <w:tcPr>
            <w:tcW w:w="398" w:type="pct"/>
            <w:tcBorders>
              <w:bottom w:val="single" w:sz="4" w:space="0" w:color="auto"/>
            </w:tcBorders>
            <w:shd w:val="clear" w:color="auto" w:fill="auto"/>
            <w:tcMar>
              <w:top w:w="72" w:type="dxa"/>
              <w:left w:w="144" w:type="dxa"/>
              <w:bottom w:w="72" w:type="dxa"/>
              <w:right w:w="144" w:type="dxa"/>
            </w:tcMar>
            <w:vAlign w:val="center"/>
          </w:tcPr>
          <w:p w14:paraId="2D8B71BD"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Cys</w:t>
            </w:r>
          </w:p>
        </w:tc>
        <w:tc>
          <w:tcPr>
            <w:tcW w:w="594" w:type="pct"/>
            <w:tcBorders>
              <w:bottom w:val="single" w:sz="4" w:space="0" w:color="auto"/>
            </w:tcBorders>
            <w:shd w:val="clear" w:color="auto" w:fill="auto"/>
            <w:tcMar>
              <w:top w:w="72" w:type="dxa"/>
              <w:left w:w="144" w:type="dxa"/>
              <w:bottom w:w="72" w:type="dxa"/>
              <w:right w:w="144" w:type="dxa"/>
            </w:tcMar>
            <w:vAlign w:val="center"/>
          </w:tcPr>
          <w:p w14:paraId="59973C6C" w14:textId="77777777" w:rsidR="004E5E8E" w:rsidRPr="0098797E" w:rsidRDefault="00902D34" w:rsidP="00661CFB">
            <w:pPr>
              <w:spacing w:after="0" w:line="240" w:lineRule="auto"/>
              <w:jc w:val="center"/>
              <w:rPr>
                <w:rFonts w:eastAsia="SimSun" w:cs="Times New Roman"/>
                <w:sz w:val="20"/>
                <w:szCs w:val="20"/>
                <w:lang w:val="en-GB" w:eastAsia="de-DE"/>
              </w:rPr>
            </w:pPr>
            <w:r>
              <w:rPr>
                <w:rFonts w:eastAsia="SimSun" w:cs="Times New Roman"/>
                <w:sz w:val="20"/>
                <w:szCs w:val="20"/>
                <w:lang w:val="en-GB" w:eastAsia="de-DE"/>
              </w:rPr>
              <w:t>n.v.</w:t>
            </w:r>
          </w:p>
        </w:tc>
        <w:tc>
          <w:tcPr>
            <w:tcW w:w="594" w:type="pct"/>
            <w:tcBorders>
              <w:bottom w:val="single" w:sz="4" w:space="0" w:color="auto"/>
            </w:tcBorders>
            <w:shd w:val="clear" w:color="auto" w:fill="auto"/>
            <w:tcMar>
              <w:top w:w="72" w:type="dxa"/>
              <w:left w:w="144" w:type="dxa"/>
              <w:bottom w:w="72" w:type="dxa"/>
              <w:right w:w="144" w:type="dxa"/>
            </w:tcMar>
            <w:vAlign w:val="center"/>
          </w:tcPr>
          <w:p w14:paraId="19F5D021" w14:textId="77777777" w:rsidR="004E5E8E" w:rsidRPr="0098797E" w:rsidRDefault="00902D34" w:rsidP="00661CFB">
            <w:pPr>
              <w:spacing w:after="0" w:line="240" w:lineRule="auto"/>
              <w:jc w:val="center"/>
              <w:rPr>
                <w:rFonts w:eastAsia="SimSun" w:cs="Times New Roman"/>
                <w:sz w:val="20"/>
                <w:szCs w:val="20"/>
                <w:lang w:val="en-GB" w:eastAsia="de-DE"/>
              </w:rPr>
            </w:pPr>
            <w:r>
              <w:rPr>
                <w:rFonts w:eastAsia="SimSun" w:cs="Times New Roman"/>
                <w:sz w:val="20"/>
                <w:szCs w:val="20"/>
                <w:lang w:val="en-GB" w:eastAsia="de-DE"/>
              </w:rPr>
              <w:t>n.v.</w:t>
            </w:r>
          </w:p>
        </w:tc>
        <w:tc>
          <w:tcPr>
            <w:tcW w:w="730" w:type="pct"/>
            <w:tcBorders>
              <w:bottom w:val="single" w:sz="4" w:space="0" w:color="auto"/>
            </w:tcBorders>
            <w:shd w:val="clear" w:color="auto" w:fill="auto"/>
            <w:tcMar>
              <w:top w:w="72" w:type="dxa"/>
              <w:left w:w="144" w:type="dxa"/>
              <w:bottom w:w="72" w:type="dxa"/>
              <w:right w:w="144" w:type="dxa"/>
            </w:tcMar>
            <w:vAlign w:val="center"/>
          </w:tcPr>
          <w:p w14:paraId="063E541D" w14:textId="77777777" w:rsidR="004E5E8E" w:rsidRPr="0098797E" w:rsidRDefault="004E5E8E" w:rsidP="00661CFB">
            <w:pPr>
              <w:spacing w:after="0" w:line="240" w:lineRule="auto"/>
              <w:jc w:val="center"/>
              <w:rPr>
                <w:sz w:val="20"/>
                <w:szCs w:val="20"/>
              </w:rPr>
            </w:pPr>
            <w:r w:rsidRPr="0098797E">
              <w:rPr>
                <w:sz w:val="20"/>
                <w:szCs w:val="20"/>
              </w:rPr>
              <w:t>99</w:t>
            </w:r>
          </w:p>
        </w:tc>
        <w:tc>
          <w:tcPr>
            <w:tcW w:w="652" w:type="pct"/>
            <w:tcBorders>
              <w:bottom w:val="single" w:sz="4" w:space="0" w:color="auto"/>
            </w:tcBorders>
            <w:shd w:val="clear" w:color="auto" w:fill="auto"/>
            <w:tcMar>
              <w:top w:w="72" w:type="dxa"/>
              <w:left w:w="144" w:type="dxa"/>
              <w:bottom w:w="72" w:type="dxa"/>
              <w:right w:w="144" w:type="dxa"/>
            </w:tcMar>
            <w:vAlign w:val="center"/>
          </w:tcPr>
          <w:p w14:paraId="202D9303"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12.300</w:t>
            </w:r>
          </w:p>
        </w:tc>
        <w:tc>
          <w:tcPr>
            <w:tcW w:w="652" w:type="pct"/>
            <w:tcBorders>
              <w:bottom w:val="single" w:sz="4" w:space="0" w:color="auto"/>
            </w:tcBorders>
            <w:shd w:val="clear" w:color="auto" w:fill="auto"/>
            <w:tcMar>
              <w:top w:w="72" w:type="dxa"/>
              <w:left w:w="144" w:type="dxa"/>
              <w:bottom w:w="72" w:type="dxa"/>
              <w:right w:w="144" w:type="dxa"/>
            </w:tcMar>
            <w:vAlign w:val="center"/>
          </w:tcPr>
          <w:p w14:paraId="0F6D8F98" w14:textId="77777777" w:rsidR="004E5E8E" w:rsidRPr="0098797E" w:rsidRDefault="004E5E8E" w:rsidP="00661CFB">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18.000</w:t>
            </w:r>
          </w:p>
        </w:tc>
        <w:tc>
          <w:tcPr>
            <w:tcW w:w="416" w:type="pct"/>
            <w:tcBorders>
              <w:bottom w:val="single" w:sz="4" w:space="0" w:color="auto"/>
            </w:tcBorders>
            <w:shd w:val="clear" w:color="auto" w:fill="auto"/>
            <w:tcMar>
              <w:top w:w="72" w:type="dxa"/>
              <w:left w:w="144" w:type="dxa"/>
              <w:bottom w:w="72" w:type="dxa"/>
              <w:right w:w="144" w:type="dxa"/>
            </w:tcMar>
            <w:vAlign w:val="center"/>
          </w:tcPr>
          <w:p w14:paraId="792A61DA" w14:textId="77777777" w:rsidR="004E5E8E" w:rsidRPr="0098797E" w:rsidRDefault="004E5E8E" w:rsidP="002E36FF">
            <w:pPr>
              <w:spacing w:after="0" w:line="240" w:lineRule="auto"/>
              <w:jc w:val="center"/>
              <w:rPr>
                <w:rFonts w:eastAsia="SimSun" w:cs="Times New Roman"/>
                <w:sz w:val="20"/>
                <w:szCs w:val="20"/>
                <w:lang w:val="en-GB" w:eastAsia="de-DE"/>
              </w:rPr>
            </w:pPr>
            <w:r w:rsidRPr="0098797E">
              <w:rPr>
                <w:rFonts w:eastAsia="SimSun" w:cs="Times New Roman"/>
                <w:sz w:val="20"/>
                <w:szCs w:val="20"/>
                <w:lang w:val="en-GB" w:eastAsia="de-DE"/>
              </w:rPr>
              <w:t>1,46</w:t>
            </w:r>
          </w:p>
        </w:tc>
      </w:tr>
    </w:tbl>
    <w:p w14:paraId="0D79BCE9" w14:textId="77777777" w:rsidR="00661CFB" w:rsidRPr="005D2AB8" w:rsidRDefault="00661CFB" w:rsidP="004E5E8E">
      <w:pPr>
        <w:spacing w:after="0" w:line="240" w:lineRule="auto"/>
        <w:ind w:firstLine="708"/>
        <w:rPr>
          <w:rFonts w:eastAsia="SimSun" w:cs="Times New Roman"/>
          <w:sz w:val="18"/>
          <w:szCs w:val="18"/>
          <w:lang w:eastAsia="de-DE"/>
        </w:rPr>
      </w:pPr>
      <w:r w:rsidRPr="005D2AB8">
        <w:rPr>
          <w:rFonts w:eastAsia="SimSun" w:cs="Times New Roman"/>
          <w:sz w:val="18"/>
          <w:szCs w:val="18"/>
          <w:vertAlign w:val="superscript"/>
          <w:lang w:eastAsia="de-DE"/>
        </w:rPr>
        <w:t xml:space="preserve">a </w:t>
      </w:r>
      <w:r w:rsidRPr="005D2AB8">
        <w:rPr>
          <w:rFonts w:eastAsia="SimSun" w:cs="Times New Roman"/>
          <w:sz w:val="18"/>
          <w:szCs w:val="18"/>
          <w:lang w:eastAsia="de-DE"/>
        </w:rPr>
        <w:t xml:space="preserve">Molenbruch von </w:t>
      </w:r>
      <w:r w:rsidR="009D535D" w:rsidRPr="005D2AB8">
        <w:rPr>
          <w:rFonts w:eastAsia="SimSun" w:cs="Times New Roman"/>
          <w:sz w:val="18"/>
          <w:szCs w:val="18"/>
          <w:lang w:eastAsia="de-DE"/>
        </w:rPr>
        <w:t>Morpholin-2,5-dion</w:t>
      </w:r>
      <w:r w:rsidRPr="005D2AB8">
        <w:rPr>
          <w:rFonts w:eastAsia="SimSun" w:cs="Times New Roman"/>
          <w:sz w:val="18"/>
          <w:szCs w:val="18"/>
          <w:lang w:eastAsia="de-DE"/>
        </w:rPr>
        <w:t xml:space="preserve"> in der Reaktionsmischung.</w:t>
      </w:r>
    </w:p>
    <w:p w14:paraId="1250F00B" w14:textId="77777777" w:rsidR="00661CFB" w:rsidRPr="005D2AB8" w:rsidRDefault="00661CFB" w:rsidP="004E5E8E">
      <w:pPr>
        <w:spacing w:after="0" w:line="240" w:lineRule="auto"/>
        <w:ind w:firstLine="708"/>
        <w:rPr>
          <w:rFonts w:eastAsia="SimSun" w:cs="Times New Roman"/>
          <w:sz w:val="18"/>
          <w:szCs w:val="18"/>
          <w:lang w:eastAsia="de-DE"/>
        </w:rPr>
      </w:pPr>
      <w:r w:rsidRPr="005D2AB8">
        <w:rPr>
          <w:rFonts w:eastAsia="SimSun" w:cs="Times New Roman"/>
          <w:sz w:val="18"/>
          <w:szCs w:val="18"/>
          <w:vertAlign w:val="superscript"/>
          <w:lang w:eastAsia="de-DE"/>
        </w:rPr>
        <w:t xml:space="preserve">b </w:t>
      </w:r>
      <w:r w:rsidRPr="005D2AB8">
        <w:rPr>
          <w:rFonts w:eastAsia="SimSun" w:cs="Times New Roman"/>
          <w:sz w:val="18"/>
          <w:szCs w:val="18"/>
          <w:lang w:eastAsia="de-DE"/>
        </w:rPr>
        <w:t>Molenbruch von</w:t>
      </w:r>
      <w:r w:rsidR="009D535D" w:rsidRPr="005D2AB8">
        <w:rPr>
          <w:rFonts w:eastAsia="SimSun" w:cs="Times New Roman"/>
          <w:sz w:val="18"/>
          <w:szCs w:val="18"/>
          <w:lang w:eastAsia="de-DE"/>
        </w:rPr>
        <w:t xml:space="preserve"> [GA-Cys</w:t>
      </w:r>
      <w:r w:rsidR="004E5E8E">
        <w:rPr>
          <w:rFonts w:eastAsia="SimSun" w:cs="Times New Roman"/>
          <w:sz w:val="18"/>
          <w:szCs w:val="18"/>
          <w:lang w:eastAsia="de-DE"/>
        </w:rPr>
        <w:t>(R</w:t>
      </w:r>
      <w:r w:rsidRPr="005D2AB8">
        <w:rPr>
          <w:rFonts w:eastAsia="SimSun" w:cs="Times New Roman"/>
          <w:sz w:val="18"/>
          <w:szCs w:val="18"/>
          <w:lang w:eastAsia="de-DE"/>
        </w:rPr>
        <w:t>)]</w:t>
      </w:r>
      <w:r w:rsidR="004E5E8E">
        <w:rPr>
          <w:rFonts w:eastAsia="SimSun" w:cs="Times New Roman"/>
          <w:sz w:val="18"/>
          <w:szCs w:val="18"/>
          <w:lang w:eastAsia="de-DE"/>
        </w:rPr>
        <w:t xml:space="preserve"> bzw. [GA-Asp(R</w:t>
      </w:r>
      <w:r w:rsidR="009D535D" w:rsidRPr="005D2AB8">
        <w:rPr>
          <w:rFonts w:eastAsia="SimSun" w:cs="Times New Roman"/>
          <w:sz w:val="18"/>
          <w:szCs w:val="18"/>
          <w:lang w:eastAsia="de-DE"/>
        </w:rPr>
        <w:t>)]</w:t>
      </w:r>
      <w:r w:rsidRPr="005D2AB8">
        <w:rPr>
          <w:rFonts w:eastAsia="SimSun" w:cs="Times New Roman"/>
          <w:sz w:val="18"/>
          <w:szCs w:val="18"/>
          <w:lang w:eastAsia="de-DE"/>
        </w:rPr>
        <w:t xml:space="preserve"> Einheiten im Copolymer.</w:t>
      </w:r>
    </w:p>
    <w:p w14:paraId="46158EB7" w14:textId="77777777" w:rsidR="00A70D5A" w:rsidRPr="00902D34" w:rsidRDefault="00FD040A" w:rsidP="00902D34">
      <w:pPr>
        <w:ind w:firstLine="708"/>
        <w:rPr>
          <w:rFonts w:cs="Times New Roman"/>
          <w:sz w:val="18"/>
          <w:szCs w:val="18"/>
          <w:lang w:val="en-US"/>
        </w:rPr>
      </w:pPr>
      <w:r w:rsidRPr="005D2AB8">
        <w:rPr>
          <w:rFonts w:eastAsia="SimSun" w:cs="Times New Roman"/>
          <w:sz w:val="18"/>
          <w:szCs w:val="18"/>
          <w:lang w:val="en-GB" w:eastAsia="de-DE"/>
        </w:rPr>
        <w:t>*SEC-9: DMAc+ 0.21% LiCl, Polystyrol</w:t>
      </w:r>
      <w:r w:rsidR="00661CFB" w:rsidRPr="005D2AB8">
        <w:rPr>
          <w:rFonts w:eastAsia="SimSun" w:cs="Times New Roman"/>
          <w:sz w:val="18"/>
          <w:szCs w:val="18"/>
          <w:lang w:val="en-GB" w:eastAsia="de-DE"/>
        </w:rPr>
        <w:t xml:space="preserve"> Kalibration.</w:t>
      </w:r>
    </w:p>
    <w:p w14:paraId="4410EF93" w14:textId="77777777" w:rsidR="00A70D5A" w:rsidRPr="00612975" w:rsidRDefault="00A70D5A" w:rsidP="00FC6742">
      <w:pPr>
        <w:spacing w:after="120"/>
        <w:rPr>
          <w:lang w:val="en-US"/>
        </w:rPr>
      </w:pPr>
    </w:p>
    <w:p w14:paraId="58C3C639" w14:textId="77777777" w:rsidR="006F2953" w:rsidRDefault="006F2953" w:rsidP="000F6F2F">
      <w:pPr>
        <w:spacing w:after="0"/>
        <w:contextualSpacing/>
      </w:pPr>
      <w:r>
        <w:t>Die Grundstrukturen der beiden</w:t>
      </w:r>
      <w:r w:rsidR="00B41124">
        <w:t xml:space="preserve"> letztlich in der Arbeit</w:t>
      </w:r>
      <w:r>
        <w:t xml:space="preserve"> verwendeten PEA-Typen sind in </w:t>
      </w:r>
      <w:r w:rsidR="00D16240">
        <w:fldChar w:fldCharType="begin"/>
      </w:r>
      <w:r w:rsidR="00AE54B2">
        <w:instrText xml:space="preserve"> REF _Ref272091259 \h </w:instrText>
      </w:r>
      <w:r w:rsidR="00D16240">
        <w:fldChar w:fldCharType="separate"/>
      </w:r>
      <w:r w:rsidR="00711AB8" w:rsidRPr="006F2953">
        <w:t xml:space="preserve">Abbildung </w:t>
      </w:r>
      <w:r w:rsidR="00711AB8">
        <w:rPr>
          <w:noProof/>
        </w:rPr>
        <w:t>8</w:t>
      </w:r>
      <w:r w:rsidR="00D16240">
        <w:fldChar w:fldCharType="end"/>
      </w:r>
      <w:r w:rsidR="00AE54B2">
        <w:t xml:space="preserve"> dargestellt.</w:t>
      </w:r>
    </w:p>
    <w:p w14:paraId="69986128" w14:textId="77777777" w:rsidR="00AE54B2" w:rsidRDefault="00AE54B2" w:rsidP="005D2AB8"/>
    <w:p w14:paraId="15D41D51" w14:textId="77777777" w:rsidR="008F6AE7" w:rsidRDefault="008F6AE7" w:rsidP="008F6AE7">
      <w:pPr>
        <w:contextualSpacing/>
        <w:jc w:val="center"/>
      </w:pPr>
      <w:r>
        <w:rPr>
          <w:noProof/>
          <w:lang w:eastAsia="de-DE"/>
        </w:rPr>
        <w:drawing>
          <wp:inline distT="0" distB="0" distL="0" distR="0" wp14:anchorId="16E376D4" wp14:editId="2F525691">
            <wp:extent cx="2194560" cy="974362"/>
            <wp:effectExtent l="0" t="0" r="0" b="0"/>
            <wp:docPr id="1030"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1000"/>
                              </a14:imgEffect>
                              <a14:imgEffect>
                                <a14:brightnessContrast bright="-6000" contrast="4000"/>
                              </a14:imgEffect>
                            </a14:imgLayer>
                          </a14:imgProps>
                        </a:ext>
                        <a:ext uri="{28A0092B-C50C-407E-A947-70E740481C1C}">
                          <a14:useLocalDpi xmlns:a14="http://schemas.microsoft.com/office/drawing/2010/main" val="0"/>
                        </a:ext>
                      </a:extLst>
                    </a:blip>
                    <a:srcRect/>
                    <a:stretch>
                      <a:fillRect/>
                    </a:stretch>
                  </pic:blipFill>
                  <pic:spPr bwMode="auto">
                    <a:xfrm>
                      <a:off x="0" y="0"/>
                      <a:ext cx="2200872" cy="977164"/>
                    </a:xfrm>
                    <a:prstGeom prst="rect">
                      <a:avLst/>
                    </a:prstGeom>
                    <a:noFill/>
                  </pic:spPr>
                </pic:pic>
              </a:graphicData>
            </a:graphic>
          </wp:inline>
        </w:drawing>
      </w:r>
      <w:r>
        <w:t xml:space="preserve">               </w:t>
      </w:r>
      <w:r>
        <w:rPr>
          <w:noProof/>
          <w:lang w:eastAsia="de-DE"/>
        </w:rPr>
        <w:drawing>
          <wp:inline distT="0" distB="0" distL="0" distR="0" wp14:anchorId="04CFD152" wp14:editId="339DE5B2">
            <wp:extent cx="2304276" cy="960179"/>
            <wp:effectExtent l="0" t="0" r="1270" b="0"/>
            <wp:docPr id="1034"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05691" cy="960769"/>
                    </a:xfrm>
                    <a:prstGeom prst="rect">
                      <a:avLst/>
                    </a:prstGeom>
                    <a:noFill/>
                  </pic:spPr>
                </pic:pic>
              </a:graphicData>
            </a:graphic>
          </wp:inline>
        </w:drawing>
      </w:r>
    </w:p>
    <w:p w14:paraId="0575617B" w14:textId="77777777" w:rsidR="008F6AE7" w:rsidRDefault="006F2953" w:rsidP="000A6796">
      <w:pPr>
        <w:pStyle w:val="Beschriftung"/>
        <w:ind w:firstLine="0"/>
        <w:rPr>
          <w:b w:val="0"/>
        </w:rPr>
      </w:pPr>
      <w:bookmarkStart w:id="101" w:name="_Ref272091259"/>
      <w:r w:rsidRPr="006F2953">
        <w:t xml:space="preserve">Abbildung </w:t>
      </w:r>
      <w:fldSimple w:instr=" SEQ Abbildung \* ARABIC ">
        <w:r w:rsidR="00711AB8">
          <w:rPr>
            <w:noProof/>
          </w:rPr>
          <w:t>8</w:t>
        </w:r>
      </w:fldSimple>
      <w:bookmarkEnd w:id="101"/>
      <w:r>
        <w:rPr>
          <w:b w:val="0"/>
        </w:rPr>
        <w:t xml:space="preserve"> Grundstrukturen der </w:t>
      </w:r>
      <w:r w:rsidR="00AE54B2">
        <w:rPr>
          <w:b w:val="0"/>
        </w:rPr>
        <w:t xml:space="preserve">zur Formulierung </w:t>
      </w:r>
      <w:r w:rsidR="00463CF1">
        <w:rPr>
          <w:b w:val="0"/>
        </w:rPr>
        <w:t>verwendeten PEA Polymere;</w:t>
      </w:r>
      <w:r>
        <w:rPr>
          <w:b w:val="0"/>
        </w:rPr>
        <w:t xml:space="preserve"> links</w:t>
      </w:r>
      <w:r w:rsidR="00AE54B2">
        <w:rPr>
          <w:b w:val="0"/>
        </w:rPr>
        <w:t>:</w:t>
      </w:r>
      <w:r w:rsidR="000A6796">
        <w:rPr>
          <w:b w:val="0"/>
        </w:rPr>
        <w:t xml:space="preserve"> Asparaginsäure-Typ,                </w:t>
      </w:r>
      <w:r w:rsidR="005D2AB8">
        <w:rPr>
          <w:b w:val="0"/>
        </w:rPr>
        <w:t>rechts: Cystein-Typ; D</w:t>
      </w:r>
      <w:r w:rsidR="00AE54B2">
        <w:rPr>
          <w:b w:val="0"/>
        </w:rPr>
        <w:t>ie</w:t>
      </w:r>
      <w:r w:rsidR="00463CF1">
        <w:rPr>
          <w:b w:val="0"/>
        </w:rPr>
        <w:t xml:space="preserve"> variablen</w:t>
      </w:r>
      <w:r w:rsidR="00AE54B2">
        <w:rPr>
          <w:b w:val="0"/>
        </w:rPr>
        <w:t xml:space="preserve"> funktionellen Seitengruppen sind</w:t>
      </w:r>
      <w:r w:rsidR="005D2AB8">
        <w:rPr>
          <w:b w:val="0"/>
        </w:rPr>
        <w:t xml:space="preserve"> jeweils</w:t>
      </w:r>
      <w:r w:rsidR="00AE54B2">
        <w:rPr>
          <w:b w:val="0"/>
        </w:rPr>
        <w:t xml:space="preserve"> farblich markiert</w:t>
      </w:r>
      <w:r w:rsidR="005D2AB8">
        <w:rPr>
          <w:b w:val="0"/>
        </w:rPr>
        <w:t>.</w:t>
      </w:r>
    </w:p>
    <w:p w14:paraId="03294FE1" w14:textId="77777777" w:rsidR="0098797E" w:rsidRDefault="0098797E" w:rsidP="005D2AB8">
      <w:pPr>
        <w:spacing w:after="120"/>
      </w:pPr>
    </w:p>
    <w:p w14:paraId="62EA13F2" w14:textId="77777777" w:rsidR="000E21A8" w:rsidRDefault="0098797E" w:rsidP="00AE54B2">
      <w:r>
        <w:t>Als Quelle zur Beschreibung der Morpholin- und Polyesteramidsynthese dienten bislang nicht veröffentlichte interne Berichte der Evonik Industries AG</w:t>
      </w:r>
      <w:bookmarkStart w:id="102" w:name="_Ref399945408"/>
      <w:r>
        <w:rPr>
          <w:rStyle w:val="Endnotenzeichen"/>
        </w:rPr>
        <w:endnoteReference w:id="105"/>
      </w:r>
      <w:bookmarkEnd w:id="102"/>
      <w:r>
        <w:t>.</w:t>
      </w:r>
    </w:p>
    <w:p w14:paraId="490C275F" w14:textId="77777777" w:rsidR="00C94B99" w:rsidRPr="00AE54B2" w:rsidRDefault="00C94B99" w:rsidP="00AE54B2">
      <w:r>
        <w:lastRenderedPageBreak/>
        <w:t>Im Zuge der Synthese der neuen PEA Polymere stellte sich heraus, dass eine exakte Steuerung der Polymerkettenlänge und der Austausch von Aminosäuren prinzipiell zwar möglich, aber keineswegs trivial ist. Die Auswahl der Schutzgruppe hängt von der Art der eingesetzten Aminosäure ab und muss jeweils angepasst werden. Dies erfordert wiederum eine Anpasung des kritischen Prozessschrittes der Entschützung. Der Gehalt an Aminosäuren konnte zudem nur innerhalb bestimmter Grenzen e</w:t>
      </w:r>
      <w:r w:rsidR="00EF13B3">
        <w:t>ingeste</w:t>
      </w:r>
      <w:r w:rsidR="00FC6742">
        <w:t>llt werden</w:t>
      </w:r>
      <w:r w:rsidR="00D16240">
        <w:fldChar w:fldCharType="begin"/>
      </w:r>
      <w:r w:rsidR="00115A6A">
        <w:instrText xml:space="preserve"> NOTEREF _Ref399945408 \f \h </w:instrText>
      </w:r>
      <w:r w:rsidR="00D16240">
        <w:fldChar w:fldCharType="separate"/>
      </w:r>
      <w:r w:rsidR="00711AB8" w:rsidRPr="00711AB8">
        <w:rPr>
          <w:rStyle w:val="Endnotenzeichen"/>
        </w:rPr>
        <w:t>105</w:t>
      </w:r>
      <w:r w:rsidR="00D16240">
        <w:fldChar w:fldCharType="end"/>
      </w:r>
      <w:r w:rsidR="00FC6742">
        <w:t>.</w:t>
      </w:r>
    </w:p>
    <w:p w14:paraId="724F4D09" w14:textId="77777777" w:rsidR="00322E64" w:rsidRDefault="00322E64" w:rsidP="00996F38">
      <w:pPr>
        <w:pStyle w:val="berschrift3"/>
      </w:pPr>
      <w:bookmarkStart w:id="103" w:name="_Toc294380191"/>
      <w:r>
        <w:t xml:space="preserve">Vorteile </w:t>
      </w:r>
      <w:r w:rsidR="00745001">
        <w:t xml:space="preserve">der Polyesteramide </w:t>
      </w:r>
      <w:r>
        <w:t>gegenüber herkömmlichen Trägermaterialien</w:t>
      </w:r>
      <w:bookmarkEnd w:id="103"/>
    </w:p>
    <w:p w14:paraId="674B5731" w14:textId="77777777" w:rsidR="003B0DBC" w:rsidRDefault="00F43C8A" w:rsidP="00AE54B2">
      <w:r>
        <w:t xml:space="preserve">Die Verwendung von </w:t>
      </w:r>
      <w:r w:rsidR="000F6F2F">
        <w:t>PEA</w:t>
      </w:r>
      <w:r w:rsidR="00130345">
        <w:t xml:space="preserve"> Polymeren als Trägermaterial</w:t>
      </w:r>
      <w:r>
        <w:t xml:space="preserve"> für Peptide und Proteine</w:t>
      </w:r>
      <w:r w:rsidR="00130345">
        <w:t xml:space="preserve"> bietet gegenüber den handelsüblichen PLGA Polymeren erhebliche Vorteile: D</w:t>
      </w:r>
      <w:r>
        <w:t xml:space="preserve">urch Variation der Aminosäure </w:t>
      </w:r>
      <w:r w:rsidR="00DB699C">
        <w:t>besteht</w:t>
      </w:r>
      <w:r w:rsidR="00130345">
        <w:t xml:space="preserve"> die Möglichkeit eine Vielzahl </w:t>
      </w:r>
      <w:r>
        <w:t>unterschiedliche</w:t>
      </w:r>
      <w:r w:rsidR="00130345">
        <w:t>r</w:t>
      </w:r>
      <w:r>
        <w:t xml:space="preserve"> Seitenfunktionalitäten</w:t>
      </w:r>
      <w:r w:rsidR="00DB699C">
        <w:t xml:space="preserve"> bei nur</w:t>
      </w:r>
      <w:r>
        <w:t xml:space="preserve"> </w:t>
      </w:r>
      <w:r w:rsidR="00463CF1">
        <w:t>geringfügigen Maßnahmen zur</w:t>
      </w:r>
      <w:r w:rsidR="00DB699C">
        <w:t xml:space="preserve"> Anpassung des Herstellungsprozesses </w:t>
      </w:r>
      <w:r>
        <w:t>einzuführen</w:t>
      </w:r>
      <w:r w:rsidR="00130345">
        <w:t xml:space="preserve">. </w:t>
      </w:r>
      <w:r w:rsidR="00DB699C">
        <w:t>Außerdem kann bei der Synthese der Polymere der Gehalt an Aminosäureresten kontrolliert werden. Somit können die Eigenschaften der Polymere an die spezifischen Erfordernisse zur Verwendung als Carrier angepasst werden. Die Hydrophilie und die Löslichkeitseigen</w:t>
      </w:r>
      <w:r w:rsidR="003B0DBC">
        <w:t>-</w:t>
      </w:r>
      <w:r w:rsidR="00DB699C">
        <w:t xml:space="preserve">schaften sind steuerbar und können </w:t>
      </w:r>
      <w:r w:rsidR="00546DD8">
        <w:t>prinzipiell</w:t>
      </w:r>
      <w:r w:rsidR="00C60E78">
        <w:t xml:space="preserve"> genau </w:t>
      </w:r>
      <w:r w:rsidR="00745001">
        <w:t>so eingestellt werden, dass optimale Wirkstoffbeladungsraten und Freisetzungsprofile erzielt werden</w:t>
      </w:r>
      <w:r w:rsidR="00463CF1">
        <w:t xml:space="preserve"> können</w:t>
      </w:r>
      <w:r w:rsidR="00745001">
        <w:t xml:space="preserve">. </w:t>
      </w:r>
      <w:r w:rsidR="003B33A0">
        <w:t>Dies wurde von He et al. für ein pH-sensitives PEA Polymer mit Leucin gezeigt</w:t>
      </w:r>
      <w:r w:rsidR="003B0DBC">
        <w:rPr>
          <w:rStyle w:val="Endnotenzeichen"/>
        </w:rPr>
        <w:endnoteReference w:id="106"/>
      </w:r>
      <w:r w:rsidR="003B33A0">
        <w:t>.</w:t>
      </w:r>
      <w:r w:rsidR="00C94B99">
        <w:t xml:space="preserve"> Die Arbeiten der Universität Jena an der Synthese und die</w:t>
      </w:r>
      <w:r w:rsidR="00546DD8">
        <w:t xml:space="preserve"> eigenen</w:t>
      </w:r>
      <w:r w:rsidR="00C94B99">
        <w:t xml:space="preserve"> Untersuchung</w:t>
      </w:r>
      <w:r w:rsidR="00546DD8">
        <w:t>en</w:t>
      </w:r>
      <w:r w:rsidR="00C94B99">
        <w:t xml:space="preserve"> der neuen PEA Polymere in der vorliegenden Arbeit</w:t>
      </w:r>
      <w:r w:rsidR="00546DD8">
        <w:t xml:space="preserve"> zeigten allerdings, dass die gezielte Einstellung der physikochemischen Eigenschaften der Polymere</w:t>
      </w:r>
      <w:r w:rsidR="00C94B99">
        <w:t xml:space="preserve"> keineswegs tri</w:t>
      </w:r>
      <w:r w:rsidR="00546DD8">
        <w:t>vial ist und bislang nur innerhalb bestimmter Grenzen realisiert werden konnte</w:t>
      </w:r>
      <w:r w:rsidR="00D16240">
        <w:fldChar w:fldCharType="begin"/>
      </w:r>
      <w:r w:rsidR="00D664CF">
        <w:instrText xml:space="preserve"> NOTEREF _Ref399945408 \f \h </w:instrText>
      </w:r>
      <w:r w:rsidR="00D16240">
        <w:fldChar w:fldCharType="separate"/>
      </w:r>
      <w:r w:rsidR="00711AB8" w:rsidRPr="00711AB8">
        <w:rPr>
          <w:rStyle w:val="Endnotenzeichen"/>
        </w:rPr>
        <w:t>105</w:t>
      </w:r>
      <w:r w:rsidR="00D16240">
        <w:fldChar w:fldCharType="end"/>
      </w:r>
      <w:r w:rsidR="00546DD8">
        <w:t>.</w:t>
      </w:r>
    </w:p>
    <w:p w14:paraId="505CD5A1" w14:textId="77777777" w:rsidR="00AE54B2" w:rsidRDefault="001E735E" w:rsidP="00AE54B2">
      <w:r>
        <w:t>Da sie peptidisch gebundene Aminosäuren enthalten,</w:t>
      </w:r>
      <w:r w:rsidR="00745001">
        <w:t xml:space="preserve"> besitzen die Polyesteramide per se eine erhöhte Hydrophilie im Vergleich zu PLGA. </w:t>
      </w:r>
      <w:r w:rsidR="003B0DBC">
        <w:t>In der vorliegenden Arbeit wurde gezeigt, dass d</w:t>
      </w:r>
      <w:r w:rsidR="00745001">
        <w:t>urch den Einbau von Carb</w:t>
      </w:r>
      <w:r w:rsidR="00A70D5A">
        <w:t>oxylgruppen beim Asparaginsäure-</w:t>
      </w:r>
      <w:r w:rsidR="00D664CF">
        <w:t>Typ sogar eine</w:t>
      </w:r>
      <w:r w:rsidR="00745001">
        <w:t xml:space="preserve"> pH-abhängige Wasserlöslichkeit</w:t>
      </w:r>
      <w:r>
        <w:t xml:space="preserve"> des Polymers</w:t>
      </w:r>
      <w:r w:rsidR="00745001">
        <w:t xml:space="preserve"> erzielt werden</w:t>
      </w:r>
      <w:r w:rsidR="003B0DBC">
        <w:t xml:space="preserve"> kann</w:t>
      </w:r>
      <w:r w:rsidR="00745001">
        <w:t>. Die generell höhere Hydrophilie</w:t>
      </w:r>
      <w:r w:rsidR="00A70D5A">
        <w:t xml:space="preserve"> der PEA Polymere</w:t>
      </w:r>
      <w:r w:rsidR="00463CF1">
        <w:t xml:space="preserve"> gegenüber PLGA</w:t>
      </w:r>
      <w:r w:rsidR="00745001">
        <w:t xml:space="preserve"> und die Möglichkeit diese </w:t>
      </w:r>
      <w:r w:rsidR="002B14F1">
        <w:t xml:space="preserve">je </w:t>
      </w:r>
      <w:r w:rsidR="00745001">
        <w:t>nach B</w:t>
      </w:r>
      <w:r w:rsidR="00D664CF">
        <w:t>edarf</w:t>
      </w:r>
      <w:r w:rsidR="002B14F1">
        <w:t xml:space="preserve"> einzustellen</w:t>
      </w:r>
      <w:r w:rsidR="00D664CF">
        <w:t>, sollte sich für die</w:t>
      </w:r>
      <w:r w:rsidR="00745001">
        <w:t xml:space="preserve"> Verkapselung vo</w:t>
      </w:r>
      <w:r w:rsidR="00C85919">
        <w:t xml:space="preserve">n </w:t>
      </w:r>
      <w:r w:rsidR="00745001">
        <w:t>Peptide</w:t>
      </w:r>
      <w:r w:rsidR="00C85919">
        <w:t>n</w:t>
      </w:r>
      <w:r w:rsidR="00745001">
        <w:t xml:space="preserve"> u</w:t>
      </w:r>
      <w:r>
        <w:t>nd Proteine</w:t>
      </w:r>
      <w:r w:rsidR="00C85919">
        <w:t>n aus BCS Klasse III</w:t>
      </w:r>
      <w:r w:rsidR="00D664CF">
        <w:t xml:space="preserve"> voraussichtlich als vorteilhaft erweisen.</w:t>
      </w:r>
    </w:p>
    <w:p w14:paraId="147C71BC" w14:textId="77777777" w:rsidR="001E735E" w:rsidRDefault="001E735E" w:rsidP="00AE54B2">
      <w:r>
        <w:t xml:space="preserve">Die </w:t>
      </w:r>
      <w:r w:rsidR="007D2B29">
        <w:t>mukoadhäsiven</w:t>
      </w:r>
      <w:r>
        <w:t xml:space="preserve"> </w:t>
      </w:r>
      <w:r w:rsidR="00140C8D">
        <w:t xml:space="preserve">und enzymhemmenden </w:t>
      </w:r>
      <w:r>
        <w:t>Effekte, die durch</w:t>
      </w:r>
      <w:r w:rsidR="00CC2C8A">
        <w:t xml:space="preserve"> Verwendung thiolierter Polymere zur Formulierung von </w:t>
      </w:r>
      <w:r>
        <w:t>Arzneistof</w:t>
      </w:r>
      <w:r w:rsidR="00CC2C8A">
        <w:t>fträgern</w:t>
      </w:r>
      <w:r>
        <w:t xml:space="preserve"> erzielt werden können, wurden in Kapitel </w:t>
      </w:r>
      <w:r w:rsidR="00D16240">
        <w:fldChar w:fldCharType="begin"/>
      </w:r>
      <w:r>
        <w:instrText xml:space="preserve"> REF _Ref272096573 \n \h </w:instrText>
      </w:r>
      <w:r w:rsidR="00D16240">
        <w:fldChar w:fldCharType="separate"/>
      </w:r>
      <w:r w:rsidR="00711AB8">
        <w:t>1.5.2</w:t>
      </w:r>
      <w:r w:rsidR="00D16240">
        <w:fldChar w:fldCharType="end"/>
      </w:r>
      <w:r>
        <w:t xml:space="preserve"> für Chitosan</w:t>
      </w:r>
      <w:r w:rsidR="005D2AB8">
        <w:t>derivate</w:t>
      </w:r>
      <w:r>
        <w:t xml:space="preserve"> detailliert beschrieben. </w:t>
      </w:r>
      <w:r w:rsidR="00DF212C">
        <w:t>Es is</w:t>
      </w:r>
      <w:r w:rsidR="00D16904">
        <w:t xml:space="preserve">t </w:t>
      </w:r>
      <w:r w:rsidR="00A70D5A">
        <w:t>allerdings</w:t>
      </w:r>
      <w:r w:rsidR="00CC2C8A">
        <w:t xml:space="preserve"> </w:t>
      </w:r>
      <w:r w:rsidR="00D16904">
        <w:t>allgemein bekannt, dass die etablierten</w:t>
      </w:r>
      <w:r w:rsidR="00DF212C">
        <w:t xml:space="preserve"> Herstellungsverfahren für nano- und mikroskalige Chitosan Partikel sehr schwer</w:t>
      </w:r>
      <w:r w:rsidR="00D16904">
        <w:t xml:space="preserve"> kontrollierbar</w:t>
      </w:r>
      <w:r w:rsidR="00DF212C">
        <w:t xml:space="preserve"> </w:t>
      </w:r>
      <w:r w:rsidR="00D16904">
        <w:t xml:space="preserve">und häufig kaum </w:t>
      </w:r>
      <w:r w:rsidR="00463CF1">
        <w:t>zu reproduzieren</w:t>
      </w:r>
      <w:r w:rsidR="00DF212C">
        <w:t xml:space="preserve"> sind. </w:t>
      </w:r>
      <w:r w:rsidR="00CC2C8A">
        <w:t xml:space="preserve">Dies liegt unter anderem an der stark divergierenden Qualität der Ausgangsmaterialen. </w:t>
      </w:r>
      <w:r w:rsidR="00DF212C">
        <w:t>Die Einstellung der Partikelg</w:t>
      </w:r>
      <w:r w:rsidR="00D16904">
        <w:t xml:space="preserve">röße innerhalb </w:t>
      </w:r>
      <w:r w:rsidR="00D16904">
        <w:lastRenderedPageBreak/>
        <w:t>enger Grenzen</w:t>
      </w:r>
      <w:r w:rsidR="00DF212C">
        <w:t xml:space="preserve"> bei gering</w:t>
      </w:r>
      <w:r w:rsidR="00CC2C8A">
        <w:t>er Verteilungsbreite ist mit Chitosan</w:t>
      </w:r>
      <w:r w:rsidR="00D16904">
        <w:t xml:space="preserve"> bei weitem nicht so gut möglich, wie es für PLGA der Fall ist.</w:t>
      </w:r>
      <w:r w:rsidR="0081091F">
        <w:t xml:space="preserve"> Im Cystein-</w:t>
      </w:r>
      <w:r w:rsidR="000F6F2F">
        <w:t>PEA</w:t>
      </w:r>
      <w:r w:rsidR="0081091F">
        <w:t>-</w:t>
      </w:r>
      <w:r w:rsidR="009541C6">
        <w:t>Typ</w:t>
      </w:r>
      <w:r w:rsidR="00DF212C">
        <w:t xml:space="preserve"> mi</w:t>
      </w:r>
      <w:r w:rsidR="00CC2C8A">
        <w:t>t</w:t>
      </w:r>
      <w:r w:rsidR="009541C6">
        <w:t xml:space="preserve"> Thiol</w:t>
      </w:r>
      <w:r w:rsidR="000F6F2F">
        <w:t>-S</w:t>
      </w:r>
      <w:r w:rsidR="009541C6">
        <w:t>eitengruppen sollten</w:t>
      </w:r>
      <w:r w:rsidR="00DF212C">
        <w:t xml:space="preserve"> die V</w:t>
      </w:r>
      <w:r w:rsidR="00D16904">
        <w:t>or</w:t>
      </w:r>
      <w:r w:rsidR="00463CF1">
        <w:t xml:space="preserve">teile der </w:t>
      </w:r>
      <w:r w:rsidR="000F6F2F">
        <w:t xml:space="preserve">guten </w:t>
      </w:r>
      <w:r w:rsidR="00463CF1">
        <w:t>Formulierbarkeit</w:t>
      </w:r>
      <w:r w:rsidR="00CC2C8A">
        <w:t xml:space="preserve"> und der Bioabbaubarkeit</w:t>
      </w:r>
      <w:r w:rsidR="00463CF1">
        <w:t xml:space="preserve"> Polyl</w:t>
      </w:r>
      <w:r w:rsidR="0081091F">
        <w:t>actid-</w:t>
      </w:r>
      <w:r w:rsidR="00D16904">
        <w:t>basierter Polymere</w:t>
      </w:r>
      <w:r w:rsidR="00DF212C">
        <w:t xml:space="preserve"> </w:t>
      </w:r>
      <w:r w:rsidR="00CC2C8A">
        <w:t>mit der Funktionalität</w:t>
      </w:r>
      <w:r w:rsidR="00D71962">
        <w:t xml:space="preserve"> t</w:t>
      </w:r>
      <w:r w:rsidR="00463CF1">
        <w:t>hiol</w:t>
      </w:r>
      <w:r w:rsidR="00D71962">
        <w:t>ierter</w:t>
      </w:r>
      <w:r w:rsidR="00D16904">
        <w:t xml:space="preserve"> Polymere </w:t>
      </w:r>
      <w:r w:rsidR="00463CF1">
        <w:t xml:space="preserve">und einer hohen Verkapselungseffizienz </w:t>
      </w:r>
      <w:r w:rsidR="00D16904">
        <w:t>vereint</w:t>
      </w:r>
      <w:r w:rsidR="009541C6">
        <w:t xml:space="preserve"> werden</w:t>
      </w:r>
      <w:r w:rsidR="00D16904">
        <w:t>.</w:t>
      </w:r>
    </w:p>
    <w:p w14:paraId="0523F086" w14:textId="77777777" w:rsidR="00D16904" w:rsidRPr="00AE54B2" w:rsidRDefault="00D16904" w:rsidP="00AE54B2">
      <w:r>
        <w:t>Ein weiteres Potential der Polyesteramide besteht darin, dass die eingefüh</w:t>
      </w:r>
      <w:r w:rsidR="00380C4B">
        <w:t>rten funktionellen Gruppen optimale Möglichkeiten zur kovalenten Anbindung weiterer Moleküle bieten. Weitergehende F</w:t>
      </w:r>
      <w:r w:rsidR="009541C6">
        <w:t>unktionalisierungen nahezu jeder</w:t>
      </w:r>
      <w:r w:rsidR="00380C4B">
        <w:t xml:space="preserve"> Art sind dadurch mit erheblich geringerem Aufwand möglich</w:t>
      </w:r>
      <w:r w:rsidR="00463CF1">
        <w:t xml:space="preserve"> als es bei den herkömmlichen eher</w:t>
      </w:r>
      <w:r w:rsidR="00380C4B">
        <w:t xml:space="preserve"> reaktionsträgen PLGA Polymeren der Fall ist.</w:t>
      </w:r>
      <w:r w:rsidR="005D2AB8">
        <w:t xml:space="preserve"> Der</w:t>
      </w:r>
      <w:r w:rsidR="00CC2C8A">
        <w:t xml:space="preserve"> Aspekt </w:t>
      </w:r>
      <w:r w:rsidR="005D2AB8">
        <w:t xml:space="preserve">weitergehender kovalenter Funktionalisierungen der Polymere </w:t>
      </w:r>
      <w:r w:rsidR="00CC2C8A">
        <w:t>war jedoch nicht Gegenstand der vorliegenden Arbeit.</w:t>
      </w:r>
    </w:p>
    <w:p w14:paraId="4ECEF322" w14:textId="77777777" w:rsidR="0030578C" w:rsidRDefault="00B90911" w:rsidP="00B90911">
      <w:pPr>
        <w:pStyle w:val="berschrift2"/>
      </w:pPr>
      <w:r>
        <w:tab/>
      </w:r>
      <w:bookmarkStart w:id="104" w:name="_Ref284184185"/>
      <w:bookmarkStart w:id="105" w:name="_Toc294380192"/>
      <w:r>
        <w:t>Modellwirkstoff</w:t>
      </w:r>
      <w:r w:rsidR="0030578C">
        <w:t xml:space="preserve"> Desmopressin</w:t>
      </w:r>
      <w:bookmarkEnd w:id="104"/>
      <w:bookmarkEnd w:id="105"/>
    </w:p>
    <w:p w14:paraId="745250DD" w14:textId="77777777" w:rsidR="003B05B8" w:rsidRDefault="000A7F36" w:rsidP="006F2953">
      <w:r>
        <w:t xml:space="preserve">Desmopressin ist ein synthetisch hergestelltes Peptidanalogon des körpereigenen Hypophysenhinterlappenhormons </w:t>
      </w:r>
      <w:r w:rsidR="001B340D">
        <w:t>Arginin-</w:t>
      </w:r>
      <w:r>
        <w:t>Vasopressin</w:t>
      </w:r>
      <w:r w:rsidR="001B340D">
        <w:t xml:space="preserve"> (AVP, </w:t>
      </w:r>
      <w:r>
        <w:t>auch An</w:t>
      </w:r>
      <w:r w:rsidR="001B340D">
        <w:t xml:space="preserve">tidiuretisches Hormon, </w:t>
      </w:r>
      <w:r>
        <w:t>ADH</w:t>
      </w:r>
      <w:r w:rsidR="001B340D">
        <w:t>,</w:t>
      </w:r>
      <w:r>
        <w:t xml:space="preserve"> genannt).</w:t>
      </w:r>
      <w:r w:rsidR="00397F6B">
        <w:t xml:space="preserve"> </w:t>
      </w:r>
      <w:r w:rsidR="00726FEB">
        <w:t>A</w:t>
      </w:r>
      <w:r w:rsidR="009A7BCF">
        <w:t xml:space="preserve">ls </w:t>
      </w:r>
      <w:r w:rsidR="00EF3F66">
        <w:t xml:space="preserve">Agonist an den AVP-Rezeptoren </w:t>
      </w:r>
      <w:r w:rsidR="009F31FF">
        <w:t xml:space="preserve">(V1 und V2 </w:t>
      </w:r>
      <w:r w:rsidR="00726FEB">
        <w:t>Rezeptor) wirkt AVP</w:t>
      </w:r>
      <w:r w:rsidR="00EF3F66">
        <w:t xml:space="preserve"> gefäßverengend (</w:t>
      </w:r>
      <w:r w:rsidR="00726FEB">
        <w:t xml:space="preserve">über </w:t>
      </w:r>
      <w:r w:rsidR="00EF3F66">
        <w:t>V1</w:t>
      </w:r>
      <w:r w:rsidR="00726FEB">
        <w:t xml:space="preserve"> Rezeptoren</w:t>
      </w:r>
      <w:r w:rsidR="00EF3F66">
        <w:t>) und antidiuretisch (</w:t>
      </w:r>
      <w:r w:rsidR="00726FEB">
        <w:t xml:space="preserve">über </w:t>
      </w:r>
      <w:r w:rsidR="00EF3F66">
        <w:t>V2</w:t>
      </w:r>
      <w:r w:rsidR="00726FEB">
        <w:t xml:space="preserve"> Rezeptoren</w:t>
      </w:r>
      <w:r w:rsidR="00EF3F66">
        <w:t xml:space="preserve">). </w:t>
      </w:r>
      <w:r w:rsidR="003031D6">
        <w:t xml:space="preserve">Zudem verstärkt es die Ausschüttung des Von-Willebrand-Faktors (V2). </w:t>
      </w:r>
      <w:r w:rsidR="00EF3F66">
        <w:t xml:space="preserve">Das </w:t>
      </w:r>
      <w:r w:rsidR="00250D23">
        <w:t>Peptida</w:t>
      </w:r>
      <w:r w:rsidR="00EF3F66">
        <w:t>nalogon Desmopressin</w:t>
      </w:r>
      <w:r w:rsidR="00397F6B">
        <w:t xml:space="preserve"> wurde</w:t>
      </w:r>
      <w:r w:rsidR="00B71311">
        <w:t xml:space="preserve"> mit dem Ziel entwickelt</w:t>
      </w:r>
      <w:r w:rsidR="00C1638A">
        <w:t>,</w:t>
      </w:r>
      <w:r w:rsidR="00B71311">
        <w:t xml:space="preserve"> die enzymatische Stabilität</w:t>
      </w:r>
      <w:r w:rsidR="00397F6B">
        <w:t xml:space="preserve"> von Vasopressin</w:t>
      </w:r>
      <w:r w:rsidR="001B340D">
        <w:t xml:space="preserve"> zu erhöhen und um den antidiuretischen vom gefäßverengenden Effekt zu trennen.</w:t>
      </w:r>
      <w:r w:rsidR="00397F6B">
        <w:t xml:space="preserve"> Dies gelang dem tschechischen Chemiker Vladimir Pliska während seiner Tätigkeit für Ferring in den 1960er Jahren dur</w:t>
      </w:r>
      <w:r w:rsidR="00C1638A">
        <w:t xml:space="preserve">ch </w:t>
      </w:r>
      <w:r w:rsidR="00EF3F66">
        <w:t>gezielte</w:t>
      </w:r>
      <w:r w:rsidR="009A7BCF">
        <w:t xml:space="preserve"> chemische</w:t>
      </w:r>
      <w:r w:rsidR="009813EA">
        <w:t xml:space="preserve"> Modi</w:t>
      </w:r>
      <w:r w:rsidR="009C423D">
        <w:t>fikation des Peptid</w:t>
      </w:r>
      <w:r w:rsidR="009813EA">
        <w:t>s</w:t>
      </w:r>
      <w:r w:rsidR="001D29D2">
        <w:rPr>
          <w:rStyle w:val="Endnotenzeichen"/>
        </w:rPr>
        <w:endnoteReference w:id="107"/>
      </w:r>
      <w:r w:rsidR="00397F6B">
        <w:t>. Das</w:t>
      </w:r>
      <w:r w:rsidR="009F31FF">
        <w:t xml:space="preserve"> von ihm entwickelte</w:t>
      </w:r>
      <w:r w:rsidR="00250D23">
        <w:t xml:space="preserve"> </w:t>
      </w:r>
      <w:r w:rsidR="009A7BCF">
        <w:t>Desmopressin</w:t>
      </w:r>
      <w:r w:rsidR="00D0311B">
        <w:t xml:space="preserve"> (1-desamino-8-D-Arginin-Vasopressin, DDAVP) weist im Vergleich zu AVP</w:t>
      </w:r>
      <w:r w:rsidR="00397F6B">
        <w:t xml:space="preserve"> ein</w:t>
      </w:r>
      <w:r w:rsidR="001B340D">
        <w:t>e erhöhte Proteasestabilität und zudem</w:t>
      </w:r>
      <w:r w:rsidR="00397F6B">
        <w:t xml:space="preserve"> eine stär</w:t>
      </w:r>
      <w:r w:rsidR="00EF3F66">
        <w:t>kere Affinität am V2 Rezeptor</w:t>
      </w:r>
      <w:r w:rsidR="001D29D2">
        <w:t xml:space="preserve"> und eine reduzierte Affinität am V1 Rezeptor</w:t>
      </w:r>
      <w:r w:rsidR="00EF3F66">
        <w:t xml:space="preserve"> auf</w:t>
      </w:r>
      <w:r w:rsidR="009813EA">
        <w:t>. D</w:t>
      </w:r>
      <w:r w:rsidR="00397F6B">
        <w:t>er</w:t>
      </w:r>
      <w:r w:rsidR="009813EA">
        <w:t xml:space="preserve"> V2 Rezeptor ist</w:t>
      </w:r>
      <w:r w:rsidR="00397F6B">
        <w:t xml:space="preserve"> hauptsächlich für die Wasserretention in den Samme</w:t>
      </w:r>
      <w:r w:rsidR="001D29D2">
        <w:t>lro</w:t>
      </w:r>
      <w:r w:rsidR="009A7BCF">
        <w:t>hren der</w:t>
      </w:r>
      <w:r w:rsidR="009813EA">
        <w:t xml:space="preserve"> Nieren</w:t>
      </w:r>
      <w:r w:rsidR="009F31FF">
        <w:t xml:space="preserve"> zuständig.</w:t>
      </w:r>
      <w:r w:rsidR="009A7BCF">
        <w:t xml:space="preserve"> </w:t>
      </w:r>
      <w:r w:rsidR="009F31FF">
        <w:t>Aus diesem Grund hat Desmopressin nahezu keine Wirkung auf die glatte Muskulatur der Gefäße und damit auf den Blutdruck, verstärkt jedoch die Rückresorption von Wasser in den Nieren und damit die Harnkonzentrierung umso eff</w:t>
      </w:r>
      <w:r w:rsidR="00F05CA0">
        <w:t>ektiv</w:t>
      </w:r>
      <w:r w:rsidR="009C423D">
        <w:t>er. Aufgrund seiner relativ guten</w:t>
      </w:r>
      <w:r w:rsidR="009F31FF">
        <w:t xml:space="preserve"> Resistenz gegen Proteasen</w:t>
      </w:r>
      <w:r w:rsidR="009C423D">
        <w:t xml:space="preserve"> zeigte Desmopressin in einer Studie von Fjellstad-Paulsen et al. eine deutlich bessere Stabilität in intestinalen Flüssigkeiten als Vasopressin</w:t>
      </w:r>
      <w:r w:rsidR="009F31FF">
        <w:rPr>
          <w:rStyle w:val="Endnotenzeichen"/>
        </w:rPr>
        <w:endnoteReference w:id="108"/>
      </w:r>
      <w:r w:rsidR="009F31FF">
        <w:t>.</w:t>
      </w:r>
      <w:r w:rsidR="009C423D">
        <w:t xml:space="preserve"> </w:t>
      </w:r>
      <w:r w:rsidR="00D0311B">
        <w:t>In der gleichen Studie erwiesen sich beide Substanzen gegenüber</w:t>
      </w:r>
      <w:r w:rsidR="009C423D">
        <w:t xml:space="preserve"> Bürstensaumenzymen</w:t>
      </w:r>
      <w:r w:rsidR="00D0311B">
        <w:t xml:space="preserve"> als</w:t>
      </w:r>
      <w:r w:rsidR="009C423D">
        <w:t xml:space="preserve"> </w:t>
      </w:r>
      <w:r w:rsidR="00D0311B">
        <w:t>weitgehend</w:t>
      </w:r>
      <w:r w:rsidR="00250D23">
        <w:t xml:space="preserve"> unempfindlich. Aus diesen Grü</w:t>
      </w:r>
      <w:r w:rsidR="009C423D">
        <w:t>nd</w:t>
      </w:r>
      <w:r w:rsidR="00250D23">
        <w:t>en</w:t>
      </w:r>
      <w:r w:rsidR="009C423D">
        <w:t xml:space="preserve"> ist eine orale Ga</w:t>
      </w:r>
      <w:r w:rsidR="00FA3E9E">
        <w:t xml:space="preserve">be von Desmopressin möglich. </w:t>
      </w:r>
    </w:p>
    <w:p w14:paraId="14F5359C" w14:textId="77777777" w:rsidR="000A7F36" w:rsidRPr="003031D6" w:rsidRDefault="00FA3E9E" w:rsidP="006F2953">
      <w:r>
        <w:t xml:space="preserve">Die orale </w:t>
      </w:r>
      <w:r w:rsidR="00D60E2D">
        <w:t>Bioverfügbarkeit ist mit</w:t>
      </w:r>
      <w:r w:rsidR="00D664CF">
        <w:t xml:space="preserve"> 0,08% bis</w:t>
      </w:r>
      <w:r w:rsidR="00D60E2D">
        <w:t xml:space="preserve"> 0,16% nach peroraler Einnahme von </w:t>
      </w:r>
      <w:r>
        <w:t>Minirin</w:t>
      </w:r>
      <w:r w:rsidR="00902C2E">
        <w:rPr>
          <w:rFonts w:eastAsia="Times New Roman" w:cs="Times New Roman"/>
          <w:sz w:val="18"/>
          <w:szCs w:val="18"/>
          <w:vertAlign w:val="superscript"/>
          <w:lang w:eastAsia="de-DE"/>
        </w:rPr>
        <w:t>®</w:t>
      </w:r>
      <w:r>
        <w:t xml:space="preserve"> Tab</w:t>
      </w:r>
      <w:r w:rsidR="00D60E2D">
        <w:t>letten</w:t>
      </w:r>
      <w:r w:rsidR="0087581A">
        <w:t xml:space="preserve"> </w:t>
      </w:r>
      <w:r w:rsidR="00BB3F8F">
        <w:t xml:space="preserve">zwar noch immer </w:t>
      </w:r>
      <w:r w:rsidR="0087581A">
        <w:t>sehr niedrig</w:t>
      </w:r>
      <w:r w:rsidR="00BB3F8F">
        <w:t>, bei Gabe entsprechend hoher Dosen jedoch ausreichend für einen therapeutischen Erfolg</w:t>
      </w:r>
      <w:r w:rsidR="00D16240">
        <w:fldChar w:fldCharType="begin"/>
      </w:r>
      <w:r w:rsidR="00902C2E">
        <w:instrText xml:space="preserve"> NOTEREF _Ref286268447 \f \h </w:instrText>
      </w:r>
      <w:r w:rsidR="00D16240">
        <w:fldChar w:fldCharType="separate"/>
      </w:r>
      <w:r w:rsidR="00711AB8" w:rsidRPr="00711AB8">
        <w:rPr>
          <w:rStyle w:val="Endnotenzeichen"/>
        </w:rPr>
        <w:t>10</w:t>
      </w:r>
      <w:r w:rsidR="00D16240">
        <w:fldChar w:fldCharType="end"/>
      </w:r>
      <w:r>
        <w:t xml:space="preserve">. </w:t>
      </w:r>
      <w:r w:rsidR="00C93812">
        <w:t xml:space="preserve">Die von Vilhardt et al. in 1986 </w:t>
      </w:r>
      <w:r w:rsidR="00C93812">
        <w:lastRenderedPageBreak/>
        <w:t>veröffentlichten Ergebnisse einer klinischen Bioverfügbarkeitsstudie von Desmopressin lagen etwas höher. Nach peroraler Gabe von 100</w:t>
      </w:r>
      <w:r w:rsidR="00902C2E">
        <w:t> µg</w:t>
      </w:r>
      <w:r w:rsidR="00C93812">
        <w:t xml:space="preserve"> oder 200 µg waren es zwischen 0,7 und 1,0%</w:t>
      </w:r>
      <w:bookmarkStart w:id="106" w:name="_Ref284436375"/>
      <w:r w:rsidR="00C93812">
        <w:rPr>
          <w:rStyle w:val="Endnotenzeichen"/>
        </w:rPr>
        <w:endnoteReference w:id="109"/>
      </w:r>
      <w:bookmarkEnd w:id="106"/>
      <w:r w:rsidR="00C93812">
        <w:t>.</w:t>
      </w:r>
      <w:r w:rsidR="00A62616">
        <w:t xml:space="preserve"> </w:t>
      </w:r>
      <w:r>
        <w:t>Für die sublinguale Gabe (Minirin</w:t>
      </w:r>
      <w:r w:rsidR="00902C2E" w:rsidRPr="00902C2E">
        <w:rPr>
          <w:vertAlign w:val="superscript"/>
        </w:rPr>
        <w:t>®</w:t>
      </w:r>
      <w:r>
        <w:t xml:space="preserve"> Lyophilis</w:t>
      </w:r>
      <w:r w:rsidR="003031D6">
        <w:t>at</w:t>
      </w:r>
      <w:r w:rsidR="00E802F0">
        <w:t xml:space="preserve"> Schmelztabletten</w:t>
      </w:r>
      <w:r w:rsidR="003031D6">
        <w:t>) wird die Bioverfügbarkeit mit</w:t>
      </w:r>
      <w:r>
        <w:t xml:space="preserve"> 0,28% und für die nasale Darreichungsform </w:t>
      </w:r>
      <w:r w:rsidR="003031D6">
        <w:t>(Minirin</w:t>
      </w:r>
      <w:r w:rsidR="00902C2E" w:rsidRPr="00902C2E">
        <w:rPr>
          <w:vertAlign w:val="superscript"/>
        </w:rPr>
        <w:t>®</w:t>
      </w:r>
      <w:r w:rsidR="003031D6">
        <w:t xml:space="preserve"> Nasenspray) mit 3-5% b</w:t>
      </w:r>
      <w:r w:rsidR="00902C2E">
        <w:t>eziffert (laut Angaben des Herstellers</w:t>
      </w:r>
      <w:r w:rsidR="006C77DD">
        <w:t xml:space="preserve"> Ferring</w:t>
      </w:r>
      <w:r w:rsidR="00902C2E">
        <w:t xml:space="preserve"> GmbH</w:t>
      </w:r>
      <w:r w:rsidR="003031D6">
        <w:t>).</w:t>
      </w:r>
      <w:r w:rsidR="00A92304">
        <w:t xml:space="preserve"> Auch wenn durch die</w:t>
      </w:r>
      <w:r w:rsidR="0081091F">
        <w:t xml:space="preserve"> Gabe entsprechend hoher Dosen wirksame Blutspiegel</w:t>
      </w:r>
      <w:r w:rsidR="00A92304">
        <w:t xml:space="preserve"> nach peroraler Gabe</w:t>
      </w:r>
      <w:r w:rsidR="0081091F">
        <w:t xml:space="preserve"> von Desmopressin erzielt werden können, lohnt si</w:t>
      </w:r>
      <w:r w:rsidR="00A92304">
        <w:t xml:space="preserve">ch eine Verbesserung der </w:t>
      </w:r>
      <w:r w:rsidR="0081091F">
        <w:t>Bioverfü</w:t>
      </w:r>
      <w:r w:rsidR="00A92304">
        <w:t>gbarkeit dieser Substanz</w:t>
      </w:r>
      <w:r w:rsidR="0081091F">
        <w:t xml:space="preserve"> aus ökonomischen Gesichtspunkten</w:t>
      </w:r>
      <w:r w:rsidR="00A92304">
        <w:t xml:space="preserve"> dennoch</w:t>
      </w:r>
      <w:r w:rsidR="0081091F">
        <w:t>.</w:t>
      </w:r>
      <w:r w:rsidR="00A92304">
        <w:t xml:space="preserve"> Durch einen </w:t>
      </w:r>
      <w:r w:rsidR="0081091F">
        <w:t>sparsameren Einsat</w:t>
      </w:r>
      <w:r w:rsidR="00A92304">
        <w:t>z des teuren Wirkstoffs könnten</w:t>
      </w:r>
      <w:r w:rsidR="0081091F">
        <w:t xml:space="preserve"> erhebliche Kosten</w:t>
      </w:r>
      <w:r w:rsidR="00A92304">
        <w:t>einsparungen</w:t>
      </w:r>
      <w:r w:rsidR="0081091F">
        <w:t xml:space="preserve"> für den Patienten und das Gesundheit</w:t>
      </w:r>
      <w:r w:rsidR="00A92304">
        <w:t>ssystem erzielt werden</w:t>
      </w:r>
      <w:r w:rsidR="0081091F">
        <w:t>.</w:t>
      </w:r>
    </w:p>
    <w:p w14:paraId="1E1656F3" w14:textId="77777777" w:rsidR="003031D6" w:rsidRDefault="003031D6" w:rsidP="006F2953">
      <w:r>
        <w:t>Aufgrund seine</w:t>
      </w:r>
      <w:r w:rsidR="00491ACD">
        <w:t>r pharmakologischen Wirkung</w:t>
      </w:r>
      <w:r w:rsidR="002006C5">
        <w:t>en</w:t>
      </w:r>
      <w:r>
        <w:t xml:space="preserve"> wird Desmopressin</w:t>
      </w:r>
      <w:r w:rsidR="00E802F0">
        <w:t xml:space="preserve"> vorrangig</w:t>
      </w:r>
      <w:r>
        <w:t xml:space="preserve"> in der T</w:t>
      </w:r>
      <w:r w:rsidR="00E802F0">
        <w:t>herapie von Diabetes insipidus eingesetzt. Weiterhin ist es zur Behandlung der traumatisch bedingten Polyurie, des nächtlichen Bettnässens (</w:t>
      </w:r>
      <w:r w:rsidR="00E802F0" w:rsidRPr="0087581A">
        <w:rPr>
          <w:i/>
        </w:rPr>
        <w:t>Enuresis nocturna</w:t>
      </w:r>
      <w:r w:rsidR="00E802F0">
        <w:t>) und zur Blutstillung bei Hämophilie-Patienten zugelassen.</w:t>
      </w:r>
    </w:p>
    <w:p w14:paraId="5A12615F" w14:textId="77777777" w:rsidR="00E802F0" w:rsidRDefault="00D16240" w:rsidP="006F2953">
      <w:r>
        <w:fldChar w:fldCharType="begin"/>
      </w:r>
      <w:r w:rsidR="00A3206C">
        <w:instrText xml:space="preserve"> REF _Ref277806553 \h </w:instrText>
      </w:r>
      <w:r>
        <w:fldChar w:fldCharType="separate"/>
      </w:r>
      <w:r w:rsidR="00711AB8" w:rsidRPr="00A3206C">
        <w:rPr>
          <w:color w:val="000000" w:themeColor="text1"/>
        </w:rPr>
        <w:t xml:space="preserve">Abbildung </w:t>
      </w:r>
      <w:r w:rsidR="00711AB8">
        <w:rPr>
          <w:noProof/>
          <w:color w:val="000000" w:themeColor="text1"/>
        </w:rPr>
        <w:t>9</w:t>
      </w:r>
      <w:r>
        <w:fldChar w:fldCharType="end"/>
      </w:r>
      <w:r w:rsidR="00D0311B">
        <w:t xml:space="preserve"> zeigt den Aufbau von Vasopressin</w:t>
      </w:r>
      <w:r w:rsidR="00A3206C">
        <w:t xml:space="preserve"> und Desmopressin im</w:t>
      </w:r>
      <w:r w:rsidR="00491ACD">
        <w:t xml:space="preserve"> direkten</w:t>
      </w:r>
      <w:r w:rsidR="00A3206C">
        <w:t xml:space="preserve"> Vergleich. Das modifizierte Peptidanalogon besteht wie sein</w:t>
      </w:r>
      <w:r w:rsidR="00491ACD">
        <w:t xml:space="preserve"> natürliches</w:t>
      </w:r>
      <w:r w:rsidR="00A3206C">
        <w:t xml:space="preserve"> Vorbild aus 9 Aminosäuren (Nonapeptid), wobei das n-terminale Cystein deaminiert und das L-Arginin an Position 8 gegen D-Arginin ausgetauscht wurde.</w:t>
      </w:r>
    </w:p>
    <w:p w14:paraId="0E2E6317" w14:textId="77777777" w:rsidR="00A3206C" w:rsidRDefault="00A3206C" w:rsidP="006F2953"/>
    <w:p w14:paraId="249C1A36" w14:textId="77777777" w:rsidR="00A3206C" w:rsidRDefault="00A3206C" w:rsidP="00A3206C">
      <w:pPr>
        <w:jc w:val="center"/>
      </w:pPr>
      <w:r>
        <w:rPr>
          <w:rFonts w:eastAsia="Times New Roman" w:cs="Times New Roman"/>
          <w:noProof/>
          <w:lang w:eastAsia="de-DE"/>
        </w:rPr>
        <w:drawing>
          <wp:inline distT="0" distB="0" distL="0" distR="0" wp14:anchorId="4B81AC43" wp14:editId="48BA74EF">
            <wp:extent cx="3140114" cy="1750614"/>
            <wp:effectExtent l="0" t="0" r="0" b="2540"/>
            <wp:docPr id="29" name="Bild 7" descr="rimärstruktur von Vasopressin und Desmopres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märstruktur von Vasopressin und Desmopressi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40575" cy="1750871"/>
                    </a:xfrm>
                    <a:prstGeom prst="rect">
                      <a:avLst/>
                    </a:prstGeom>
                    <a:noFill/>
                    <a:ln>
                      <a:noFill/>
                    </a:ln>
                  </pic:spPr>
                </pic:pic>
              </a:graphicData>
            </a:graphic>
          </wp:inline>
        </w:drawing>
      </w:r>
    </w:p>
    <w:p w14:paraId="13A64D95" w14:textId="77777777" w:rsidR="00A3206C" w:rsidRDefault="00A3206C" w:rsidP="00902C2E">
      <w:pPr>
        <w:pStyle w:val="Beschriftung"/>
        <w:spacing w:after="0"/>
        <w:ind w:firstLine="0"/>
        <w:rPr>
          <w:b w:val="0"/>
          <w:color w:val="000000" w:themeColor="text1"/>
        </w:rPr>
      </w:pPr>
      <w:bookmarkStart w:id="107" w:name="_Ref277806553"/>
      <w:r w:rsidRPr="00A3206C">
        <w:rPr>
          <w:color w:val="000000" w:themeColor="text1"/>
        </w:rPr>
        <w:t xml:space="preserve">Abbildung </w:t>
      </w:r>
      <w:r w:rsidR="00D16240" w:rsidRPr="00A3206C">
        <w:rPr>
          <w:color w:val="000000" w:themeColor="text1"/>
        </w:rPr>
        <w:fldChar w:fldCharType="begin"/>
      </w:r>
      <w:r w:rsidRPr="00A3206C">
        <w:rPr>
          <w:color w:val="000000" w:themeColor="text1"/>
        </w:rPr>
        <w:instrText xml:space="preserve"> SEQ Abbildung \* ARABIC </w:instrText>
      </w:r>
      <w:r w:rsidR="00D16240" w:rsidRPr="00A3206C">
        <w:rPr>
          <w:color w:val="000000" w:themeColor="text1"/>
        </w:rPr>
        <w:fldChar w:fldCharType="separate"/>
      </w:r>
      <w:r w:rsidR="00711AB8">
        <w:rPr>
          <w:noProof/>
          <w:color w:val="000000" w:themeColor="text1"/>
        </w:rPr>
        <w:t>9</w:t>
      </w:r>
      <w:r w:rsidR="00D16240" w:rsidRPr="00A3206C">
        <w:rPr>
          <w:color w:val="000000" w:themeColor="text1"/>
        </w:rPr>
        <w:fldChar w:fldCharType="end"/>
      </w:r>
      <w:bookmarkEnd w:id="107"/>
      <w:r>
        <w:rPr>
          <w:color w:val="000000" w:themeColor="text1"/>
        </w:rPr>
        <w:t xml:space="preserve"> </w:t>
      </w:r>
      <w:r w:rsidR="0087581A">
        <w:rPr>
          <w:b w:val="0"/>
          <w:color w:val="000000" w:themeColor="text1"/>
        </w:rPr>
        <w:t>Primärstruktur</w:t>
      </w:r>
      <w:r>
        <w:rPr>
          <w:b w:val="0"/>
          <w:color w:val="000000" w:themeColor="text1"/>
        </w:rPr>
        <w:t xml:space="preserve"> von Vasopressin (AVP) und Desmopressin (DDAVP) mit intramolekularer Disulfidbrücke</w:t>
      </w:r>
      <w:r w:rsidR="00EF13B3">
        <w:rPr>
          <w:b w:val="0"/>
          <w:color w:val="000000" w:themeColor="text1"/>
        </w:rPr>
        <w:t>.</w:t>
      </w:r>
    </w:p>
    <w:p w14:paraId="6DFAF6F0" w14:textId="77777777" w:rsidR="006A241B" w:rsidRPr="006A241B" w:rsidRDefault="006A241B" w:rsidP="006A241B"/>
    <w:p w14:paraId="4FE03CAA" w14:textId="77777777" w:rsidR="006F2953" w:rsidRDefault="006310F2" w:rsidP="006F2953">
      <w:r>
        <w:t>Einige Strukturelemente von Desmopressin sind bezüglich der Stabilität im Gastrointestinaltrakt als kritisch zu bewerten.</w:t>
      </w:r>
      <w:r w:rsidR="001C5DC4">
        <w:t xml:space="preserve"> </w:t>
      </w:r>
      <w:r>
        <w:t xml:space="preserve">Das Peptid </w:t>
      </w:r>
      <w:r w:rsidR="001C5DC4">
        <w:t xml:space="preserve">besitzt insgesamt drei Aminosäurereste mit Amidgruppen (Glutamin, Asparagin und </w:t>
      </w:r>
      <w:r>
        <w:t>amidiertes C-terminales Glycin)</w:t>
      </w:r>
      <w:r w:rsidR="000940C7">
        <w:t xml:space="preserve">, die vor allem im sauren Milieu des Magens zur </w:t>
      </w:r>
      <w:r w:rsidR="0095397D">
        <w:t xml:space="preserve">jeweiligen </w:t>
      </w:r>
      <w:r w:rsidR="000940C7">
        <w:t xml:space="preserve">Carbonsäure </w:t>
      </w:r>
      <w:r w:rsidR="00A65EF2">
        <w:t>hydrolysiert werden können, da die Deamidierung von Seitenketten durch Säure katalysiert wird.</w:t>
      </w:r>
      <w:r w:rsidR="00082B03">
        <w:t xml:space="preserve"> Die Spaltung der intramolekularen Disulfidbrücke wird ebenfalls durch Säure katalysiert und weist daher voraussichtlich eine begrenzte Stabilität im Magen auf</w:t>
      </w:r>
      <w:r w:rsidR="00A65EF2">
        <w:rPr>
          <w:rStyle w:val="Endnotenzeichen"/>
        </w:rPr>
        <w:endnoteReference w:id="110"/>
      </w:r>
      <w:r w:rsidR="00082B03">
        <w:t>.</w:t>
      </w:r>
    </w:p>
    <w:p w14:paraId="688419C0" w14:textId="77777777" w:rsidR="000B7ED8" w:rsidRDefault="00001E43" w:rsidP="006F2953">
      <w:r>
        <w:lastRenderedPageBreak/>
        <w:t>Der Austausch von L-A</w:t>
      </w:r>
      <w:r w:rsidR="000B7ED8">
        <w:t>rginin gegen D-Arginin</w:t>
      </w:r>
      <w:r w:rsidR="0051791E">
        <w:t xml:space="preserve"> stabilisiert </w:t>
      </w:r>
      <w:r w:rsidR="001025F6">
        <w:t>das Peptid gegenüber Trypsin</w:t>
      </w:r>
      <w:r w:rsidR="006B67ED">
        <w:t>. Die Aminosäur</w:t>
      </w:r>
      <w:r w:rsidR="000B7ED8">
        <w:t>en Phenylalanin und Tyrosin wurden nicht modifiziert und sind daher nach wie vor</w:t>
      </w:r>
      <w:r w:rsidR="006B67ED">
        <w:t xml:space="preserve"> für einen Angriff durch Chymotrypsin anfällig. </w:t>
      </w:r>
    </w:p>
    <w:p w14:paraId="2EDCCC58" w14:textId="77777777" w:rsidR="001D05EB" w:rsidRDefault="006B67ED" w:rsidP="006F2953">
      <w:r>
        <w:t>Da keine Asparaginsäure enthalten ist, die gegenüber einer säurekatalysierten Peptidspaltung besonders empfindlich wäre, ist nicht zu erwarten, dass es zu einer Spaltung des Peptides durch die Magensäure kommt.</w:t>
      </w:r>
    </w:p>
    <w:p w14:paraId="67980D87" w14:textId="77777777" w:rsidR="00745139" w:rsidRPr="006F2953" w:rsidRDefault="007C03AB" w:rsidP="008606A2">
      <w:r>
        <w:t xml:space="preserve">Aufgrund des enthaltenen Arginins reagiert </w:t>
      </w:r>
      <w:r w:rsidR="0053243D">
        <w:t>Desmopressin basisch. Kommerziell vertrieben wird das Peptidhormon als Desmopressinacetat, das gut wasserlösliche Salz der Essigsäure. In der vorliegenden Arbeit wurde ausschließlich Desmopressinacetat verwendet, auch wenn teilweise nur von Desmopressin die Rede ist.</w:t>
      </w:r>
    </w:p>
    <w:p w14:paraId="4F4BF1C6" w14:textId="77777777" w:rsidR="00A0559B" w:rsidRDefault="00B90911" w:rsidP="00B63A27">
      <w:pPr>
        <w:pStyle w:val="berschrift2"/>
      </w:pPr>
      <w:r>
        <w:tab/>
      </w:r>
      <w:bookmarkStart w:id="108" w:name="_Toc294380193"/>
      <w:r w:rsidR="00991323">
        <w:t xml:space="preserve">Sonstige </w:t>
      </w:r>
      <w:r>
        <w:t>Hilfsstoffe</w:t>
      </w:r>
      <w:bookmarkEnd w:id="108"/>
    </w:p>
    <w:p w14:paraId="2F870AD4" w14:textId="77777777" w:rsidR="00A0559B" w:rsidRPr="00A0559B" w:rsidRDefault="00A0559B" w:rsidP="00A0559B">
      <w:r>
        <w:t>Alle weiteren Hilfsstoffe, die zur Hers</w:t>
      </w:r>
      <w:r w:rsidR="001D05EB">
        <w:t>tellung der Formul</w:t>
      </w:r>
      <w:r w:rsidR="00AD6887">
        <w:t>i</w:t>
      </w:r>
      <w:r w:rsidR="001D05EB">
        <w:t>erungen</w:t>
      </w:r>
      <w:r>
        <w:t xml:space="preserve"> verwendet wurden, sind in </w:t>
      </w:r>
      <w:r w:rsidR="00D16240">
        <w:fldChar w:fldCharType="begin"/>
      </w:r>
      <w:r>
        <w:instrText xml:space="preserve"> REF _Ref278903881 \h </w:instrText>
      </w:r>
      <w:r w:rsidR="00D16240">
        <w:fldChar w:fldCharType="separate"/>
      </w:r>
      <w:r w:rsidR="00711AB8" w:rsidRPr="00B63A27">
        <w:t xml:space="preserve">Tabelle </w:t>
      </w:r>
      <w:r w:rsidR="00711AB8">
        <w:rPr>
          <w:noProof/>
        </w:rPr>
        <w:t>7</w:t>
      </w:r>
      <w:r w:rsidR="00D16240">
        <w:fldChar w:fldCharType="end"/>
      </w:r>
      <w:r>
        <w:t xml:space="preserve"> aufgelistet.</w:t>
      </w:r>
    </w:p>
    <w:p w14:paraId="6AB72EF2" w14:textId="77777777" w:rsidR="00B63A27" w:rsidRPr="00B63A27" w:rsidRDefault="00B63A27" w:rsidP="001856C4">
      <w:pPr>
        <w:pStyle w:val="Beschriftung"/>
        <w:ind w:firstLine="0"/>
        <w:rPr>
          <w:b w:val="0"/>
        </w:rPr>
      </w:pPr>
      <w:bookmarkStart w:id="109" w:name="_Ref278903881"/>
      <w:r w:rsidRPr="00B63A27">
        <w:t xml:space="preserve">Tabelle </w:t>
      </w:r>
      <w:fldSimple w:instr=" SEQ Tabelle \* ARABIC ">
        <w:r w:rsidR="00711AB8">
          <w:rPr>
            <w:noProof/>
          </w:rPr>
          <w:t>7</w:t>
        </w:r>
      </w:fldSimple>
      <w:bookmarkEnd w:id="109"/>
      <w:r>
        <w:t xml:space="preserve"> </w:t>
      </w:r>
      <w:r w:rsidR="001025F6">
        <w:rPr>
          <w:b w:val="0"/>
        </w:rPr>
        <w:t>Auflistung verwendeter</w:t>
      </w:r>
      <w:r>
        <w:rPr>
          <w:b w:val="0"/>
        </w:rPr>
        <w:t xml:space="preserve"> Hilfsstoffe und Lösungsmittel</w:t>
      </w:r>
      <w:r w:rsidR="00EF13B3">
        <w:rPr>
          <w:b w:val="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115" w:type="dxa"/>
          <w:bottom w:w="14" w:type="dxa"/>
          <w:right w:w="115" w:type="dxa"/>
        </w:tblCellMar>
        <w:tblLook w:val="01E0" w:firstRow="1" w:lastRow="1" w:firstColumn="1" w:lastColumn="1" w:noHBand="0" w:noVBand="0"/>
      </w:tblPr>
      <w:tblGrid>
        <w:gridCol w:w="3175"/>
        <w:gridCol w:w="2729"/>
        <w:gridCol w:w="2952"/>
      </w:tblGrid>
      <w:tr w:rsidR="00A65EF2" w:rsidRPr="008215A9" w14:paraId="5BBF4D4D" w14:textId="77777777" w:rsidTr="00D13063">
        <w:trPr>
          <w:trHeight w:val="340"/>
        </w:trPr>
        <w:tc>
          <w:tcPr>
            <w:tcW w:w="3175" w:type="dxa"/>
            <w:tcBorders>
              <w:top w:val="single" w:sz="8" w:space="0" w:color="auto"/>
              <w:left w:val="single" w:sz="8" w:space="0" w:color="auto"/>
              <w:bottom w:val="single" w:sz="8" w:space="0" w:color="auto"/>
              <w:right w:val="single" w:sz="8" w:space="0" w:color="auto"/>
            </w:tcBorders>
            <w:shd w:val="clear" w:color="auto" w:fill="E6E6E6"/>
            <w:vAlign w:val="center"/>
          </w:tcPr>
          <w:p w14:paraId="1090E224" w14:textId="77777777" w:rsidR="00A65EF2" w:rsidRPr="008215A9" w:rsidRDefault="00A65EF2" w:rsidP="00D13063">
            <w:pPr>
              <w:spacing w:after="0" w:line="240" w:lineRule="auto"/>
              <w:jc w:val="center"/>
              <w:rPr>
                <w:rFonts w:eastAsia="Times New Roman" w:cs="Times New Roman"/>
                <w:b/>
                <w:sz w:val="20"/>
                <w:szCs w:val="20"/>
                <w:shd w:val="clear" w:color="auto" w:fill="E6E6E6"/>
              </w:rPr>
            </w:pPr>
            <w:r w:rsidRPr="008215A9">
              <w:rPr>
                <w:rFonts w:eastAsia="Times New Roman" w:cs="Times New Roman"/>
                <w:b/>
                <w:sz w:val="20"/>
                <w:szCs w:val="20"/>
                <w:shd w:val="clear" w:color="auto" w:fill="E6E6E6"/>
              </w:rPr>
              <w:t>Chemikalie</w:t>
            </w:r>
          </w:p>
        </w:tc>
        <w:tc>
          <w:tcPr>
            <w:tcW w:w="2729" w:type="dxa"/>
            <w:tcBorders>
              <w:top w:val="single" w:sz="8" w:space="0" w:color="auto"/>
              <w:left w:val="single" w:sz="8" w:space="0" w:color="auto"/>
              <w:bottom w:val="single" w:sz="8" w:space="0" w:color="auto"/>
              <w:right w:val="single" w:sz="8" w:space="0" w:color="auto"/>
            </w:tcBorders>
            <w:shd w:val="clear" w:color="auto" w:fill="E6E6E6"/>
            <w:vAlign w:val="center"/>
          </w:tcPr>
          <w:p w14:paraId="21404BF5" w14:textId="77777777" w:rsidR="00A65EF2" w:rsidRPr="008215A9" w:rsidRDefault="00EC5366" w:rsidP="00D13063">
            <w:pPr>
              <w:spacing w:after="0" w:line="240" w:lineRule="auto"/>
              <w:jc w:val="center"/>
              <w:rPr>
                <w:rFonts w:eastAsia="Times New Roman" w:cs="Times New Roman"/>
                <w:b/>
                <w:sz w:val="20"/>
                <w:szCs w:val="20"/>
                <w:shd w:val="clear" w:color="auto" w:fill="E6E6E6"/>
              </w:rPr>
            </w:pPr>
            <w:r>
              <w:rPr>
                <w:rFonts w:eastAsia="Times New Roman" w:cs="Times New Roman"/>
                <w:b/>
                <w:sz w:val="20"/>
                <w:szCs w:val="20"/>
                <w:shd w:val="clear" w:color="auto" w:fill="E6E6E6"/>
              </w:rPr>
              <w:t>Charge</w:t>
            </w:r>
          </w:p>
        </w:tc>
        <w:tc>
          <w:tcPr>
            <w:tcW w:w="2952" w:type="dxa"/>
            <w:tcBorders>
              <w:top w:val="single" w:sz="8" w:space="0" w:color="auto"/>
              <w:left w:val="single" w:sz="8" w:space="0" w:color="auto"/>
              <w:bottom w:val="single" w:sz="8" w:space="0" w:color="auto"/>
              <w:right w:val="single" w:sz="8" w:space="0" w:color="auto"/>
            </w:tcBorders>
            <w:shd w:val="clear" w:color="auto" w:fill="E6E6E6"/>
            <w:vAlign w:val="center"/>
          </w:tcPr>
          <w:p w14:paraId="3AAEB76B" w14:textId="77777777" w:rsidR="00A65EF2" w:rsidRPr="008215A9" w:rsidRDefault="00A65EF2" w:rsidP="00D13063">
            <w:pPr>
              <w:spacing w:after="0" w:line="240" w:lineRule="auto"/>
              <w:jc w:val="center"/>
              <w:rPr>
                <w:rFonts w:eastAsia="Times New Roman" w:cs="Times New Roman"/>
                <w:b/>
                <w:sz w:val="20"/>
                <w:szCs w:val="20"/>
                <w:shd w:val="clear" w:color="auto" w:fill="E6E6E6"/>
              </w:rPr>
            </w:pPr>
            <w:r w:rsidRPr="008215A9">
              <w:rPr>
                <w:rFonts w:eastAsia="Times New Roman" w:cs="Times New Roman"/>
                <w:b/>
                <w:sz w:val="20"/>
                <w:szCs w:val="20"/>
                <w:shd w:val="clear" w:color="auto" w:fill="E6E6E6"/>
              </w:rPr>
              <w:t>Hersteller</w:t>
            </w:r>
          </w:p>
        </w:tc>
      </w:tr>
      <w:tr w:rsidR="00A65EF2" w:rsidRPr="00A65EF2" w14:paraId="7C6BCC78" w14:textId="77777777" w:rsidTr="00D13063">
        <w:trPr>
          <w:trHeight w:val="284"/>
        </w:trPr>
        <w:tc>
          <w:tcPr>
            <w:tcW w:w="3175" w:type="dxa"/>
            <w:tcBorders>
              <w:top w:val="single" w:sz="8" w:space="0" w:color="auto"/>
              <w:left w:val="single" w:sz="8" w:space="0" w:color="auto"/>
            </w:tcBorders>
            <w:shd w:val="clear" w:color="auto" w:fill="FFFFFF"/>
            <w:vAlign w:val="center"/>
          </w:tcPr>
          <w:p w14:paraId="55055D1C" w14:textId="77777777" w:rsidR="00A65EF2" w:rsidRPr="00A65EF2" w:rsidRDefault="001504B3" w:rsidP="00D13063">
            <w:pPr>
              <w:spacing w:after="0" w:line="240" w:lineRule="auto"/>
              <w:rPr>
                <w:rFonts w:eastAsia="Times New Roman" w:cs="Times New Roman"/>
                <w:sz w:val="18"/>
                <w:szCs w:val="18"/>
                <w:shd w:val="clear" w:color="auto" w:fill="FFFFFF"/>
              </w:rPr>
            </w:pPr>
            <w:r>
              <w:rPr>
                <w:rFonts w:eastAsia="Times New Roman" w:cs="Times New Roman"/>
                <w:sz w:val="18"/>
                <w:szCs w:val="18"/>
              </w:rPr>
              <w:t>Mowiol 4-88 Polyvinylalkohol</w:t>
            </w:r>
          </w:p>
        </w:tc>
        <w:tc>
          <w:tcPr>
            <w:tcW w:w="2729" w:type="dxa"/>
            <w:tcBorders>
              <w:top w:val="single" w:sz="8" w:space="0" w:color="auto"/>
            </w:tcBorders>
            <w:shd w:val="clear" w:color="auto" w:fill="FFFFFF"/>
            <w:vAlign w:val="center"/>
          </w:tcPr>
          <w:p w14:paraId="49D1E8B7" w14:textId="77777777" w:rsidR="00A65EF2" w:rsidRPr="00A65EF2" w:rsidRDefault="00A65EF2" w:rsidP="00D13063">
            <w:pPr>
              <w:spacing w:after="0" w:line="240" w:lineRule="auto"/>
              <w:jc w:val="center"/>
              <w:rPr>
                <w:rFonts w:eastAsia="Times New Roman" w:cs="Times New Roman"/>
                <w:sz w:val="18"/>
                <w:szCs w:val="18"/>
                <w:shd w:val="clear" w:color="auto" w:fill="FFFFFF"/>
              </w:rPr>
            </w:pPr>
            <w:r w:rsidRPr="00A65EF2">
              <w:rPr>
                <w:rFonts w:eastAsia="Times New Roman" w:cs="Times New Roman"/>
                <w:sz w:val="18"/>
                <w:szCs w:val="18"/>
              </w:rPr>
              <w:t>361174456</w:t>
            </w:r>
          </w:p>
        </w:tc>
        <w:tc>
          <w:tcPr>
            <w:tcW w:w="2952" w:type="dxa"/>
            <w:tcBorders>
              <w:top w:val="single" w:sz="8" w:space="0" w:color="auto"/>
              <w:right w:val="single" w:sz="8" w:space="0" w:color="auto"/>
            </w:tcBorders>
            <w:shd w:val="clear" w:color="auto" w:fill="FFFFFF"/>
            <w:vAlign w:val="center"/>
          </w:tcPr>
          <w:p w14:paraId="14D9A3C0" w14:textId="77777777" w:rsidR="00A65EF2" w:rsidRPr="00A65EF2" w:rsidRDefault="00A65EF2" w:rsidP="00D13063">
            <w:pPr>
              <w:spacing w:after="0" w:line="240" w:lineRule="auto"/>
              <w:rPr>
                <w:rFonts w:eastAsia="Times New Roman" w:cs="Times New Roman"/>
                <w:sz w:val="18"/>
                <w:szCs w:val="18"/>
                <w:shd w:val="clear" w:color="auto" w:fill="FFFFFF"/>
              </w:rPr>
            </w:pPr>
            <w:r w:rsidRPr="00A65EF2">
              <w:rPr>
                <w:rFonts w:eastAsia="Times New Roman" w:cs="Times New Roman"/>
                <w:sz w:val="18"/>
                <w:szCs w:val="18"/>
              </w:rPr>
              <w:t>Carl Roth</w:t>
            </w:r>
          </w:p>
        </w:tc>
      </w:tr>
      <w:tr w:rsidR="00A65EF2" w:rsidRPr="00A65EF2" w14:paraId="4D8A180D" w14:textId="77777777" w:rsidTr="00D13063">
        <w:trPr>
          <w:trHeight w:val="284"/>
        </w:trPr>
        <w:tc>
          <w:tcPr>
            <w:tcW w:w="3175" w:type="dxa"/>
            <w:tcBorders>
              <w:left w:val="single" w:sz="8" w:space="0" w:color="auto"/>
            </w:tcBorders>
            <w:shd w:val="clear" w:color="auto" w:fill="auto"/>
            <w:vAlign w:val="center"/>
          </w:tcPr>
          <w:p w14:paraId="4E9021FC" w14:textId="77777777" w:rsidR="00A65EF2" w:rsidRPr="00A65EF2" w:rsidRDefault="00A65EF2" w:rsidP="00D13063">
            <w:pPr>
              <w:spacing w:after="0" w:line="240" w:lineRule="auto"/>
              <w:rPr>
                <w:rFonts w:eastAsia="Times New Roman" w:cs="Times New Roman"/>
                <w:sz w:val="18"/>
                <w:szCs w:val="18"/>
              </w:rPr>
            </w:pPr>
            <w:r w:rsidRPr="00A65EF2">
              <w:rPr>
                <w:rFonts w:eastAsia="Times New Roman" w:cs="Times New Roman"/>
                <w:sz w:val="18"/>
                <w:szCs w:val="18"/>
              </w:rPr>
              <w:t>Ethylacetat</w:t>
            </w:r>
          </w:p>
        </w:tc>
        <w:tc>
          <w:tcPr>
            <w:tcW w:w="2729" w:type="dxa"/>
            <w:shd w:val="clear" w:color="auto" w:fill="auto"/>
            <w:vAlign w:val="center"/>
          </w:tcPr>
          <w:p w14:paraId="0A74AD45" w14:textId="77777777" w:rsidR="00A65EF2" w:rsidRPr="00A65EF2" w:rsidRDefault="00A65EF2" w:rsidP="00D13063">
            <w:pPr>
              <w:spacing w:after="0" w:line="240" w:lineRule="auto"/>
              <w:jc w:val="center"/>
              <w:rPr>
                <w:rFonts w:eastAsia="Times New Roman" w:cs="Times New Roman"/>
                <w:sz w:val="18"/>
                <w:szCs w:val="18"/>
              </w:rPr>
            </w:pPr>
            <w:r w:rsidRPr="00A65EF2">
              <w:rPr>
                <w:rFonts w:eastAsia="Times New Roman" w:cs="Times New Roman"/>
                <w:sz w:val="18"/>
                <w:szCs w:val="18"/>
              </w:rPr>
              <w:t>K38080564</w:t>
            </w:r>
          </w:p>
        </w:tc>
        <w:tc>
          <w:tcPr>
            <w:tcW w:w="2952" w:type="dxa"/>
            <w:tcBorders>
              <w:right w:val="single" w:sz="8" w:space="0" w:color="auto"/>
            </w:tcBorders>
            <w:shd w:val="clear" w:color="auto" w:fill="auto"/>
            <w:vAlign w:val="center"/>
          </w:tcPr>
          <w:p w14:paraId="3927F90C" w14:textId="77777777" w:rsidR="00A65EF2" w:rsidRPr="00A65EF2" w:rsidRDefault="00A65EF2" w:rsidP="00D13063">
            <w:pPr>
              <w:spacing w:after="0" w:line="240" w:lineRule="auto"/>
              <w:rPr>
                <w:rFonts w:eastAsia="Times New Roman" w:cs="Times New Roman"/>
                <w:sz w:val="18"/>
                <w:szCs w:val="18"/>
              </w:rPr>
            </w:pPr>
            <w:r w:rsidRPr="00A65EF2">
              <w:rPr>
                <w:rFonts w:eastAsia="Times New Roman" w:cs="Times New Roman"/>
                <w:sz w:val="18"/>
                <w:szCs w:val="18"/>
              </w:rPr>
              <w:t>Merck KGaA</w:t>
            </w:r>
          </w:p>
        </w:tc>
      </w:tr>
      <w:tr w:rsidR="001504B3" w:rsidRPr="00A65EF2" w14:paraId="3082B2D7" w14:textId="77777777" w:rsidTr="00D13063">
        <w:trPr>
          <w:trHeight w:val="284"/>
        </w:trPr>
        <w:tc>
          <w:tcPr>
            <w:tcW w:w="3175" w:type="dxa"/>
            <w:tcBorders>
              <w:left w:val="single" w:sz="8" w:space="0" w:color="auto"/>
            </w:tcBorders>
            <w:shd w:val="clear" w:color="auto" w:fill="auto"/>
            <w:vAlign w:val="center"/>
          </w:tcPr>
          <w:p w14:paraId="45C98AA1" w14:textId="77777777" w:rsidR="001504B3" w:rsidRPr="00A65EF2" w:rsidRDefault="001504B3" w:rsidP="00D13063">
            <w:pPr>
              <w:spacing w:after="0" w:line="240" w:lineRule="auto"/>
              <w:rPr>
                <w:rFonts w:eastAsia="Times New Roman" w:cs="Times New Roman"/>
                <w:sz w:val="18"/>
                <w:szCs w:val="18"/>
              </w:rPr>
            </w:pPr>
            <w:r>
              <w:rPr>
                <w:rFonts w:eastAsia="Times New Roman" w:cs="Times New Roman"/>
                <w:sz w:val="18"/>
                <w:szCs w:val="18"/>
              </w:rPr>
              <w:t>Pluronic F68</w:t>
            </w:r>
          </w:p>
        </w:tc>
        <w:tc>
          <w:tcPr>
            <w:tcW w:w="2729" w:type="dxa"/>
            <w:shd w:val="clear" w:color="auto" w:fill="auto"/>
            <w:vAlign w:val="center"/>
          </w:tcPr>
          <w:p w14:paraId="5FD82F82" w14:textId="77777777" w:rsidR="001504B3" w:rsidRPr="00A65EF2" w:rsidRDefault="001504B3" w:rsidP="00D13063">
            <w:pPr>
              <w:spacing w:after="0" w:line="240" w:lineRule="auto"/>
              <w:jc w:val="center"/>
              <w:rPr>
                <w:rFonts w:eastAsia="Times New Roman" w:cs="Times New Roman"/>
                <w:sz w:val="18"/>
                <w:szCs w:val="18"/>
              </w:rPr>
            </w:pPr>
            <w:r>
              <w:rPr>
                <w:rFonts w:eastAsia="Times New Roman" w:cs="Times New Roman"/>
                <w:sz w:val="18"/>
                <w:szCs w:val="18"/>
              </w:rPr>
              <w:t>027K0027</w:t>
            </w:r>
          </w:p>
        </w:tc>
        <w:tc>
          <w:tcPr>
            <w:tcW w:w="2952" w:type="dxa"/>
            <w:tcBorders>
              <w:right w:val="single" w:sz="8" w:space="0" w:color="auto"/>
            </w:tcBorders>
            <w:shd w:val="clear" w:color="auto" w:fill="auto"/>
            <w:vAlign w:val="center"/>
          </w:tcPr>
          <w:p w14:paraId="03A37316" w14:textId="77777777" w:rsidR="001504B3" w:rsidRPr="00A65EF2" w:rsidRDefault="001504B3" w:rsidP="00D13063">
            <w:pPr>
              <w:spacing w:after="0" w:line="240" w:lineRule="auto"/>
              <w:rPr>
                <w:rFonts w:eastAsia="Times New Roman" w:cs="Times New Roman"/>
                <w:sz w:val="18"/>
                <w:szCs w:val="18"/>
              </w:rPr>
            </w:pPr>
            <w:r>
              <w:rPr>
                <w:rFonts w:eastAsia="Times New Roman" w:cs="Times New Roman"/>
                <w:sz w:val="18"/>
                <w:szCs w:val="18"/>
              </w:rPr>
              <w:t>Sigma</w:t>
            </w:r>
          </w:p>
        </w:tc>
      </w:tr>
      <w:tr w:rsidR="00A65EF2" w:rsidRPr="00A65EF2" w14:paraId="5B5633FD" w14:textId="77777777" w:rsidTr="00D13063">
        <w:trPr>
          <w:trHeight w:val="284"/>
        </w:trPr>
        <w:tc>
          <w:tcPr>
            <w:tcW w:w="3175" w:type="dxa"/>
            <w:tcBorders>
              <w:left w:val="single" w:sz="8" w:space="0" w:color="auto"/>
            </w:tcBorders>
            <w:shd w:val="clear" w:color="auto" w:fill="auto"/>
            <w:vAlign w:val="center"/>
          </w:tcPr>
          <w:p w14:paraId="21139D27" w14:textId="77777777" w:rsidR="00A65EF2" w:rsidRPr="00A65EF2" w:rsidRDefault="00A65EF2" w:rsidP="00D13063">
            <w:pPr>
              <w:spacing w:after="0" w:line="240" w:lineRule="auto"/>
              <w:rPr>
                <w:rFonts w:eastAsia="Times New Roman" w:cs="Times New Roman"/>
                <w:sz w:val="18"/>
                <w:szCs w:val="18"/>
              </w:rPr>
            </w:pPr>
            <w:r w:rsidRPr="00A65EF2">
              <w:rPr>
                <w:rFonts w:eastAsia="Times New Roman" w:cs="Times New Roman"/>
                <w:sz w:val="18"/>
                <w:szCs w:val="18"/>
              </w:rPr>
              <w:t>Aceton</w:t>
            </w:r>
          </w:p>
        </w:tc>
        <w:tc>
          <w:tcPr>
            <w:tcW w:w="2729" w:type="dxa"/>
            <w:shd w:val="clear" w:color="auto" w:fill="auto"/>
            <w:vAlign w:val="center"/>
          </w:tcPr>
          <w:p w14:paraId="088099BE" w14:textId="77777777" w:rsidR="00A65EF2" w:rsidRPr="00A65EF2" w:rsidRDefault="00A65EF2" w:rsidP="00D13063">
            <w:pPr>
              <w:spacing w:after="0" w:line="240" w:lineRule="auto"/>
              <w:jc w:val="center"/>
              <w:rPr>
                <w:rFonts w:eastAsia="Times New Roman" w:cs="Times New Roman"/>
                <w:sz w:val="18"/>
                <w:szCs w:val="18"/>
              </w:rPr>
            </w:pPr>
            <w:r w:rsidRPr="00A65EF2">
              <w:rPr>
                <w:rFonts w:eastAsia="Times New Roman" w:cs="Times New Roman"/>
                <w:sz w:val="18"/>
                <w:szCs w:val="18"/>
              </w:rPr>
              <w:t>K44014914248</w:t>
            </w:r>
          </w:p>
        </w:tc>
        <w:tc>
          <w:tcPr>
            <w:tcW w:w="2952" w:type="dxa"/>
            <w:tcBorders>
              <w:right w:val="single" w:sz="8" w:space="0" w:color="auto"/>
            </w:tcBorders>
            <w:shd w:val="clear" w:color="auto" w:fill="auto"/>
            <w:vAlign w:val="center"/>
          </w:tcPr>
          <w:p w14:paraId="4896C6D2" w14:textId="77777777" w:rsidR="00A65EF2" w:rsidRPr="00A65EF2" w:rsidRDefault="00A65EF2" w:rsidP="00D13063">
            <w:pPr>
              <w:spacing w:after="0" w:line="240" w:lineRule="auto"/>
              <w:rPr>
                <w:rFonts w:eastAsia="Times New Roman" w:cs="Times New Roman"/>
                <w:sz w:val="18"/>
                <w:szCs w:val="18"/>
              </w:rPr>
            </w:pPr>
            <w:r w:rsidRPr="00A65EF2">
              <w:rPr>
                <w:rFonts w:eastAsia="Times New Roman" w:cs="Times New Roman"/>
                <w:sz w:val="18"/>
                <w:szCs w:val="18"/>
              </w:rPr>
              <w:t>Merck KGaA</w:t>
            </w:r>
          </w:p>
        </w:tc>
      </w:tr>
      <w:tr w:rsidR="001504B3" w:rsidRPr="001504B3" w14:paraId="6063A703" w14:textId="77777777" w:rsidTr="00D13063">
        <w:trPr>
          <w:trHeight w:val="284"/>
        </w:trPr>
        <w:tc>
          <w:tcPr>
            <w:tcW w:w="3175" w:type="dxa"/>
            <w:tcBorders>
              <w:left w:val="single" w:sz="8" w:space="0" w:color="auto"/>
            </w:tcBorders>
            <w:shd w:val="clear" w:color="auto" w:fill="auto"/>
            <w:vAlign w:val="center"/>
          </w:tcPr>
          <w:p w14:paraId="1515589D" w14:textId="77777777" w:rsidR="001504B3" w:rsidRPr="00A65EF2" w:rsidRDefault="001504B3" w:rsidP="00D13063">
            <w:pPr>
              <w:spacing w:after="0" w:line="240" w:lineRule="auto"/>
              <w:rPr>
                <w:rFonts w:eastAsia="Times New Roman" w:cs="Times New Roman"/>
                <w:sz w:val="18"/>
                <w:szCs w:val="18"/>
              </w:rPr>
            </w:pPr>
            <w:r>
              <w:rPr>
                <w:rFonts w:eastAsia="Times New Roman" w:cs="Times New Roman"/>
                <w:sz w:val="18"/>
                <w:szCs w:val="18"/>
              </w:rPr>
              <w:t>Dichlormethan</w:t>
            </w:r>
          </w:p>
        </w:tc>
        <w:tc>
          <w:tcPr>
            <w:tcW w:w="2729" w:type="dxa"/>
            <w:shd w:val="clear" w:color="auto" w:fill="auto"/>
            <w:vAlign w:val="center"/>
          </w:tcPr>
          <w:p w14:paraId="6EF5417E" w14:textId="77777777" w:rsidR="001504B3" w:rsidRPr="00A65EF2" w:rsidRDefault="001504B3" w:rsidP="00D13063">
            <w:pPr>
              <w:spacing w:after="0" w:line="240" w:lineRule="auto"/>
              <w:jc w:val="center"/>
              <w:rPr>
                <w:rFonts w:eastAsia="Times New Roman" w:cs="Times New Roman"/>
                <w:sz w:val="18"/>
                <w:szCs w:val="18"/>
              </w:rPr>
            </w:pPr>
            <w:r>
              <w:rPr>
                <w:rFonts w:eastAsia="Times New Roman" w:cs="Times New Roman"/>
                <w:sz w:val="18"/>
                <w:szCs w:val="18"/>
              </w:rPr>
              <w:t>1320504864</w:t>
            </w:r>
          </w:p>
        </w:tc>
        <w:tc>
          <w:tcPr>
            <w:tcW w:w="2952" w:type="dxa"/>
            <w:tcBorders>
              <w:right w:val="single" w:sz="8" w:space="0" w:color="auto"/>
            </w:tcBorders>
            <w:shd w:val="clear" w:color="auto" w:fill="auto"/>
            <w:vAlign w:val="center"/>
          </w:tcPr>
          <w:p w14:paraId="51DE8365" w14:textId="77777777" w:rsidR="001504B3" w:rsidRPr="001504B3" w:rsidRDefault="001504B3" w:rsidP="00D13063">
            <w:pPr>
              <w:spacing w:after="0" w:line="240" w:lineRule="auto"/>
              <w:rPr>
                <w:rFonts w:eastAsia="Times New Roman" w:cs="Times New Roman"/>
                <w:sz w:val="18"/>
                <w:szCs w:val="18"/>
                <w:lang w:val="en-US"/>
              </w:rPr>
            </w:pPr>
            <w:r w:rsidRPr="001504B3">
              <w:rPr>
                <w:rFonts w:eastAsia="Times New Roman" w:cs="Times New Roman"/>
                <w:sz w:val="18"/>
                <w:szCs w:val="18"/>
                <w:lang w:val="en-US"/>
              </w:rPr>
              <w:t xml:space="preserve">J. </w:t>
            </w:r>
            <w:r>
              <w:rPr>
                <w:rFonts w:eastAsia="Times New Roman" w:cs="Times New Roman"/>
                <w:sz w:val="18"/>
                <w:szCs w:val="18"/>
                <w:lang w:val="en-US"/>
              </w:rPr>
              <w:t>T. Baker</w:t>
            </w:r>
          </w:p>
        </w:tc>
      </w:tr>
      <w:tr w:rsidR="00491612" w:rsidRPr="001504B3" w14:paraId="125634AC" w14:textId="77777777" w:rsidTr="00D13063">
        <w:trPr>
          <w:trHeight w:val="284"/>
        </w:trPr>
        <w:tc>
          <w:tcPr>
            <w:tcW w:w="3175" w:type="dxa"/>
            <w:tcBorders>
              <w:left w:val="single" w:sz="8" w:space="0" w:color="auto"/>
            </w:tcBorders>
            <w:shd w:val="clear" w:color="auto" w:fill="auto"/>
            <w:vAlign w:val="center"/>
          </w:tcPr>
          <w:p w14:paraId="6A0AF873" w14:textId="77777777" w:rsidR="00491612" w:rsidRDefault="00491612" w:rsidP="00D13063">
            <w:pPr>
              <w:spacing w:after="0" w:line="240" w:lineRule="auto"/>
              <w:rPr>
                <w:rFonts w:eastAsia="Times New Roman" w:cs="Times New Roman"/>
                <w:sz w:val="18"/>
                <w:szCs w:val="18"/>
              </w:rPr>
            </w:pPr>
            <w:r>
              <w:rPr>
                <w:rFonts w:eastAsia="Times New Roman" w:cs="Times New Roman"/>
                <w:sz w:val="18"/>
                <w:szCs w:val="18"/>
              </w:rPr>
              <w:t>Ethanol absolut</w:t>
            </w:r>
          </w:p>
        </w:tc>
        <w:tc>
          <w:tcPr>
            <w:tcW w:w="2729" w:type="dxa"/>
            <w:shd w:val="clear" w:color="auto" w:fill="auto"/>
            <w:vAlign w:val="center"/>
          </w:tcPr>
          <w:p w14:paraId="41EA563A" w14:textId="77777777" w:rsidR="00491612" w:rsidRDefault="00172F5C" w:rsidP="00D13063">
            <w:pPr>
              <w:spacing w:after="0" w:line="240" w:lineRule="auto"/>
              <w:jc w:val="center"/>
              <w:rPr>
                <w:rFonts w:eastAsia="Times New Roman" w:cs="Times New Roman"/>
                <w:sz w:val="18"/>
                <w:szCs w:val="18"/>
              </w:rPr>
            </w:pPr>
            <w:r>
              <w:rPr>
                <w:rFonts w:eastAsia="Times New Roman" w:cs="Times New Roman"/>
                <w:sz w:val="18"/>
                <w:szCs w:val="18"/>
              </w:rPr>
              <w:t>K44694483 328</w:t>
            </w:r>
          </w:p>
        </w:tc>
        <w:tc>
          <w:tcPr>
            <w:tcW w:w="2952" w:type="dxa"/>
            <w:tcBorders>
              <w:right w:val="single" w:sz="8" w:space="0" w:color="auto"/>
            </w:tcBorders>
            <w:shd w:val="clear" w:color="auto" w:fill="auto"/>
            <w:vAlign w:val="center"/>
          </w:tcPr>
          <w:p w14:paraId="55FAD1FA" w14:textId="77777777" w:rsidR="00491612" w:rsidRPr="001504B3" w:rsidRDefault="00172F5C" w:rsidP="00D13063">
            <w:pPr>
              <w:spacing w:after="0" w:line="240" w:lineRule="auto"/>
              <w:rPr>
                <w:rFonts w:eastAsia="Times New Roman" w:cs="Times New Roman"/>
                <w:sz w:val="18"/>
                <w:szCs w:val="18"/>
                <w:lang w:val="en-US"/>
              </w:rPr>
            </w:pPr>
            <w:r>
              <w:rPr>
                <w:rFonts w:eastAsia="Times New Roman" w:cs="Times New Roman"/>
                <w:sz w:val="18"/>
                <w:szCs w:val="18"/>
                <w:lang w:val="en-US"/>
              </w:rPr>
              <w:t>Merck KGaA</w:t>
            </w:r>
          </w:p>
        </w:tc>
      </w:tr>
      <w:tr w:rsidR="00A65EF2" w:rsidRPr="00A65EF2" w14:paraId="11C6B065" w14:textId="77777777" w:rsidTr="00D13063">
        <w:trPr>
          <w:trHeight w:val="284"/>
        </w:trPr>
        <w:tc>
          <w:tcPr>
            <w:tcW w:w="3175" w:type="dxa"/>
            <w:tcBorders>
              <w:left w:val="single" w:sz="8" w:space="0" w:color="auto"/>
            </w:tcBorders>
            <w:shd w:val="clear" w:color="auto" w:fill="auto"/>
            <w:vAlign w:val="center"/>
          </w:tcPr>
          <w:p w14:paraId="102F5D97" w14:textId="77777777" w:rsidR="00A65EF2" w:rsidRPr="00A65EF2" w:rsidRDefault="00A65EF2" w:rsidP="00D13063">
            <w:pPr>
              <w:spacing w:after="0" w:line="240" w:lineRule="auto"/>
              <w:rPr>
                <w:rFonts w:eastAsia="Times New Roman" w:cs="Times New Roman"/>
                <w:sz w:val="18"/>
                <w:szCs w:val="18"/>
                <w:lang w:val="en-US"/>
              </w:rPr>
            </w:pPr>
            <w:r w:rsidRPr="00A65EF2">
              <w:rPr>
                <w:rFonts w:eastAsia="Times New Roman" w:cs="Times New Roman"/>
                <w:sz w:val="18"/>
                <w:szCs w:val="18"/>
                <w:lang w:val="en-US"/>
              </w:rPr>
              <w:t>Polyethylenglycol 4000</w:t>
            </w:r>
          </w:p>
        </w:tc>
        <w:tc>
          <w:tcPr>
            <w:tcW w:w="2729" w:type="dxa"/>
            <w:shd w:val="clear" w:color="auto" w:fill="auto"/>
            <w:vAlign w:val="center"/>
          </w:tcPr>
          <w:p w14:paraId="042618B1" w14:textId="77777777" w:rsidR="00A65EF2" w:rsidRPr="00A65EF2" w:rsidRDefault="00A65EF2" w:rsidP="00D13063">
            <w:pPr>
              <w:spacing w:after="0" w:line="240" w:lineRule="auto"/>
              <w:jc w:val="center"/>
              <w:rPr>
                <w:rFonts w:eastAsia="Times New Roman" w:cs="Times New Roman"/>
                <w:sz w:val="18"/>
                <w:szCs w:val="18"/>
                <w:lang w:val="en-US"/>
              </w:rPr>
            </w:pPr>
            <w:r w:rsidRPr="00A65EF2">
              <w:rPr>
                <w:rFonts w:eastAsia="Times New Roman" w:cs="Times New Roman"/>
                <w:sz w:val="18"/>
                <w:szCs w:val="18"/>
                <w:lang w:val="en-US"/>
              </w:rPr>
              <w:t>S35145 149</w:t>
            </w:r>
          </w:p>
        </w:tc>
        <w:tc>
          <w:tcPr>
            <w:tcW w:w="2952" w:type="dxa"/>
            <w:tcBorders>
              <w:right w:val="single" w:sz="8" w:space="0" w:color="auto"/>
            </w:tcBorders>
            <w:shd w:val="clear" w:color="auto" w:fill="auto"/>
            <w:vAlign w:val="center"/>
          </w:tcPr>
          <w:p w14:paraId="448DDF92" w14:textId="77777777" w:rsidR="00A65EF2" w:rsidRPr="00A65EF2" w:rsidRDefault="00A65EF2" w:rsidP="00D13063">
            <w:pPr>
              <w:spacing w:after="0" w:line="240" w:lineRule="auto"/>
              <w:rPr>
                <w:rFonts w:eastAsia="Times New Roman" w:cs="Times New Roman"/>
                <w:sz w:val="18"/>
                <w:szCs w:val="18"/>
                <w:lang w:val="en-US"/>
              </w:rPr>
            </w:pPr>
            <w:r w:rsidRPr="00A65EF2">
              <w:rPr>
                <w:rFonts w:eastAsia="Times New Roman" w:cs="Times New Roman"/>
                <w:sz w:val="18"/>
                <w:szCs w:val="18"/>
                <w:lang w:val="en-US"/>
              </w:rPr>
              <w:t>Merck KGaA</w:t>
            </w:r>
          </w:p>
        </w:tc>
      </w:tr>
      <w:tr w:rsidR="00A65EF2" w:rsidRPr="00A65EF2" w14:paraId="35836BF9" w14:textId="77777777" w:rsidTr="00D13063">
        <w:trPr>
          <w:trHeight w:val="284"/>
        </w:trPr>
        <w:tc>
          <w:tcPr>
            <w:tcW w:w="3175" w:type="dxa"/>
            <w:tcBorders>
              <w:left w:val="single" w:sz="8" w:space="0" w:color="auto"/>
            </w:tcBorders>
            <w:shd w:val="clear" w:color="auto" w:fill="auto"/>
            <w:vAlign w:val="center"/>
          </w:tcPr>
          <w:p w14:paraId="0E69C9B1" w14:textId="77777777" w:rsidR="00A65EF2" w:rsidRPr="00A65EF2" w:rsidRDefault="00A65EF2" w:rsidP="00D13063">
            <w:pPr>
              <w:spacing w:after="0" w:line="240" w:lineRule="auto"/>
              <w:rPr>
                <w:rFonts w:eastAsia="Times New Roman" w:cs="Times New Roman"/>
                <w:sz w:val="18"/>
                <w:szCs w:val="18"/>
                <w:lang w:val="en-US"/>
              </w:rPr>
            </w:pPr>
            <w:r w:rsidRPr="00A65EF2">
              <w:rPr>
                <w:rFonts w:eastAsia="Times New Roman" w:cs="Times New Roman"/>
                <w:sz w:val="18"/>
                <w:szCs w:val="18"/>
                <w:lang w:val="en-US"/>
              </w:rPr>
              <w:t>Rhodamin-Dextran</w:t>
            </w:r>
          </w:p>
        </w:tc>
        <w:tc>
          <w:tcPr>
            <w:tcW w:w="2729" w:type="dxa"/>
            <w:shd w:val="clear" w:color="auto" w:fill="auto"/>
            <w:vAlign w:val="center"/>
          </w:tcPr>
          <w:p w14:paraId="0B6B4B38" w14:textId="77777777" w:rsidR="00A65EF2" w:rsidRPr="00A65EF2" w:rsidRDefault="00A65EF2" w:rsidP="00D13063">
            <w:pPr>
              <w:spacing w:after="0" w:line="240" w:lineRule="auto"/>
              <w:jc w:val="center"/>
              <w:rPr>
                <w:rFonts w:eastAsia="Times New Roman" w:cs="Times New Roman"/>
                <w:sz w:val="18"/>
                <w:szCs w:val="18"/>
                <w:lang w:val="en-US"/>
              </w:rPr>
            </w:pPr>
            <w:r w:rsidRPr="00A65EF2">
              <w:rPr>
                <w:rFonts w:eastAsia="Times New Roman" w:cs="Times New Roman"/>
                <w:sz w:val="18"/>
                <w:szCs w:val="18"/>
                <w:lang w:val="en-US"/>
              </w:rPr>
              <w:t>1149011</w:t>
            </w:r>
          </w:p>
        </w:tc>
        <w:tc>
          <w:tcPr>
            <w:tcW w:w="2952" w:type="dxa"/>
            <w:tcBorders>
              <w:right w:val="single" w:sz="8" w:space="0" w:color="auto"/>
            </w:tcBorders>
            <w:shd w:val="clear" w:color="auto" w:fill="auto"/>
            <w:vAlign w:val="center"/>
          </w:tcPr>
          <w:p w14:paraId="2E315480" w14:textId="77777777" w:rsidR="00A65EF2" w:rsidRPr="00A65EF2" w:rsidRDefault="0035356A" w:rsidP="00D13063">
            <w:pPr>
              <w:tabs>
                <w:tab w:val="center" w:pos="1361"/>
              </w:tabs>
              <w:spacing w:after="0" w:line="240" w:lineRule="auto"/>
              <w:rPr>
                <w:rFonts w:eastAsia="Times New Roman" w:cs="Times New Roman"/>
                <w:sz w:val="18"/>
                <w:szCs w:val="18"/>
                <w:lang w:val="en-US"/>
              </w:rPr>
            </w:pPr>
            <w:r>
              <w:rPr>
                <w:rFonts w:eastAsia="Times New Roman" w:cs="Times New Roman"/>
                <w:sz w:val="18"/>
                <w:szCs w:val="18"/>
                <w:lang w:val="en-US"/>
              </w:rPr>
              <w:t>I</w:t>
            </w:r>
            <w:r w:rsidR="00A65EF2" w:rsidRPr="00A65EF2">
              <w:rPr>
                <w:rFonts w:eastAsia="Times New Roman" w:cs="Times New Roman"/>
                <w:sz w:val="18"/>
                <w:szCs w:val="18"/>
                <w:lang w:val="en-US"/>
              </w:rPr>
              <w:t>nvitrogen</w:t>
            </w:r>
            <w:r>
              <w:rPr>
                <w:rFonts w:eastAsia="Times New Roman" w:cs="Times New Roman"/>
                <w:sz w:val="18"/>
                <w:szCs w:val="18"/>
                <w:lang w:val="en-US"/>
              </w:rPr>
              <w:tab/>
            </w:r>
          </w:p>
        </w:tc>
      </w:tr>
      <w:tr w:rsidR="001504B3" w:rsidRPr="00A65EF2" w14:paraId="6D257351" w14:textId="77777777" w:rsidTr="00D13063">
        <w:trPr>
          <w:trHeight w:val="284"/>
        </w:trPr>
        <w:tc>
          <w:tcPr>
            <w:tcW w:w="3175" w:type="dxa"/>
            <w:tcBorders>
              <w:left w:val="single" w:sz="8" w:space="0" w:color="auto"/>
            </w:tcBorders>
            <w:shd w:val="clear" w:color="auto" w:fill="auto"/>
            <w:vAlign w:val="center"/>
          </w:tcPr>
          <w:p w14:paraId="0DD1EF26" w14:textId="77777777" w:rsidR="001504B3" w:rsidRPr="00A65EF2" w:rsidRDefault="001504B3" w:rsidP="00D13063">
            <w:pPr>
              <w:spacing w:after="0" w:line="240" w:lineRule="auto"/>
              <w:rPr>
                <w:rFonts w:eastAsia="Times New Roman" w:cs="Times New Roman"/>
                <w:sz w:val="18"/>
                <w:szCs w:val="18"/>
                <w:lang w:val="en-US"/>
              </w:rPr>
            </w:pPr>
            <w:r>
              <w:rPr>
                <w:rFonts w:eastAsia="Times New Roman" w:cs="Times New Roman"/>
                <w:sz w:val="18"/>
                <w:szCs w:val="18"/>
                <w:lang w:val="en-US"/>
              </w:rPr>
              <w:t>Lumogen F Red 305</w:t>
            </w:r>
          </w:p>
        </w:tc>
        <w:tc>
          <w:tcPr>
            <w:tcW w:w="2729" w:type="dxa"/>
            <w:shd w:val="clear" w:color="auto" w:fill="auto"/>
            <w:vAlign w:val="center"/>
          </w:tcPr>
          <w:p w14:paraId="49D0476A" w14:textId="77777777" w:rsidR="001504B3" w:rsidRPr="00A65EF2" w:rsidRDefault="001504B3" w:rsidP="00D13063">
            <w:pPr>
              <w:spacing w:after="0" w:line="240" w:lineRule="auto"/>
              <w:jc w:val="center"/>
              <w:rPr>
                <w:rFonts w:eastAsia="Times New Roman" w:cs="Times New Roman"/>
                <w:sz w:val="18"/>
                <w:szCs w:val="18"/>
                <w:lang w:val="en-US"/>
              </w:rPr>
            </w:pPr>
            <w:r>
              <w:rPr>
                <w:rFonts w:eastAsia="Times New Roman" w:cs="Times New Roman"/>
                <w:sz w:val="18"/>
                <w:szCs w:val="18"/>
                <w:lang w:val="en-US"/>
              </w:rPr>
              <w:t>0005007376</w:t>
            </w:r>
          </w:p>
        </w:tc>
        <w:tc>
          <w:tcPr>
            <w:tcW w:w="2952" w:type="dxa"/>
            <w:tcBorders>
              <w:right w:val="single" w:sz="8" w:space="0" w:color="auto"/>
            </w:tcBorders>
            <w:shd w:val="clear" w:color="auto" w:fill="auto"/>
            <w:vAlign w:val="center"/>
          </w:tcPr>
          <w:p w14:paraId="565099B4" w14:textId="77777777" w:rsidR="001504B3" w:rsidRPr="00A65EF2" w:rsidRDefault="001504B3" w:rsidP="00D13063">
            <w:pPr>
              <w:spacing w:after="0" w:line="240" w:lineRule="auto"/>
              <w:rPr>
                <w:rFonts w:eastAsia="Times New Roman" w:cs="Times New Roman"/>
                <w:sz w:val="18"/>
                <w:szCs w:val="18"/>
                <w:lang w:val="en-US"/>
              </w:rPr>
            </w:pPr>
            <w:r>
              <w:rPr>
                <w:rFonts w:eastAsia="Times New Roman" w:cs="Times New Roman"/>
                <w:sz w:val="18"/>
                <w:szCs w:val="18"/>
                <w:lang w:val="en-US"/>
              </w:rPr>
              <w:t>BASF SE</w:t>
            </w:r>
          </w:p>
        </w:tc>
      </w:tr>
      <w:tr w:rsidR="00A65EF2" w:rsidRPr="00A65EF2" w14:paraId="27377A43" w14:textId="77777777" w:rsidTr="00D13063">
        <w:trPr>
          <w:trHeight w:val="284"/>
        </w:trPr>
        <w:tc>
          <w:tcPr>
            <w:tcW w:w="3175" w:type="dxa"/>
            <w:tcBorders>
              <w:left w:val="single" w:sz="8" w:space="0" w:color="auto"/>
            </w:tcBorders>
            <w:shd w:val="clear" w:color="auto" w:fill="auto"/>
            <w:vAlign w:val="center"/>
          </w:tcPr>
          <w:p w14:paraId="50C5DDF7" w14:textId="77777777" w:rsidR="00A65EF2" w:rsidRPr="00A65EF2" w:rsidRDefault="00A65EF2" w:rsidP="00D13063">
            <w:pPr>
              <w:spacing w:after="0" w:line="240" w:lineRule="auto"/>
              <w:rPr>
                <w:rFonts w:eastAsia="Times New Roman" w:cs="Times New Roman"/>
                <w:sz w:val="18"/>
                <w:szCs w:val="18"/>
                <w:lang w:val="en-US"/>
              </w:rPr>
            </w:pPr>
            <w:r w:rsidRPr="00A65EF2">
              <w:rPr>
                <w:rFonts w:eastAsia="Times New Roman" w:cs="Times New Roman"/>
                <w:sz w:val="18"/>
                <w:szCs w:val="18"/>
                <w:lang w:val="en-US"/>
              </w:rPr>
              <w:t>Mannitol</w:t>
            </w:r>
          </w:p>
        </w:tc>
        <w:tc>
          <w:tcPr>
            <w:tcW w:w="2729" w:type="dxa"/>
            <w:shd w:val="clear" w:color="auto" w:fill="auto"/>
            <w:vAlign w:val="center"/>
          </w:tcPr>
          <w:p w14:paraId="51E12A2A" w14:textId="77777777" w:rsidR="00A65EF2" w:rsidRPr="00A65EF2" w:rsidRDefault="00A65EF2" w:rsidP="00D13063">
            <w:pPr>
              <w:spacing w:after="0" w:line="240" w:lineRule="auto"/>
              <w:jc w:val="center"/>
              <w:rPr>
                <w:rFonts w:eastAsia="Times New Roman" w:cs="Times New Roman"/>
                <w:sz w:val="18"/>
                <w:szCs w:val="18"/>
                <w:lang w:val="en-US"/>
              </w:rPr>
            </w:pPr>
            <w:r w:rsidRPr="00A65EF2">
              <w:rPr>
                <w:rFonts w:eastAsia="Times New Roman" w:cs="Times New Roman"/>
                <w:sz w:val="18"/>
                <w:szCs w:val="18"/>
                <w:lang w:val="en-US"/>
              </w:rPr>
              <w:t>412192443</w:t>
            </w:r>
          </w:p>
        </w:tc>
        <w:tc>
          <w:tcPr>
            <w:tcW w:w="2952" w:type="dxa"/>
            <w:tcBorders>
              <w:right w:val="single" w:sz="8" w:space="0" w:color="auto"/>
            </w:tcBorders>
            <w:shd w:val="clear" w:color="auto" w:fill="auto"/>
            <w:vAlign w:val="center"/>
          </w:tcPr>
          <w:p w14:paraId="461B7A81" w14:textId="77777777" w:rsidR="00A65EF2" w:rsidRPr="00A65EF2" w:rsidRDefault="001504B3" w:rsidP="00D13063">
            <w:pPr>
              <w:spacing w:after="0" w:line="240" w:lineRule="auto"/>
              <w:rPr>
                <w:rFonts w:eastAsia="Times New Roman" w:cs="Times New Roman"/>
                <w:sz w:val="18"/>
                <w:szCs w:val="18"/>
                <w:lang w:val="en-US"/>
              </w:rPr>
            </w:pPr>
            <w:r w:rsidRPr="001504B3">
              <w:rPr>
                <w:rFonts w:eastAsia="Times New Roman" w:cs="Times New Roman"/>
                <w:sz w:val="18"/>
                <w:szCs w:val="18"/>
                <w:lang w:val="en-US"/>
              </w:rPr>
              <w:t>Carl</w:t>
            </w:r>
            <w:r w:rsidR="00A65EF2" w:rsidRPr="00A65EF2">
              <w:rPr>
                <w:rFonts w:eastAsia="Times New Roman" w:cs="Times New Roman"/>
                <w:sz w:val="18"/>
                <w:szCs w:val="18"/>
                <w:lang w:val="en-US"/>
              </w:rPr>
              <w:t xml:space="preserve"> Roth</w:t>
            </w:r>
          </w:p>
        </w:tc>
      </w:tr>
      <w:tr w:rsidR="00A65EF2" w:rsidRPr="00A65EF2" w14:paraId="0FE473EC" w14:textId="77777777" w:rsidTr="00D13063">
        <w:trPr>
          <w:trHeight w:val="284"/>
        </w:trPr>
        <w:tc>
          <w:tcPr>
            <w:tcW w:w="3175" w:type="dxa"/>
            <w:tcBorders>
              <w:left w:val="single" w:sz="8" w:space="0" w:color="auto"/>
            </w:tcBorders>
            <w:shd w:val="clear" w:color="auto" w:fill="auto"/>
            <w:vAlign w:val="center"/>
          </w:tcPr>
          <w:p w14:paraId="165A1630" w14:textId="77777777" w:rsidR="00A65EF2" w:rsidRPr="00A65EF2" w:rsidRDefault="00A65EF2" w:rsidP="00D13063">
            <w:pPr>
              <w:spacing w:after="0" w:line="240" w:lineRule="auto"/>
              <w:rPr>
                <w:rFonts w:eastAsia="Times New Roman" w:cs="Times New Roman"/>
                <w:sz w:val="18"/>
                <w:szCs w:val="18"/>
                <w:lang w:val="en-US"/>
              </w:rPr>
            </w:pPr>
            <w:r w:rsidRPr="00A65EF2">
              <w:rPr>
                <w:rFonts w:eastAsia="Times New Roman" w:cs="Times New Roman"/>
                <w:sz w:val="18"/>
                <w:szCs w:val="18"/>
                <w:lang w:val="en-US"/>
              </w:rPr>
              <w:t>Trehalose</w:t>
            </w:r>
          </w:p>
        </w:tc>
        <w:tc>
          <w:tcPr>
            <w:tcW w:w="2729" w:type="dxa"/>
            <w:shd w:val="clear" w:color="auto" w:fill="auto"/>
            <w:vAlign w:val="center"/>
          </w:tcPr>
          <w:p w14:paraId="1911EB9C" w14:textId="77777777" w:rsidR="00A65EF2" w:rsidRPr="00A65EF2" w:rsidRDefault="00A65EF2" w:rsidP="00D13063">
            <w:pPr>
              <w:spacing w:after="0" w:line="240" w:lineRule="auto"/>
              <w:jc w:val="center"/>
              <w:rPr>
                <w:rFonts w:eastAsia="Times New Roman" w:cs="Times New Roman"/>
                <w:sz w:val="18"/>
                <w:szCs w:val="18"/>
              </w:rPr>
            </w:pPr>
            <w:r w:rsidRPr="00A65EF2">
              <w:rPr>
                <w:rFonts w:eastAsia="Times New Roman" w:cs="Times New Roman"/>
                <w:sz w:val="18"/>
                <w:szCs w:val="18"/>
                <w:lang w:val="en-US"/>
              </w:rPr>
              <w:t>4</w:t>
            </w:r>
            <w:r w:rsidRPr="00A65EF2">
              <w:rPr>
                <w:rFonts w:eastAsia="Times New Roman" w:cs="Times New Roman"/>
                <w:sz w:val="18"/>
                <w:szCs w:val="18"/>
              </w:rPr>
              <w:t>12185349</w:t>
            </w:r>
          </w:p>
        </w:tc>
        <w:tc>
          <w:tcPr>
            <w:tcW w:w="2952" w:type="dxa"/>
            <w:tcBorders>
              <w:right w:val="single" w:sz="8" w:space="0" w:color="auto"/>
            </w:tcBorders>
            <w:shd w:val="clear" w:color="auto" w:fill="auto"/>
            <w:vAlign w:val="center"/>
          </w:tcPr>
          <w:p w14:paraId="5F886DAD" w14:textId="77777777" w:rsidR="00A65EF2" w:rsidRPr="00A65EF2" w:rsidRDefault="001504B3" w:rsidP="00D13063">
            <w:pPr>
              <w:spacing w:after="0" w:line="240" w:lineRule="auto"/>
              <w:rPr>
                <w:rFonts w:eastAsia="Times New Roman" w:cs="Times New Roman"/>
                <w:sz w:val="18"/>
                <w:szCs w:val="18"/>
              </w:rPr>
            </w:pPr>
            <w:r>
              <w:rPr>
                <w:rFonts w:eastAsia="Times New Roman" w:cs="Times New Roman"/>
                <w:sz w:val="18"/>
                <w:szCs w:val="18"/>
              </w:rPr>
              <w:t>Carl</w:t>
            </w:r>
            <w:r w:rsidR="00A65EF2" w:rsidRPr="00A65EF2">
              <w:rPr>
                <w:rFonts w:eastAsia="Times New Roman" w:cs="Times New Roman"/>
                <w:sz w:val="18"/>
                <w:szCs w:val="18"/>
              </w:rPr>
              <w:t xml:space="preserve"> Roth</w:t>
            </w:r>
          </w:p>
        </w:tc>
      </w:tr>
      <w:tr w:rsidR="00A65EF2" w:rsidRPr="00A65EF2" w14:paraId="47E96304" w14:textId="77777777" w:rsidTr="00D13063">
        <w:trPr>
          <w:trHeight w:val="284"/>
        </w:trPr>
        <w:tc>
          <w:tcPr>
            <w:tcW w:w="3175" w:type="dxa"/>
            <w:tcBorders>
              <w:left w:val="single" w:sz="8" w:space="0" w:color="auto"/>
            </w:tcBorders>
            <w:shd w:val="clear" w:color="auto" w:fill="auto"/>
            <w:vAlign w:val="center"/>
          </w:tcPr>
          <w:p w14:paraId="4A3FD1B1" w14:textId="77777777" w:rsidR="00A65EF2" w:rsidRPr="00A65EF2" w:rsidRDefault="001504B3" w:rsidP="00D13063">
            <w:pPr>
              <w:spacing w:after="0" w:line="240" w:lineRule="auto"/>
              <w:rPr>
                <w:rFonts w:eastAsia="Times New Roman" w:cs="Times New Roman"/>
                <w:sz w:val="18"/>
                <w:szCs w:val="18"/>
              </w:rPr>
            </w:pPr>
            <w:r>
              <w:rPr>
                <w:rFonts w:eastAsia="Times New Roman" w:cs="Times New Roman"/>
                <w:sz w:val="18"/>
                <w:szCs w:val="18"/>
              </w:rPr>
              <w:t>Neosorb P60 W (Sorbitol)</w:t>
            </w:r>
          </w:p>
        </w:tc>
        <w:tc>
          <w:tcPr>
            <w:tcW w:w="2729" w:type="dxa"/>
            <w:shd w:val="clear" w:color="auto" w:fill="auto"/>
            <w:vAlign w:val="center"/>
          </w:tcPr>
          <w:p w14:paraId="0D5C4C8B" w14:textId="77777777" w:rsidR="00A65EF2" w:rsidRPr="00A65EF2" w:rsidRDefault="001504B3" w:rsidP="00D13063">
            <w:pPr>
              <w:spacing w:after="0" w:line="240" w:lineRule="auto"/>
              <w:jc w:val="center"/>
              <w:rPr>
                <w:rFonts w:eastAsia="Times New Roman" w:cs="Times New Roman"/>
                <w:sz w:val="18"/>
                <w:szCs w:val="18"/>
              </w:rPr>
            </w:pPr>
            <w:r>
              <w:rPr>
                <w:rFonts w:eastAsia="Times New Roman" w:cs="Times New Roman"/>
                <w:sz w:val="18"/>
                <w:szCs w:val="18"/>
              </w:rPr>
              <w:t>855002</w:t>
            </w:r>
          </w:p>
        </w:tc>
        <w:tc>
          <w:tcPr>
            <w:tcW w:w="2952" w:type="dxa"/>
            <w:tcBorders>
              <w:right w:val="single" w:sz="8" w:space="0" w:color="auto"/>
            </w:tcBorders>
            <w:shd w:val="clear" w:color="auto" w:fill="auto"/>
            <w:vAlign w:val="center"/>
          </w:tcPr>
          <w:p w14:paraId="28F130C9" w14:textId="77777777" w:rsidR="00A65EF2" w:rsidRPr="00A65EF2" w:rsidRDefault="001504B3" w:rsidP="00D13063">
            <w:pPr>
              <w:spacing w:after="0" w:line="240" w:lineRule="auto"/>
              <w:rPr>
                <w:rFonts w:eastAsia="Times New Roman" w:cs="Times New Roman"/>
                <w:sz w:val="18"/>
                <w:szCs w:val="18"/>
              </w:rPr>
            </w:pPr>
            <w:r>
              <w:rPr>
                <w:rFonts w:eastAsia="Times New Roman" w:cs="Times New Roman"/>
                <w:sz w:val="18"/>
                <w:szCs w:val="18"/>
              </w:rPr>
              <w:t>Roquette</w:t>
            </w:r>
          </w:p>
        </w:tc>
      </w:tr>
      <w:tr w:rsidR="00491612" w:rsidRPr="00A65EF2" w14:paraId="6391CF86" w14:textId="77777777" w:rsidTr="00D13063">
        <w:trPr>
          <w:trHeight w:val="284"/>
        </w:trPr>
        <w:tc>
          <w:tcPr>
            <w:tcW w:w="3175" w:type="dxa"/>
            <w:tcBorders>
              <w:left w:val="single" w:sz="8" w:space="0" w:color="auto"/>
            </w:tcBorders>
            <w:shd w:val="clear" w:color="auto" w:fill="auto"/>
            <w:vAlign w:val="center"/>
          </w:tcPr>
          <w:p w14:paraId="5F885BAE" w14:textId="77777777" w:rsidR="00491612" w:rsidRDefault="00491612" w:rsidP="00D13063">
            <w:pPr>
              <w:spacing w:after="0" w:line="240" w:lineRule="auto"/>
              <w:rPr>
                <w:rFonts w:eastAsia="Times New Roman" w:cs="Times New Roman"/>
                <w:sz w:val="18"/>
                <w:szCs w:val="18"/>
              </w:rPr>
            </w:pPr>
            <w:r>
              <w:rPr>
                <w:rFonts w:eastAsia="Times New Roman" w:cs="Times New Roman"/>
                <w:sz w:val="18"/>
                <w:szCs w:val="18"/>
              </w:rPr>
              <w:t>Isoleucin</w:t>
            </w:r>
          </w:p>
        </w:tc>
        <w:tc>
          <w:tcPr>
            <w:tcW w:w="2729" w:type="dxa"/>
            <w:shd w:val="clear" w:color="auto" w:fill="auto"/>
            <w:vAlign w:val="center"/>
          </w:tcPr>
          <w:p w14:paraId="0D320A24" w14:textId="77777777" w:rsidR="00491612" w:rsidRDefault="00491612" w:rsidP="00D13063">
            <w:pPr>
              <w:spacing w:after="0" w:line="240" w:lineRule="auto"/>
              <w:jc w:val="center"/>
              <w:rPr>
                <w:rFonts w:eastAsia="Times New Roman" w:cs="Times New Roman"/>
                <w:sz w:val="18"/>
                <w:szCs w:val="18"/>
              </w:rPr>
            </w:pPr>
            <w:r>
              <w:rPr>
                <w:rFonts w:eastAsia="Times New Roman" w:cs="Times New Roman"/>
                <w:sz w:val="18"/>
                <w:szCs w:val="18"/>
              </w:rPr>
              <w:t>K31912157 709</w:t>
            </w:r>
          </w:p>
        </w:tc>
        <w:tc>
          <w:tcPr>
            <w:tcW w:w="2952" w:type="dxa"/>
            <w:tcBorders>
              <w:right w:val="single" w:sz="8" w:space="0" w:color="auto"/>
            </w:tcBorders>
            <w:shd w:val="clear" w:color="auto" w:fill="auto"/>
            <w:vAlign w:val="center"/>
          </w:tcPr>
          <w:p w14:paraId="53BBB815" w14:textId="77777777" w:rsidR="00491612" w:rsidRDefault="00491612" w:rsidP="00D13063">
            <w:pPr>
              <w:spacing w:after="0" w:line="240" w:lineRule="auto"/>
              <w:rPr>
                <w:rFonts w:eastAsia="Times New Roman" w:cs="Times New Roman"/>
                <w:sz w:val="18"/>
                <w:szCs w:val="18"/>
              </w:rPr>
            </w:pPr>
            <w:r>
              <w:rPr>
                <w:rFonts w:eastAsia="Times New Roman" w:cs="Times New Roman"/>
                <w:sz w:val="18"/>
                <w:szCs w:val="18"/>
              </w:rPr>
              <w:t>Merck KGaA</w:t>
            </w:r>
          </w:p>
        </w:tc>
      </w:tr>
      <w:tr w:rsidR="00A65EF2" w:rsidRPr="00A65EF2" w14:paraId="4480326C" w14:textId="77777777" w:rsidTr="00D13063">
        <w:trPr>
          <w:trHeight w:val="284"/>
        </w:trPr>
        <w:tc>
          <w:tcPr>
            <w:tcW w:w="3175" w:type="dxa"/>
            <w:tcBorders>
              <w:left w:val="single" w:sz="8" w:space="0" w:color="auto"/>
            </w:tcBorders>
            <w:shd w:val="clear" w:color="auto" w:fill="auto"/>
            <w:vAlign w:val="center"/>
          </w:tcPr>
          <w:p w14:paraId="6BD335F9" w14:textId="77777777" w:rsidR="00A65EF2" w:rsidRPr="00A65EF2" w:rsidRDefault="00491612" w:rsidP="00D13063">
            <w:pPr>
              <w:spacing w:after="0" w:line="240" w:lineRule="auto"/>
              <w:rPr>
                <w:rFonts w:eastAsia="Times New Roman" w:cs="Times New Roman"/>
                <w:sz w:val="18"/>
                <w:szCs w:val="18"/>
              </w:rPr>
            </w:pPr>
            <w:r>
              <w:rPr>
                <w:rFonts w:eastAsia="Times New Roman" w:cs="Times New Roman"/>
                <w:sz w:val="18"/>
                <w:szCs w:val="18"/>
              </w:rPr>
              <w:t>hLF Peptidfragment</w:t>
            </w:r>
          </w:p>
        </w:tc>
        <w:tc>
          <w:tcPr>
            <w:tcW w:w="2729" w:type="dxa"/>
            <w:shd w:val="clear" w:color="auto" w:fill="auto"/>
            <w:vAlign w:val="center"/>
          </w:tcPr>
          <w:p w14:paraId="20CA79AF" w14:textId="77777777" w:rsidR="00A65EF2" w:rsidRPr="00A65EF2" w:rsidRDefault="00491612" w:rsidP="00D13063">
            <w:pPr>
              <w:spacing w:after="0" w:line="240" w:lineRule="auto"/>
              <w:jc w:val="center"/>
              <w:rPr>
                <w:rFonts w:eastAsia="Times New Roman" w:cs="Times New Roman"/>
                <w:sz w:val="18"/>
                <w:szCs w:val="18"/>
              </w:rPr>
            </w:pPr>
            <w:r>
              <w:rPr>
                <w:rFonts w:eastAsia="Times New Roman" w:cs="Times New Roman"/>
                <w:sz w:val="18"/>
                <w:szCs w:val="18"/>
              </w:rPr>
              <w:t>EV1-0901</w:t>
            </w:r>
          </w:p>
        </w:tc>
        <w:tc>
          <w:tcPr>
            <w:tcW w:w="2952" w:type="dxa"/>
            <w:tcBorders>
              <w:right w:val="single" w:sz="8" w:space="0" w:color="auto"/>
            </w:tcBorders>
            <w:shd w:val="clear" w:color="auto" w:fill="auto"/>
            <w:vAlign w:val="center"/>
          </w:tcPr>
          <w:p w14:paraId="12AAFB87" w14:textId="77777777" w:rsidR="00A65EF2" w:rsidRPr="00A65EF2" w:rsidRDefault="00491612" w:rsidP="00D13063">
            <w:pPr>
              <w:spacing w:after="0" w:line="240" w:lineRule="auto"/>
              <w:rPr>
                <w:rFonts w:eastAsia="Times New Roman" w:cs="Times New Roman"/>
                <w:sz w:val="18"/>
                <w:szCs w:val="18"/>
              </w:rPr>
            </w:pPr>
            <w:r>
              <w:rPr>
                <w:rFonts w:eastAsia="Times New Roman" w:cs="Times New Roman"/>
                <w:sz w:val="18"/>
                <w:szCs w:val="18"/>
              </w:rPr>
              <w:t>BCN Peptides</w:t>
            </w:r>
          </w:p>
        </w:tc>
      </w:tr>
      <w:tr w:rsidR="00A65EF2" w:rsidRPr="00A65EF2" w14:paraId="3D37A33C" w14:textId="77777777" w:rsidTr="00D13063">
        <w:trPr>
          <w:trHeight w:val="284"/>
        </w:trPr>
        <w:tc>
          <w:tcPr>
            <w:tcW w:w="3175" w:type="dxa"/>
            <w:tcBorders>
              <w:left w:val="single" w:sz="8" w:space="0" w:color="auto"/>
            </w:tcBorders>
            <w:shd w:val="clear" w:color="auto" w:fill="auto"/>
            <w:vAlign w:val="center"/>
          </w:tcPr>
          <w:p w14:paraId="051B44E9" w14:textId="77777777" w:rsidR="00A65EF2" w:rsidRPr="00A65EF2" w:rsidRDefault="00491612" w:rsidP="00D13063">
            <w:pPr>
              <w:spacing w:after="0" w:line="240" w:lineRule="auto"/>
              <w:rPr>
                <w:rFonts w:eastAsia="Times New Roman" w:cs="Times New Roman"/>
                <w:sz w:val="18"/>
                <w:szCs w:val="18"/>
              </w:rPr>
            </w:pPr>
            <w:r>
              <w:rPr>
                <w:rFonts w:eastAsia="Times New Roman" w:cs="Times New Roman"/>
                <w:sz w:val="18"/>
                <w:szCs w:val="18"/>
              </w:rPr>
              <w:t>Kohlenstoffdioxid Biogon C</w:t>
            </w:r>
          </w:p>
        </w:tc>
        <w:tc>
          <w:tcPr>
            <w:tcW w:w="2729" w:type="dxa"/>
            <w:shd w:val="clear" w:color="auto" w:fill="auto"/>
            <w:vAlign w:val="center"/>
          </w:tcPr>
          <w:p w14:paraId="022F52CC" w14:textId="77777777" w:rsidR="00A65EF2" w:rsidRPr="00A65EF2" w:rsidRDefault="00491612" w:rsidP="00D13063">
            <w:pPr>
              <w:spacing w:after="0" w:line="240" w:lineRule="auto"/>
              <w:jc w:val="center"/>
              <w:rPr>
                <w:rFonts w:eastAsia="Times New Roman" w:cs="Times New Roman"/>
                <w:sz w:val="18"/>
                <w:szCs w:val="18"/>
              </w:rPr>
            </w:pPr>
            <w:r>
              <w:rPr>
                <w:rFonts w:eastAsia="Times New Roman" w:cs="Times New Roman"/>
                <w:sz w:val="18"/>
                <w:szCs w:val="18"/>
              </w:rPr>
              <w:t>UN1013/GA376</w:t>
            </w:r>
          </w:p>
        </w:tc>
        <w:tc>
          <w:tcPr>
            <w:tcW w:w="2952" w:type="dxa"/>
            <w:tcBorders>
              <w:right w:val="single" w:sz="8" w:space="0" w:color="auto"/>
            </w:tcBorders>
            <w:shd w:val="clear" w:color="auto" w:fill="auto"/>
            <w:vAlign w:val="center"/>
          </w:tcPr>
          <w:p w14:paraId="6C881FC4" w14:textId="77777777" w:rsidR="00A65EF2" w:rsidRPr="00A65EF2" w:rsidRDefault="00491612" w:rsidP="00D13063">
            <w:pPr>
              <w:spacing w:after="0" w:line="240" w:lineRule="auto"/>
              <w:rPr>
                <w:rFonts w:eastAsia="Times New Roman" w:cs="Times New Roman"/>
                <w:sz w:val="18"/>
                <w:szCs w:val="18"/>
              </w:rPr>
            </w:pPr>
            <w:r>
              <w:rPr>
                <w:rFonts w:eastAsia="Times New Roman" w:cs="Times New Roman"/>
                <w:sz w:val="18"/>
                <w:szCs w:val="18"/>
              </w:rPr>
              <w:t>Linde</w:t>
            </w:r>
          </w:p>
        </w:tc>
      </w:tr>
      <w:tr w:rsidR="00491612" w:rsidRPr="00A65EF2" w14:paraId="7ED17D30" w14:textId="77777777" w:rsidTr="00D13063">
        <w:trPr>
          <w:trHeight w:val="284"/>
        </w:trPr>
        <w:tc>
          <w:tcPr>
            <w:tcW w:w="3175" w:type="dxa"/>
            <w:tcBorders>
              <w:left w:val="single" w:sz="8" w:space="0" w:color="auto"/>
            </w:tcBorders>
            <w:shd w:val="clear" w:color="auto" w:fill="auto"/>
            <w:vAlign w:val="center"/>
          </w:tcPr>
          <w:p w14:paraId="1A7DF71C" w14:textId="77777777" w:rsidR="00491612" w:rsidRDefault="00491612" w:rsidP="00D13063">
            <w:pPr>
              <w:spacing w:after="0" w:line="240" w:lineRule="auto"/>
              <w:rPr>
                <w:rFonts w:eastAsia="Times New Roman" w:cs="Times New Roman"/>
                <w:sz w:val="18"/>
                <w:szCs w:val="18"/>
              </w:rPr>
            </w:pPr>
            <w:r>
              <w:rPr>
                <w:rFonts w:eastAsia="Times New Roman" w:cs="Times New Roman"/>
                <w:sz w:val="18"/>
                <w:szCs w:val="18"/>
              </w:rPr>
              <w:t>Eudragit L 30 D-55</w:t>
            </w:r>
          </w:p>
        </w:tc>
        <w:tc>
          <w:tcPr>
            <w:tcW w:w="2729" w:type="dxa"/>
            <w:shd w:val="clear" w:color="auto" w:fill="auto"/>
            <w:vAlign w:val="center"/>
          </w:tcPr>
          <w:p w14:paraId="6D7DBD7E" w14:textId="77777777" w:rsidR="00491612" w:rsidRDefault="00491612" w:rsidP="00D13063">
            <w:pPr>
              <w:spacing w:after="0" w:line="240" w:lineRule="auto"/>
              <w:jc w:val="center"/>
              <w:rPr>
                <w:rFonts w:eastAsia="Times New Roman" w:cs="Times New Roman"/>
                <w:sz w:val="18"/>
                <w:szCs w:val="18"/>
              </w:rPr>
            </w:pPr>
            <w:r>
              <w:rPr>
                <w:rFonts w:eastAsia="Times New Roman" w:cs="Times New Roman"/>
                <w:sz w:val="18"/>
                <w:szCs w:val="18"/>
              </w:rPr>
              <w:t>B140314117</w:t>
            </w:r>
          </w:p>
        </w:tc>
        <w:tc>
          <w:tcPr>
            <w:tcW w:w="2952" w:type="dxa"/>
            <w:tcBorders>
              <w:right w:val="single" w:sz="8" w:space="0" w:color="auto"/>
            </w:tcBorders>
            <w:shd w:val="clear" w:color="auto" w:fill="auto"/>
            <w:vAlign w:val="center"/>
          </w:tcPr>
          <w:p w14:paraId="0BDB8031" w14:textId="77777777" w:rsidR="00491612" w:rsidRDefault="00491612" w:rsidP="00D13063">
            <w:pPr>
              <w:spacing w:after="0" w:line="240" w:lineRule="auto"/>
              <w:rPr>
                <w:rFonts w:eastAsia="Times New Roman" w:cs="Times New Roman"/>
                <w:sz w:val="18"/>
                <w:szCs w:val="18"/>
              </w:rPr>
            </w:pPr>
            <w:r>
              <w:rPr>
                <w:rFonts w:eastAsia="Times New Roman" w:cs="Times New Roman"/>
                <w:sz w:val="18"/>
                <w:szCs w:val="18"/>
              </w:rPr>
              <w:t>Evonik Industries AG</w:t>
            </w:r>
          </w:p>
        </w:tc>
      </w:tr>
      <w:tr w:rsidR="00A65EF2" w:rsidRPr="00A65EF2" w14:paraId="2B3F3F39" w14:textId="77777777" w:rsidTr="00D13063">
        <w:trPr>
          <w:trHeight w:val="284"/>
        </w:trPr>
        <w:tc>
          <w:tcPr>
            <w:tcW w:w="3175" w:type="dxa"/>
            <w:tcBorders>
              <w:left w:val="single" w:sz="8" w:space="0" w:color="auto"/>
              <w:bottom w:val="single" w:sz="8" w:space="0" w:color="auto"/>
            </w:tcBorders>
            <w:shd w:val="clear" w:color="auto" w:fill="auto"/>
            <w:vAlign w:val="center"/>
          </w:tcPr>
          <w:p w14:paraId="45BC8CC7" w14:textId="77777777" w:rsidR="00A65EF2" w:rsidRPr="00A65EF2" w:rsidRDefault="00491612" w:rsidP="00D13063">
            <w:pPr>
              <w:spacing w:after="0" w:line="240" w:lineRule="auto"/>
              <w:rPr>
                <w:rFonts w:eastAsia="Times New Roman" w:cs="Times New Roman"/>
                <w:sz w:val="18"/>
                <w:szCs w:val="18"/>
              </w:rPr>
            </w:pPr>
            <w:r>
              <w:rPr>
                <w:rFonts w:eastAsia="Times New Roman" w:cs="Times New Roman"/>
                <w:sz w:val="18"/>
                <w:szCs w:val="18"/>
              </w:rPr>
              <w:t>Ammoniaklösung 25%</w:t>
            </w:r>
          </w:p>
        </w:tc>
        <w:tc>
          <w:tcPr>
            <w:tcW w:w="2729" w:type="dxa"/>
            <w:tcBorders>
              <w:bottom w:val="single" w:sz="8" w:space="0" w:color="auto"/>
            </w:tcBorders>
            <w:shd w:val="clear" w:color="auto" w:fill="auto"/>
            <w:vAlign w:val="center"/>
          </w:tcPr>
          <w:p w14:paraId="6D718F53" w14:textId="77777777" w:rsidR="00A65EF2" w:rsidRPr="00A65EF2" w:rsidRDefault="00491612" w:rsidP="00D13063">
            <w:pPr>
              <w:spacing w:after="0" w:line="240" w:lineRule="auto"/>
              <w:jc w:val="center"/>
              <w:rPr>
                <w:rFonts w:eastAsia="Times New Roman" w:cs="Times New Roman"/>
                <w:sz w:val="18"/>
                <w:szCs w:val="18"/>
              </w:rPr>
            </w:pPr>
            <w:r>
              <w:rPr>
                <w:rFonts w:eastAsia="Times New Roman" w:cs="Times New Roman"/>
                <w:sz w:val="18"/>
                <w:szCs w:val="18"/>
              </w:rPr>
              <w:t>K45133932348</w:t>
            </w:r>
          </w:p>
        </w:tc>
        <w:tc>
          <w:tcPr>
            <w:tcW w:w="2952" w:type="dxa"/>
            <w:tcBorders>
              <w:bottom w:val="single" w:sz="8" w:space="0" w:color="auto"/>
              <w:right w:val="single" w:sz="8" w:space="0" w:color="auto"/>
            </w:tcBorders>
            <w:shd w:val="clear" w:color="auto" w:fill="auto"/>
            <w:vAlign w:val="center"/>
          </w:tcPr>
          <w:p w14:paraId="3894459C" w14:textId="77777777" w:rsidR="00A65EF2" w:rsidRPr="00A65EF2" w:rsidRDefault="00491612" w:rsidP="00D13063">
            <w:pPr>
              <w:spacing w:after="0" w:line="240" w:lineRule="auto"/>
              <w:rPr>
                <w:rFonts w:eastAsia="Times New Roman" w:cs="Times New Roman"/>
                <w:sz w:val="18"/>
                <w:szCs w:val="18"/>
              </w:rPr>
            </w:pPr>
            <w:r>
              <w:rPr>
                <w:rFonts w:eastAsia="Times New Roman" w:cs="Times New Roman"/>
                <w:sz w:val="18"/>
                <w:szCs w:val="18"/>
              </w:rPr>
              <w:t>Merck KGaA</w:t>
            </w:r>
          </w:p>
        </w:tc>
      </w:tr>
    </w:tbl>
    <w:p w14:paraId="34694779" w14:textId="77777777" w:rsidR="00A65EF2" w:rsidRDefault="00A65EF2" w:rsidP="00A65EF2"/>
    <w:p w14:paraId="45E7B7A9" w14:textId="77777777" w:rsidR="006A241B" w:rsidRPr="00A65EF2" w:rsidRDefault="006A241B" w:rsidP="00A65EF2"/>
    <w:p w14:paraId="657DABE7" w14:textId="77777777" w:rsidR="00322E64" w:rsidRDefault="00E917B9" w:rsidP="006A241B">
      <w:pPr>
        <w:pStyle w:val="berschrift1"/>
        <w:spacing w:after="360"/>
        <w:ind w:left="357" w:hanging="357"/>
      </w:pPr>
      <w:bookmarkStart w:id="110" w:name="_Ref272961474"/>
      <w:bookmarkStart w:id="111" w:name="_Toc294380194"/>
      <w:r w:rsidRPr="003B37C5">
        <w:lastRenderedPageBreak/>
        <w:t xml:space="preserve">Formulierung </w:t>
      </w:r>
      <w:r w:rsidR="00FA375F">
        <w:t>und Charakterisierung nanopartikulärer Trägersysteme</w:t>
      </w:r>
      <w:bookmarkEnd w:id="110"/>
      <w:bookmarkEnd w:id="111"/>
    </w:p>
    <w:p w14:paraId="2138B122" w14:textId="77777777" w:rsidR="000C2F96" w:rsidRDefault="004767A9" w:rsidP="000C2F96">
      <w:r>
        <w:t>Auf Basis des Literaturstudiums, dessen Ergebnisse in der Einleitung dieser Arbeit zusammengefasst wurden, wird als Konzept zur Bioverfügbarkeitserhöhung von Peptiden die Formulierung von nanoskaligen polymeren Wirkstoffträgern zur peroralen Applikati</w:t>
      </w:r>
      <w:r w:rsidR="007B1EEE">
        <w:t>on verfolgt. Die Partikel sollen</w:t>
      </w:r>
      <w:r>
        <w:t xml:space="preserve"> dem Wirkstoff als Carrier zum erleichterten Übertritt über die epitheliale Darmbarriere und zum Schutz vor einem Abbau durch Verdauungsenzyme</w:t>
      </w:r>
      <w:r w:rsidR="007B1EEE">
        <w:t xml:space="preserve"> dienen</w:t>
      </w:r>
      <w:r>
        <w:t xml:space="preserve">. </w:t>
      </w:r>
      <w:r w:rsidR="007B1EEE">
        <w:t>Aufg</w:t>
      </w:r>
      <w:r w:rsidR="000F6F2F">
        <w:t>rund der</w:t>
      </w:r>
      <w:r w:rsidR="00351516">
        <w:t xml:space="preserve"> in Kapitel </w:t>
      </w:r>
      <w:r w:rsidR="00D16240">
        <w:fldChar w:fldCharType="begin"/>
      </w:r>
      <w:r w:rsidR="00351516">
        <w:instrText xml:space="preserve"> REF _Ref269142974 \r \h </w:instrText>
      </w:r>
      <w:r w:rsidR="00D16240">
        <w:fldChar w:fldCharType="separate"/>
      </w:r>
      <w:r w:rsidR="00711AB8">
        <w:t>3</w:t>
      </w:r>
      <w:r w:rsidR="00D16240">
        <w:fldChar w:fldCharType="end"/>
      </w:r>
      <w:r w:rsidR="00351516">
        <w:t xml:space="preserve"> beschriebenen Materialeigenschaften</w:t>
      </w:r>
      <w:r w:rsidR="003E07D5">
        <w:t xml:space="preserve"> wurden bioabbaubare Polyester</w:t>
      </w:r>
      <w:r w:rsidR="00B002D6">
        <w:t xml:space="preserve"> und Polyesteramide</w:t>
      </w:r>
      <w:r w:rsidR="003E07D5">
        <w:t xml:space="preserve"> auf Basis von Polylactid und Polyglycolid</w:t>
      </w:r>
      <w:r w:rsidR="00351516">
        <w:t xml:space="preserve"> als Trägerma</w:t>
      </w:r>
      <w:r w:rsidR="003E07D5">
        <w:t>terialien für den Modellwirkstoff</w:t>
      </w:r>
      <w:r w:rsidR="00A140CC">
        <w:t xml:space="preserve"> ausgewählt. Die ausschlag</w:t>
      </w:r>
      <w:r w:rsidR="000F6F2F">
        <w:t>gebenden Faktoren</w:t>
      </w:r>
      <w:r w:rsidR="00A140CC">
        <w:t xml:space="preserve"> </w:t>
      </w:r>
      <w:r w:rsidR="005552E5">
        <w:t xml:space="preserve">hierbei </w:t>
      </w:r>
      <w:r w:rsidR="00A140CC">
        <w:t>waren</w:t>
      </w:r>
      <w:r w:rsidR="00351516">
        <w:t xml:space="preserve"> im Wes</w:t>
      </w:r>
      <w:r w:rsidR="00991323">
        <w:t>entlichen die Biokompatibilität</w:t>
      </w:r>
      <w:r w:rsidR="00351516">
        <w:t>, die Bioabbaubarkeit</w:t>
      </w:r>
      <w:r w:rsidR="00EA47C9">
        <w:t>, eine variable</w:t>
      </w:r>
      <w:r w:rsidR="00673CD9">
        <w:t xml:space="preserve"> Freisetzungskinetik</w:t>
      </w:r>
      <w:r w:rsidR="00EA47C9">
        <w:t xml:space="preserve"> je nach Zusammensetzung</w:t>
      </w:r>
      <w:r w:rsidR="00991323">
        <w:t xml:space="preserve"> des Polymers</w:t>
      </w:r>
      <w:r w:rsidR="00351516">
        <w:t xml:space="preserve"> sowie die </w:t>
      </w:r>
      <w:r w:rsidR="00697604">
        <w:t>Möglichkeit zur Formulierung von</w:t>
      </w:r>
      <w:r w:rsidR="00351516">
        <w:t xml:space="preserve"> nanoskalige</w:t>
      </w:r>
      <w:r w:rsidR="00697604">
        <w:t>n</w:t>
      </w:r>
      <w:r w:rsidR="00D71962">
        <w:t xml:space="preserve"> Arzneistoffträgern</w:t>
      </w:r>
      <w:r w:rsidR="00351516">
        <w:t>.</w:t>
      </w:r>
      <w:r w:rsidR="00080FF0">
        <w:t xml:space="preserve"> Im Anschluss an die Methodenentwicklung und Erstellung de</w:t>
      </w:r>
      <w:r w:rsidR="00F678AB">
        <w:t>r Referenzformulierungen mit</w:t>
      </w:r>
      <w:r w:rsidR="007B1EEE">
        <w:t xml:space="preserve"> handelsüblichen PLGA Polymeren</w:t>
      </w:r>
      <w:r w:rsidR="00080FF0">
        <w:t xml:space="preserve"> wurden </w:t>
      </w:r>
      <w:r w:rsidR="000C6C74">
        <w:t>die Methoden für die neuen</w:t>
      </w:r>
      <w:r w:rsidR="00080FF0">
        <w:t xml:space="preserve"> </w:t>
      </w:r>
      <w:r w:rsidR="000F6F2F">
        <w:t xml:space="preserve">PEA </w:t>
      </w:r>
      <w:r w:rsidR="00D71962">
        <w:t>Polymere angepasst und</w:t>
      </w:r>
      <w:r w:rsidR="000C6C74">
        <w:t xml:space="preserve"> Formulierung</w:t>
      </w:r>
      <w:r w:rsidR="000F6F2F">
        <w:t>en mit dem Modellpeptid hergestellt</w:t>
      </w:r>
      <w:r w:rsidR="000C6C74">
        <w:t xml:space="preserve"> und</w:t>
      </w:r>
      <w:r w:rsidR="000F6F2F">
        <w:t xml:space="preserve"> umfassend</w:t>
      </w:r>
      <w:r w:rsidR="000C6C74">
        <w:t xml:space="preserve"> charakterisiert.</w:t>
      </w:r>
    </w:p>
    <w:p w14:paraId="16F034A1" w14:textId="77777777" w:rsidR="009879B2" w:rsidRDefault="00C86088" w:rsidP="009317EA">
      <w:r>
        <w:t>In die Diskussion der optimalen Partikelgröße fließen unterschiedliche Faktor</w:t>
      </w:r>
      <w:r w:rsidR="0024687E">
        <w:t>en ein: Aufnahme der Partikel durch</w:t>
      </w:r>
      <w:r>
        <w:t xml:space="preserve"> </w:t>
      </w:r>
      <w:r w:rsidR="00C9314F">
        <w:t>die Enterozyten</w:t>
      </w:r>
      <w:r>
        <w:t>, Wirkstoffbeladungsgrad, regulatorische Aspekte hinsichtlich der Sicherheit sowie Schutz des eingekapselten Wirkstoffes vor Verdauungsenzymen. Zusammenfassend ist davon auszugehen, dass Partikel mit einer Größe von mehr als 500 nm nicht effizient von Ep</w:t>
      </w:r>
      <w:r w:rsidR="00561437">
        <w:t>ithelzellen aufgenommen werden</w:t>
      </w:r>
      <w:r w:rsidR="00697604">
        <w:t xml:space="preserve"> können</w:t>
      </w:r>
      <w:r w:rsidR="00561437">
        <w:t xml:space="preserve">. Der von Desai et al. als optimal für die intestinale Resorption beschriebene Partikeldurchmesser zwischen 100 nm und 200 nm bewegt sich </w:t>
      </w:r>
      <w:r w:rsidR="009879B2">
        <w:t xml:space="preserve">jedoch </w:t>
      </w:r>
      <w:r w:rsidR="00561437">
        <w:t>au</w:t>
      </w:r>
      <w:r w:rsidR="004767A9">
        <w:t>s regulatorischer Sicht sehr dicht</w:t>
      </w:r>
      <w:r w:rsidR="00561437">
        <w:t xml:space="preserve"> an der Grenze zur Sicherheitsbedenklichkeit</w:t>
      </w:r>
      <w:r w:rsidR="000B7ED8">
        <w:rPr>
          <w:rStyle w:val="Endnotenzeichen"/>
        </w:rPr>
        <w:endnoteReference w:id="111"/>
      </w:r>
      <w:r w:rsidR="00561437">
        <w:t>.</w:t>
      </w:r>
      <w:r w:rsidR="004767A9">
        <w:t xml:space="preserve"> </w:t>
      </w:r>
      <w:r w:rsidR="009317EA">
        <w:t>Das „Scientific Committee on Emerging and Newly Identified Health Risks“ (SCENIHR) hat im Auftrag der Europäischen Kommission eine wissenschaftliche Grundlage zur Beurteilung der Sicherheit von Nanomaterialien ausgearbeitet</w:t>
      </w:r>
      <w:r w:rsidR="0024687E">
        <w:rPr>
          <w:rStyle w:val="Endnotenzeichen"/>
        </w:rPr>
        <w:endnoteReference w:id="112"/>
      </w:r>
      <w:r w:rsidR="009317EA">
        <w:t>. Das Komitee kam zu dem Ergebnis, dass bei einem mittleren Partikeldurchmesser von weniger als 100 nm</w:t>
      </w:r>
      <w:r w:rsidR="009879B2">
        <w:t xml:space="preserve"> (Kategorie 3)</w:t>
      </w:r>
      <w:r w:rsidR="009317EA">
        <w:t xml:space="preserve"> grundsätzlich eine nanospezifische Risikobeurteilung durchzuführen ist. </w:t>
      </w:r>
      <w:r w:rsidR="009879B2">
        <w:t>Liegt der mittlere Partikeldurchmesser zwischen 100 nm und 500 nm (Kategorie 2), so ist eine nanospezifische Risikobeurteilung nur dann erforderlich, falls entsprechend der anzahlgewichteten Partikelgrößenverteilung ein Anteil an Partikeln von mehr als 0,15% eine Größe von weniger als 100 nm aufweist.</w:t>
      </w:r>
      <w:r w:rsidR="000251EC">
        <w:t xml:space="preserve"> Dies kann bei einer mittleren Partikelgröße vo</w:t>
      </w:r>
      <w:r w:rsidR="00F7717B">
        <w:t>n weniger als 200 nm kaum ausgeschlossen</w:t>
      </w:r>
      <w:r w:rsidR="000251EC">
        <w:t xml:space="preserve"> werden. Die exakte Kontrolle der Partikelgröße innerhalb enger Grenzen </w:t>
      </w:r>
      <w:r w:rsidR="0024687E">
        <w:t>ist vor diesem Hintergrund essentiell wichtig.</w:t>
      </w:r>
    </w:p>
    <w:p w14:paraId="181FBEB6" w14:textId="77777777" w:rsidR="009879B2" w:rsidRDefault="009879B2" w:rsidP="009317EA">
      <w:r>
        <w:lastRenderedPageBreak/>
        <w:t>Unter Berücksichtigung de</w:t>
      </w:r>
      <w:r w:rsidR="000251EC">
        <w:t>r physiologischen Gegebenheiten sowie</w:t>
      </w:r>
      <w:r>
        <w:t xml:space="preserve"> der regulatorisch</w:t>
      </w:r>
      <w:r w:rsidR="000251EC">
        <w:t>en u</w:t>
      </w:r>
      <w:r w:rsidR="00080FF0">
        <w:t>nd pharmazeutischen Aspekte wurde</w:t>
      </w:r>
      <w:r w:rsidR="000251EC">
        <w:t xml:space="preserve"> für die Formulierung der Wirkstoffträger ein mittlerer Partikeldurchmesser zwische</w:t>
      </w:r>
      <w:r w:rsidR="00762898">
        <w:t>n 200 nm und 5</w:t>
      </w:r>
      <w:r w:rsidR="009736AE">
        <w:t>00</w:t>
      </w:r>
      <w:r w:rsidR="0024687E">
        <w:t> nm angestrebt.</w:t>
      </w:r>
    </w:p>
    <w:p w14:paraId="14E404C4" w14:textId="77777777" w:rsidR="004B0A79" w:rsidRPr="000C2F96" w:rsidRDefault="004B0A79" w:rsidP="009317EA">
      <w:r>
        <w:t>Weiterhin sollte untersucht werden, ob durch Anlagerung eines zellp</w:t>
      </w:r>
      <w:r w:rsidR="00F71178">
        <w:t>enetrierenden Peptides (CPP) an</w:t>
      </w:r>
      <w:r>
        <w:t xml:space="preserve"> die Oberfläche von PLGA Partikeln die Aufnahme von Nanopartikeln in Zellen verstärkt</w:t>
      </w:r>
      <w:r w:rsidR="00EC5366">
        <w:t xml:space="preserve"> werden kann. Dazu wurde ein</w:t>
      </w:r>
      <w:r>
        <w:t xml:space="preserve"> Fragment </w:t>
      </w:r>
      <w:r w:rsidR="00EC5366">
        <w:t xml:space="preserve">des hLF Peptids </w:t>
      </w:r>
      <w:r>
        <w:t>als CPP ausgewählt.</w:t>
      </w:r>
    </w:p>
    <w:p w14:paraId="0A9792F8" w14:textId="77777777" w:rsidR="005C4647" w:rsidRDefault="005C4647" w:rsidP="00B90911">
      <w:pPr>
        <w:pStyle w:val="berschrift2"/>
      </w:pPr>
      <w:r w:rsidRPr="003B37C5">
        <w:tab/>
      </w:r>
      <w:bookmarkStart w:id="112" w:name="_Ref273309973"/>
      <w:bookmarkStart w:id="113" w:name="_Toc294380195"/>
      <w:r w:rsidRPr="003B37C5">
        <w:t>Methoden</w:t>
      </w:r>
      <w:bookmarkEnd w:id="112"/>
      <w:bookmarkEnd w:id="113"/>
    </w:p>
    <w:p w14:paraId="73EDFDAC" w14:textId="77777777" w:rsidR="004877C9" w:rsidRDefault="00A70407" w:rsidP="00A70407">
      <w:r>
        <w:t>Die wichtigsten Anforderungen an die Herstellungsmethoden der Partikelformulierungen sind die Gewährleistung einer hohen pharmazeutischen Qualität der Produkte, eine möglichst exakte und gut reproduzierbare Einstellung der Partikelgröße mit einer engen und monom</w:t>
      </w:r>
      <w:r w:rsidR="00EC5366">
        <w:t>odalen Partikelgrößenverteilung</w:t>
      </w:r>
      <w:r>
        <w:t xml:space="preserve"> sowie eine hohe Verkapselungse</w:t>
      </w:r>
      <w:r w:rsidR="00EC5366">
        <w:t>ffizienz für gut wasserlösliche</w:t>
      </w:r>
      <w:r>
        <w:t xml:space="preserve"> aber</w:t>
      </w:r>
      <w:r w:rsidR="006F3F26">
        <w:t xml:space="preserve"> schlecht permeable Wirkstoffe der BCS Klasse III</w:t>
      </w:r>
      <w:r>
        <w:t xml:space="preserve"> wie beispielsweise Desmopressin. </w:t>
      </w:r>
      <w:r w:rsidR="00E05AF0">
        <w:t xml:space="preserve">Von essentieller Bedeutung ist außerdem die Bereitstellung eines lagerstabilen Produktes, </w:t>
      </w:r>
      <w:r w:rsidR="0058634B">
        <w:t xml:space="preserve">sodass bei der späteren Anwendung der Formulierung eine </w:t>
      </w:r>
      <w:r w:rsidR="00AC48D0">
        <w:t>Red</w:t>
      </w:r>
      <w:r w:rsidR="0058634B">
        <w:t>ispergierung der unveränderten Primärpartikel ohne Agglomeration oder Abbau der Bestandteile sichergestellt werden kann.</w:t>
      </w:r>
      <w:r w:rsidR="00DA5BCE">
        <w:t xml:space="preserve"> </w:t>
      </w:r>
      <w:r w:rsidR="00871C00">
        <w:t>Ein</w:t>
      </w:r>
      <w:r w:rsidR="001A3588">
        <w:t xml:space="preserve"> wei</w:t>
      </w:r>
      <w:r w:rsidR="00E50563">
        <w:t>teres Zie</w:t>
      </w:r>
      <w:r w:rsidR="00492C6B">
        <w:t>l war die Entwicklung</w:t>
      </w:r>
      <w:r w:rsidR="00E50563">
        <w:t xml:space="preserve"> einer</w:t>
      </w:r>
      <w:r w:rsidR="00492C6B">
        <w:t xml:space="preserve"> Herstellungsmethode</w:t>
      </w:r>
      <w:r w:rsidR="001A3588">
        <w:t>, die ein hohes Potential zur Übertragung auf industr</w:t>
      </w:r>
      <w:r w:rsidR="00871C00">
        <w:t>ielle Produktionsmaßstäbe besitzt</w:t>
      </w:r>
      <w:r w:rsidR="001A3588">
        <w:t xml:space="preserve">. </w:t>
      </w:r>
    </w:p>
    <w:p w14:paraId="0C299790" w14:textId="77777777" w:rsidR="00A70407" w:rsidRDefault="00DA5BCE" w:rsidP="00A70407">
      <w:r>
        <w:t>Die Auswahl der Herstellungsmethode</w:t>
      </w:r>
      <w:r w:rsidR="001A3588">
        <w:t>n</w:t>
      </w:r>
      <w:r>
        <w:t xml:space="preserve"> und deren</w:t>
      </w:r>
      <w:r w:rsidR="00F678AB">
        <w:t xml:space="preserve"> Beschreibung erfolgt in Abschnitt</w:t>
      </w:r>
      <w:r>
        <w:t> </w:t>
      </w:r>
      <w:r w:rsidR="00D16240">
        <w:fldChar w:fldCharType="begin"/>
      </w:r>
      <w:r>
        <w:instrText xml:space="preserve"> REF _Ref273306666 \n \h </w:instrText>
      </w:r>
      <w:r w:rsidR="00D16240">
        <w:fldChar w:fldCharType="separate"/>
      </w:r>
      <w:r w:rsidR="00711AB8">
        <w:t>4.1.1</w:t>
      </w:r>
      <w:r w:rsidR="00D16240">
        <w:fldChar w:fldCharType="end"/>
      </w:r>
      <w:r>
        <w:t>. Die Weiterverarbeitung der hergestellten Pa</w:t>
      </w:r>
      <w:r w:rsidR="00F678AB">
        <w:t>rtikelkerne wird in den Abschnitten</w:t>
      </w:r>
      <w:r>
        <w:t> </w:t>
      </w:r>
      <w:r w:rsidR="00D16240">
        <w:fldChar w:fldCharType="begin"/>
      </w:r>
      <w:r>
        <w:instrText xml:space="preserve"> REF _Ref273306680 \n \h </w:instrText>
      </w:r>
      <w:r w:rsidR="00D16240">
        <w:fldChar w:fldCharType="separate"/>
      </w:r>
      <w:r w:rsidR="00711AB8">
        <w:t>4.1.2</w:t>
      </w:r>
      <w:r w:rsidR="00D16240">
        <w:fldChar w:fldCharType="end"/>
      </w:r>
      <w:r>
        <w:t xml:space="preserve"> (Beschichtung</w:t>
      </w:r>
      <w:r w:rsidR="00F678AB">
        <w:t xml:space="preserve"> der Partikel</w:t>
      </w:r>
      <w:r>
        <w:t xml:space="preserve">), </w:t>
      </w:r>
      <w:r w:rsidR="00D16240">
        <w:fldChar w:fldCharType="begin"/>
      </w:r>
      <w:r>
        <w:instrText xml:space="preserve"> REF _Ref273306682 \n \h </w:instrText>
      </w:r>
      <w:r w:rsidR="00D16240">
        <w:fldChar w:fldCharType="separate"/>
      </w:r>
      <w:r w:rsidR="00711AB8">
        <w:t>4.1.3</w:t>
      </w:r>
      <w:r w:rsidR="00D16240">
        <w:fldChar w:fldCharType="end"/>
      </w:r>
      <w:r>
        <w:t xml:space="preserve"> (Gefriertrocknung) und </w:t>
      </w:r>
      <w:r w:rsidR="00D16240">
        <w:fldChar w:fldCharType="begin"/>
      </w:r>
      <w:r>
        <w:instrText xml:space="preserve"> REF _Ref272679741 \n \h </w:instrText>
      </w:r>
      <w:r w:rsidR="00D16240">
        <w:fldChar w:fldCharType="separate"/>
      </w:r>
      <w:r w:rsidR="00711AB8">
        <w:t>4.1.4</w:t>
      </w:r>
      <w:r w:rsidR="00D16240">
        <w:fldChar w:fldCharType="end"/>
      </w:r>
      <w:r>
        <w:t xml:space="preserve"> (Sprühtrocknung) beschrieben.</w:t>
      </w:r>
    </w:p>
    <w:p w14:paraId="32A82E54" w14:textId="77777777" w:rsidR="001F5583" w:rsidRDefault="00F678AB" w:rsidP="001F5583">
      <w:r>
        <w:t>Um die genannten</w:t>
      </w:r>
      <w:r w:rsidR="001F5583">
        <w:t xml:space="preserve"> Anforderungen</w:t>
      </w:r>
      <w:r w:rsidR="006F3F26">
        <w:t xml:space="preserve"> um</w:t>
      </w:r>
      <w:r w:rsidR="00B417E0">
        <w:t>setzen zu können, mussten die</w:t>
      </w:r>
      <w:r w:rsidR="006F3F26">
        <w:t xml:space="preserve"> in ihren</w:t>
      </w:r>
      <w:r w:rsidR="001F5583">
        <w:t xml:space="preserve"> Prinzip</w:t>
      </w:r>
      <w:r w:rsidR="006F3F26">
        <w:t>ien weitgehend literaturbekannte</w:t>
      </w:r>
      <w:r w:rsidR="00B417E0">
        <w:t>n</w:t>
      </w:r>
      <w:r w:rsidR="001F5583">
        <w:t xml:space="preserve"> Methoden optimiert, weiter</w:t>
      </w:r>
      <w:r w:rsidR="006F3F26">
        <w:t>entwickelt und angepasst werden</w:t>
      </w:r>
      <w:r>
        <w:t>.</w:t>
      </w:r>
      <w:r w:rsidR="00492C6B">
        <w:t xml:space="preserve"> In diesem Zusammenhang</w:t>
      </w:r>
      <w:r w:rsidR="00B417E0">
        <w:t xml:space="preserve"> wurden Methoden zur Partikel- und Wirkstoffanalytik angewendet</w:t>
      </w:r>
      <w:r w:rsidR="00492C6B">
        <w:t xml:space="preserve">. Schließlich </w:t>
      </w:r>
      <w:r w:rsidR="001F5583">
        <w:t>wurden die nanopartikulären Formulierungen sehr umfassend charakterisiert. Die dazu benötigten Testmodelle und ana</w:t>
      </w:r>
      <w:r w:rsidR="001028E5">
        <w:t>lytischen</w:t>
      </w:r>
      <w:r w:rsidR="007D2B29">
        <w:t xml:space="preserve"> Methoden werden in den Abschnitten</w:t>
      </w:r>
      <w:r w:rsidR="001028E5">
        <w:t> </w:t>
      </w:r>
      <w:r w:rsidR="00D16240">
        <w:fldChar w:fldCharType="begin"/>
      </w:r>
      <w:r w:rsidR="001028E5">
        <w:instrText xml:space="preserve"> REF _Ref272679469 \n \h </w:instrText>
      </w:r>
      <w:r w:rsidR="00D16240">
        <w:fldChar w:fldCharType="separate"/>
      </w:r>
      <w:r w:rsidR="00711AB8">
        <w:t>4.1.5</w:t>
      </w:r>
      <w:r w:rsidR="00D16240">
        <w:fldChar w:fldCharType="end"/>
      </w:r>
      <w:r w:rsidR="001028E5">
        <w:t xml:space="preserve"> (Partikel- und Wirkstoffanalytik), </w:t>
      </w:r>
      <w:r w:rsidR="00D16240">
        <w:fldChar w:fldCharType="begin"/>
      </w:r>
      <w:r w:rsidR="001028E5">
        <w:instrText xml:space="preserve"> REF _Ref273305455 \n \h </w:instrText>
      </w:r>
      <w:r w:rsidR="00D16240">
        <w:fldChar w:fldCharType="separate"/>
      </w:r>
      <w:r w:rsidR="00711AB8">
        <w:t>4.1.6</w:t>
      </w:r>
      <w:r w:rsidR="00D16240">
        <w:fldChar w:fldCharType="end"/>
      </w:r>
      <w:r w:rsidR="001028E5">
        <w:t xml:space="preserve"> (</w:t>
      </w:r>
      <w:r w:rsidR="001028E5" w:rsidRPr="001028E5">
        <w:rPr>
          <w:i/>
        </w:rPr>
        <w:t>in vitro</w:t>
      </w:r>
      <w:r w:rsidR="00DA5BCE">
        <w:t>-</w:t>
      </w:r>
      <w:r w:rsidR="001028E5">
        <w:t xml:space="preserve">Tests) und </w:t>
      </w:r>
      <w:r w:rsidR="00D16240">
        <w:fldChar w:fldCharType="begin"/>
      </w:r>
      <w:r w:rsidR="001028E5">
        <w:instrText xml:space="preserve"> REF _Ref273305458 \n \h </w:instrText>
      </w:r>
      <w:r w:rsidR="00D16240">
        <w:fldChar w:fldCharType="separate"/>
      </w:r>
      <w:r w:rsidR="00711AB8">
        <w:t>4.1.7</w:t>
      </w:r>
      <w:r w:rsidR="00D16240">
        <w:fldChar w:fldCharType="end"/>
      </w:r>
      <w:r w:rsidR="001028E5">
        <w:t xml:space="preserve"> (</w:t>
      </w:r>
      <w:r w:rsidR="001028E5">
        <w:rPr>
          <w:i/>
        </w:rPr>
        <w:t>in vivo</w:t>
      </w:r>
      <w:r w:rsidR="00DA5BCE">
        <w:t>-</w:t>
      </w:r>
      <w:r w:rsidR="001028E5">
        <w:t>Tests) genauer beschrieben.</w:t>
      </w:r>
    </w:p>
    <w:p w14:paraId="79061D23" w14:textId="77777777" w:rsidR="002E5767" w:rsidRDefault="002E5767" w:rsidP="001F5583">
      <w:r>
        <w:t>Darüber hinaus wurde ein</w:t>
      </w:r>
      <w:r w:rsidR="000B7ED8">
        <w:t xml:space="preserve"> quasi-</w:t>
      </w:r>
      <w:r w:rsidR="00B77857">
        <w:t xml:space="preserve">kontinuierliches </w:t>
      </w:r>
      <w:r>
        <w:t>Herstellungsverfahren von Polymernanopartikeln</w:t>
      </w:r>
      <w:r w:rsidR="00B77857">
        <w:t xml:space="preserve"> entwickelt, um einen innovativen und effizienten Prozess mit hervorragenden Möglichkeiten zur Übertragung auf industrielle Produktionsmaßstäbe bereitstellen zu können. Die Entwicklung dieses Verfahrens wird gesondert in Kapitel </w:t>
      </w:r>
      <w:r w:rsidR="00D16240">
        <w:fldChar w:fldCharType="begin"/>
      </w:r>
      <w:r w:rsidR="00B77857">
        <w:instrText xml:space="preserve"> REF _Ref269138638 \n \h </w:instrText>
      </w:r>
      <w:r w:rsidR="00D16240">
        <w:fldChar w:fldCharType="separate"/>
      </w:r>
      <w:r w:rsidR="00711AB8">
        <w:t>4.6</w:t>
      </w:r>
      <w:r w:rsidR="00D16240">
        <w:fldChar w:fldCharType="end"/>
      </w:r>
      <w:r w:rsidR="00B77857">
        <w:t xml:space="preserve"> beschrieben.</w:t>
      </w:r>
    </w:p>
    <w:p w14:paraId="7A98B2A2" w14:textId="77777777" w:rsidR="00171F86" w:rsidRDefault="004C4579" w:rsidP="00996F38">
      <w:pPr>
        <w:pStyle w:val="berschrift3"/>
      </w:pPr>
      <w:bookmarkStart w:id="114" w:name="_Ref272427995"/>
      <w:bookmarkStart w:id="115" w:name="_Ref273306666"/>
      <w:bookmarkStart w:id="116" w:name="_Toc294380196"/>
      <w:r>
        <w:lastRenderedPageBreak/>
        <w:t>Herstellung</w:t>
      </w:r>
      <w:r w:rsidR="00E917B9">
        <w:t xml:space="preserve"> </w:t>
      </w:r>
      <w:r w:rsidR="001F5583">
        <w:t xml:space="preserve">von </w:t>
      </w:r>
      <w:r w:rsidR="00E917B9">
        <w:t>Polymern</w:t>
      </w:r>
      <w:r w:rsidR="00BC1A49" w:rsidRPr="00BC1A49">
        <w:t>anopartikel</w:t>
      </w:r>
      <w:bookmarkEnd w:id="114"/>
      <w:r w:rsidR="001F5583">
        <w:t>n</w:t>
      </w:r>
      <w:bookmarkEnd w:id="115"/>
      <w:bookmarkEnd w:id="116"/>
    </w:p>
    <w:p w14:paraId="4F09F8D9" w14:textId="77777777" w:rsidR="0030578C" w:rsidRPr="007C61EF" w:rsidRDefault="0030578C" w:rsidP="007C61EF">
      <w:pPr>
        <w:spacing w:after="120"/>
        <w:rPr>
          <w:rFonts w:cs="Times New Roman"/>
          <w:szCs w:val="24"/>
        </w:rPr>
      </w:pPr>
      <w:r w:rsidRPr="007C61EF">
        <w:rPr>
          <w:rFonts w:cs="Times New Roman"/>
          <w:szCs w:val="24"/>
        </w:rPr>
        <w:t>Zur Herstellung von Polymerpartikeln werden in der Literatur zwei prinzipielle Vorgehensweisen beschrieben:</w:t>
      </w:r>
    </w:p>
    <w:p w14:paraId="4C9C6A62" w14:textId="77777777" w:rsidR="0030578C" w:rsidRPr="007C61EF" w:rsidRDefault="0030578C" w:rsidP="007C61EF">
      <w:pPr>
        <w:numPr>
          <w:ilvl w:val="0"/>
          <w:numId w:val="1"/>
        </w:numPr>
        <w:spacing w:after="120"/>
        <w:rPr>
          <w:rFonts w:cs="Times New Roman"/>
          <w:szCs w:val="24"/>
        </w:rPr>
      </w:pPr>
      <w:r w:rsidRPr="007C61EF">
        <w:rPr>
          <w:rFonts w:cs="Times New Roman"/>
          <w:szCs w:val="24"/>
        </w:rPr>
        <w:t>Formung der Partikel während der Polymerisation (z.B. bei der Suspensionspolymerisation</w:t>
      </w:r>
      <w:r w:rsidRPr="007C61EF">
        <w:rPr>
          <w:rFonts w:cs="Times New Roman"/>
          <w:szCs w:val="24"/>
          <w:vertAlign w:val="superscript"/>
        </w:rPr>
        <w:endnoteReference w:id="113"/>
      </w:r>
      <w:r w:rsidRPr="007C61EF">
        <w:rPr>
          <w:rFonts w:cs="Times New Roman"/>
          <w:szCs w:val="24"/>
        </w:rPr>
        <w:t xml:space="preserve"> oder der Emulsionspolymerisation</w:t>
      </w:r>
      <w:r w:rsidRPr="007C61EF">
        <w:rPr>
          <w:rFonts w:cs="Times New Roman"/>
          <w:szCs w:val="24"/>
          <w:vertAlign w:val="superscript"/>
        </w:rPr>
        <w:endnoteReference w:id="114"/>
      </w:r>
      <w:r w:rsidRPr="007C61EF">
        <w:rPr>
          <w:rFonts w:cs="Times New Roman"/>
          <w:szCs w:val="24"/>
        </w:rPr>
        <w:t>)</w:t>
      </w:r>
      <w:r w:rsidR="007B1EEE">
        <w:rPr>
          <w:rFonts w:cs="Times New Roman"/>
          <w:szCs w:val="24"/>
        </w:rPr>
        <w:t>.</w:t>
      </w:r>
    </w:p>
    <w:p w14:paraId="27AA0B5E" w14:textId="77777777" w:rsidR="0030578C" w:rsidRPr="007C61EF" w:rsidRDefault="0030578C" w:rsidP="007C61EF">
      <w:pPr>
        <w:numPr>
          <w:ilvl w:val="0"/>
          <w:numId w:val="1"/>
        </w:numPr>
        <w:tabs>
          <w:tab w:val="num" w:pos="576"/>
        </w:tabs>
        <w:spacing w:after="120"/>
        <w:rPr>
          <w:rFonts w:cs="Times New Roman"/>
          <w:szCs w:val="24"/>
        </w:rPr>
      </w:pPr>
      <w:r w:rsidRPr="007C61EF">
        <w:rPr>
          <w:rFonts w:cs="Times New Roman"/>
          <w:szCs w:val="24"/>
        </w:rPr>
        <w:t>Formung der Partikel nach der Polymerisation (z.B. durch Sprühtrocknung von Polymerlö</w:t>
      </w:r>
      <w:r w:rsidR="00955ACE">
        <w:rPr>
          <w:rFonts w:cs="Times New Roman"/>
          <w:szCs w:val="24"/>
        </w:rPr>
        <w:t>sungen, Lösungsmittelverdampfungsmethode</w:t>
      </w:r>
      <w:r w:rsidR="006064E1">
        <w:rPr>
          <w:rFonts w:cs="Times New Roman"/>
          <w:szCs w:val="24"/>
        </w:rPr>
        <w:t xml:space="preserve"> oder Vermahlung)</w:t>
      </w:r>
      <w:r w:rsidR="00D16240">
        <w:rPr>
          <w:rFonts w:cs="Times New Roman"/>
          <w:szCs w:val="24"/>
        </w:rPr>
        <w:fldChar w:fldCharType="begin"/>
      </w:r>
      <w:r w:rsidR="006064E1">
        <w:rPr>
          <w:rFonts w:cs="Times New Roman"/>
          <w:szCs w:val="24"/>
        </w:rPr>
        <w:instrText xml:space="preserve"> NOTEREF _Ref275896201 \f \h </w:instrText>
      </w:r>
      <w:r w:rsidR="00D16240">
        <w:rPr>
          <w:rFonts w:cs="Times New Roman"/>
          <w:szCs w:val="24"/>
        </w:rPr>
      </w:r>
      <w:r w:rsidR="00D16240">
        <w:rPr>
          <w:rFonts w:cs="Times New Roman"/>
          <w:szCs w:val="24"/>
        </w:rPr>
        <w:fldChar w:fldCharType="separate"/>
      </w:r>
      <w:r w:rsidR="00711AB8" w:rsidRPr="00711AB8">
        <w:rPr>
          <w:rStyle w:val="Endnotenzeichen"/>
        </w:rPr>
        <w:t>123</w:t>
      </w:r>
      <w:r w:rsidR="00D16240">
        <w:rPr>
          <w:rFonts w:cs="Times New Roman"/>
          <w:szCs w:val="24"/>
        </w:rPr>
        <w:fldChar w:fldCharType="end"/>
      </w:r>
      <w:r w:rsidR="007B1EEE">
        <w:rPr>
          <w:rFonts w:cs="Times New Roman"/>
          <w:szCs w:val="24"/>
        </w:rPr>
        <w:t>.</w:t>
      </w:r>
    </w:p>
    <w:p w14:paraId="4182DFDA" w14:textId="77777777" w:rsidR="0030578C" w:rsidRPr="007C61EF" w:rsidRDefault="0030578C" w:rsidP="007C61EF">
      <w:pPr>
        <w:spacing w:after="120"/>
        <w:rPr>
          <w:rFonts w:cs="Times New Roman"/>
          <w:szCs w:val="24"/>
        </w:rPr>
      </w:pPr>
      <w:r w:rsidRPr="007C61EF">
        <w:rPr>
          <w:rFonts w:cs="Times New Roman"/>
          <w:bCs/>
          <w:szCs w:val="24"/>
        </w:rPr>
        <w:t xml:space="preserve">Die zweite Methode kann nochmals in zwei </w:t>
      </w:r>
      <w:r w:rsidRPr="00B417E0">
        <w:rPr>
          <w:rFonts w:cs="Times New Roman"/>
          <w:bCs/>
          <w:szCs w:val="24"/>
        </w:rPr>
        <w:t>prinzipielle</w:t>
      </w:r>
      <w:r w:rsidRPr="007C61EF">
        <w:rPr>
          <w:rFonts w:cs="Times New Roman"/>
          <w:bCs/>
          <w:szCs w:val="24"/>
        </w:rPr>
        <w:t xml:space="preserve"> Vorgehensweisen gegliedert werden: Erzeugung feiner Partikel durch Zerkleinerung eines Feststoffes (Top-down) oder durch Kristallisation oder Ausfällung eines gelösten Stoff</w:t>
      </w:r>
      <w:r w:rsidR="00492C6B">
        <w:rPr>
          <w:rFonts w:cs="Times New Roman"/>
          <w:bCs/>
          <w:szCs w:val="24"/>
        </w:rPr>
        <w:t>es (Bottom-up). Die Top-down</w:t>
      </w:r>
      <w:r w:rsidRPr="007C61EF">
        <w:rPr>
          <w:rFonts w:cs="Times New Roman"/>
          <w:bCs/>
          <w:szCs w:val="24"/>
        </w:rPr>
        <w:t xml:space="preserve"> Methode ist in der Größe der zu erzeugenden Partikel</w:t>
      </w:r>
      <w:r w:rsidR="00B6783D">
        <w:rPr>
          <w:rFonts w:cs="Times New Roman"/>
          <w:bCs/>
          <w:szCs w:val="24"/>
        </w:rPr>
        <w:t xml:space="preserve"> begrenzt, da im Allgemeinen keine</w:t>
      </w:r>
      <w:r w:rsidRPr="007C61EF">
        <w:rPr>
          <w:rFonts w:cs="Times New Roman"/>
          <w:bCs/>
          <w:szCs w:val="24"/>
        </w:rPr>
        <w:t xml:space="preserve"> </w:t>
      </w:r>
      <w:r w:rsidR="00492C6B">
        <w:rPr>
          <w:rFonts w:cs="Times New Roman"/>
          <w:bCs/>
          <w:szCs w:val="24"/>
        </w:rPr>
        <w:t>Partikel mit einem Durchmesser von</w:t>
      </w:r>
      <w:r w:rsidRPr="007C61EF">
        <w:rPr>
          <w:rFonts w:cs="Times New Roman"/>
          <w:bCs/>
          <w:szCs w:val="24"/>
        </w:rPr>
        <w:t xml:space="preserve"> </w:t>
      </w:r>
      <w:r w:rsidR="00B6783D">
        <w:rPr>
          <w:rFonts w:cs="Times New Roman"/>
          <w:bCs/>
          <w:szCs w:val="24"/>
        </w:rPr>
        <w:t>weniger</w:t>
      </w:r>
      <w:r w:rsidR="00492C6B">
        <w:rPr>
          <w:rFonts w:cs="Times New Roman"/>
          <w:bCs/>
          <w:szCs w:val="24"/>
        </w:rPr>
        <w:t xml:space="preserve"> als </w:t>
      </w:r>
      <w:r w:rsidRPr="007C61EF">
        <w:rPr>
          <w:rFonts w:cs="Times New Roman"/>
          <w:bCs/>
          <w:szCs w:val="24"/>
        </w:rPr>
        <w:t>5 µm erzeugt werden können</w:t>
      </w:r>
      <w:bookmarkStart w:id="117" w:name="_Ref282627695"/>
      <w:r w:rsidRPr="007C61EF">
        <w:rPr>
          <w:rFonts w:cs="Times New Roman"/>
          <w:bCs/>
          <w:szCs w:val="24"/>
          <w:vertAlign w:val="superscript"/>
        </w:rPr>
        <w:endnoteReference w:id="115"/>
      </w:r>
      <w:bookmarkEnd w:id="117"/>
      <w:r w:rsidRPr="007C61EF">
        <w:rPr>
          <w:rFonts w:cs="Times New Roman"/>
          <w:bCs/>
          <w:szCs w:val="24"/>
        </w:rPr>
        <w:t>. Bei einem kleineren Zieldurchmesser stei</w:t>
      </w:r>
      <w:r w:rsidR="00492C6B">
        <w:rPr>
          <w:rFonts w:cs="Times New Roman"/>
          <w:bCs/>
          <w:szCs w:val="24"/>
        </w:rPr>
        <w:t>gt der Energieeintrag drastisch</w:t>
      </w:r>
      <w:r w:rsidR="00B6783D">
        <w:rPr>
          <w:rFonts w:cs="Times New Roman"/>
          <w:bCs/>
          <w:szCs w:val="24"/>
        </w:rPr>
        <w:t xml:space="preserve"> an</w:t>
      </w:r>
      <w:r w:rsidR="00492C6B">
        <w:rPr>
          <w:rFonts w:cs="Times New Roman"/>
          <w:bCs/>
          <w:szCs w:val="24"/>
        </w:rPr>
        <w:t xml:space="preserve"> </w:t>
      </w:r>
      <w:r w:rsidRPr="007C61EF">
        <w:rPr>
          <w:rFonts w:cs="Times New Roman"/>
          <w:bCs/>
          <w:szCs w:val="24"/>
        </w:rPr>
        <w:t xml:space="preserve">und die mechanischen Kräfte auf den Stoff sind enorm. </w:t>
      </w:r>
      <w:r w:rsidR="00B6783D">
        <w:rPr>
          <w:rFonts w:cs="Times New Roman"/>
          <w:bCs/>
          <w:szCs w:val="24"/>
        </w:rPr>
        <w:t xml:space="preserve">Die Stabilität sensibler Wirkstoffe wie Proteine oder empfindlicher Biopolymere wäre bei solchen Prozessen nicht gewährleistet. </w:t>
      </w:r>
      <w:r w:rsidRPr="007C61EF">
        <w:rPr>
          <w:rFonts w:cs="Times New Roman"/>
          <w:bCs/>
          <w:szCs w:val="24"/>
        </w:rPr>
        <w:t xml:space="preserve">Zudem neigen die </w:t>
      </w:r>
      <w:r w:rsidR="00492C6B">
        <w:rPr>
          <w:rFonts w:cs="Times New Roman"/>
          <w:bCs/>
          <w:szCs w:val="24"/>
        </w:rPr>
        <w:t xml:space="preserve">auf diesem Weg </w:t>
      </w:r>
      <w:r w:rsidRPr="007C61EF">
        <w:rPr>
          <w:rFonts w:cs="Times New Roman"/>
          <w:bCs/>
          <w:szCs w:val="24"/>
        </w:rPr>
        <w:t xml:space="preserve">erzeugten </w:t>
      </w:r>
      <w:r w:rsidR="00492C6B">
        <w:rPr>
          <w:rFonts w:cs="Times New Roman"/>
          <w:bCs/>
          <w:szCs w:val="24"/>
        </w:rPr>
        <w:t>Partikel zur Agglomeration und sind häufig nicht ohne weiteres redispergierbar</w:t>
      </w:r>
      <w:r w:rsidR="00D16240">
        <w:rPr>
          <w:rFonts w:cs="Times New Roman"/>
          <w:bCs/>
          <w:szCs w:val="24"/>
        </w:rPr>
        <w:fldChar w:fldCharType="begin"/>
      </w:r>
      <w:r w:rsidR="00A5315B">
        <w:rPr>
          <w:rFonts w:cs="Times New Roman"/>
          <w:bCs/>
          <w:szCs w:val="24"/>
        </w:rPr>
        <w:instrText xml:space="preserve"> NOTEREF _Ref282627695 \f \h </w:instrText>
      </w:r>
      <w:r w:rsidR="00D16240">
        <w:rPr>
          <w:rFonts w:cs="Times New Roman"/>
          <w:bCs/>
          <w:szCs w:val="24"/>
        </w:rPr>
      </w:r>
      <w:r w:rsidR="00D16240">
        <w:rPr>
          <w:rFonts w:cs="Times New Roman"/>
          <w:bCs/>
          <w:szCs w:val="24"/>
        </w:rPr>
        <w:fldChar w:fldCharType="separate"/>
      </w:r>
      <w:r w:rsidR="00711AB8" w:rsidRPr="00711AB8">
        <w:rPr>
          <w:rStyle w:val="Endnotenzeichen"/>
        </w:rPr>
        <w:t>115</w:t>
      </w:r>
      <w:r w:rsidR="00D16240">
        <w:rPr>
          <w:rFonts w:cs="Times New Roman"/>
          <w:bCs/>
          <w:szCs w:val="24"/>
        </w:rPr>
        <w:fldChar w:fldCharType="end"/>
      </w:r>
      <w:r w:rsidR="00492C6B">
        <w:rPr>
          <w:rFonts w:cs="Times New Roman"/>
          <w:bCs/>
          <w:szCs w:val="24"/>
        </w:rPr>
        <w:t>.</w:t>
      </w:r>
    </w:p>
    <w:p w14:paraId="54D28BB4" w14:textId="77777777" w:rsidR="005412FD" w:rsidRDefault="00B417E0" w:rsidP="005412FD">
      <w:pPr>
        <w:rPr>
          <w:rFonts w:cs="Times New Roman"/>
          <w:bCs/>
          <w:szCs w:val="24"/>
        </w:rPr>
      </w:pPr>
      <w:r>
        <w:rPr>
          <w:rFonts w:cs="Times New Roman"/>
          <w:bCs/>
          <w:szCs w:val="24"/>
        </w:rPr>
        <w:t xml:space="preserve">Die Bottom-up </w:t>
      </w:r>
      <w:r w:rsidR="0030578C" w:rsidRPr="007C61EF">
        <w:rPr>
          <w:rFonts w:cs="Times New Roman"/>
          <w:bCs/>
          <w:szCs w:val="24"/>
        </w:rPr>
        <w:t>Methode</w:t>
      </w:r>
      <w:r w:rsidR="00B6783D">
        <w:rPr>
          <w:rFonts w:cs="Times New Roman"/>
          <w:bCs/>
          <w:szCs w:val="24"/>
        </w:rPr>
        <w:t>n beruhen</w:t>
      </w:r>
      <w:r w:rsidR="0030578C" w:rsidRPr="007C61EF">
        <w:rPr>
          <w:rFonts w:cs="Times New Roman"/>
          <w:bCs/>
          <w:szCs w:val="24"/>
        </w:rPr>
        <w:t xml:space="preserve"> auf dem Prinzip, Stoffe </w:t>
      </w:r>
      <w:r>
        <w:rPr>
          <w:rFonts w:cs="Times New Roman"/>
          <w:bCs/>
          <w:szCs w:val="24"/>
        </w:rPr>
        <w:t xml:space="preserve">ausgehend </w:t>
      </w:r>
      <w:r w:rsidR="0030578C" w:rsidRPr="007C61EF">
        <w:rPr>
          <w:rFonts w:cs="Times New Roman"/>
          <w:bCs/>
          <w:szCs w:val="24"/>
        </w:rPr>
        <w:t xml:space="preserve">von </w:t>
      </w:r>
      <w:r>
        <w:rPr>
          <w:rFonts w:cs="Times New Roman"/>
          <w:bCs/>
          <w:szCs w:val="24"/>
        </w:rPr>
        <w:t>der molekularen</w:t>
      </w:r>
      <w:r w:rsidR="0030578C" w:rsidRPr="007C61EF">
        <w:rPr>
          <w:rFonts w:cs="Times New Roman"/>
          <w:bCs/>
          <w:szCs w:val="24"/>
        </w:rPr>
        <w:t xml:space="preserve"> Ebene zu größeren Partikeln zusammenzulagern. Somit lassen sich auch kle</w:t>
      </w:r>
      <w:r>
        <w:rPr>
          <w:rFonts w:cs="Times New Roman"/>
          <w:bCs/>
          <w:szCs w:val="24"/>
        </w:rPr>
        <w:t xml:space="preserve">inste </w:t>
      </w:r>
      <w:r w:rsidR="00E47482">
        <w:rPr>
          <w:rFonts w:cs="Times New Roman"/>
          <w:bCs/>
          <w:szCs w:val="24"/>
        </w:rPr>
        <w:t>Partikel im nanoskaligen B</w:t>
      </w:r>
      <w:r w:rsidR="0030578C" w:rsidRPr="007C61EF">
        <w:rPr>
          <w:rFonts w:cs="Times New Roman"/>
          <w:bCs/>
          <w:szCs w:val="24"/>
        </w:rPr>
        <w:t>ereich erzeugen. Den in der Literatur beschriebenen Standardverfahren zur Herstellung von Polymernanopartikeln</w:t>
      </w:r>
      <w:r w:rsidR="001A6528">
        <w:rPr>
          <w:rFonts w:cs="Times New Roman"/>
          <w:bCs/>
          <w:szCs w:val="24"/>
        </w:rPr>
        <w:t xml:space="preserve"> als Wirkstoffträger</w:t>
      </w:r>
      <w:r w:rsidR="0030578C" w:rsidRPr="007C61EF">
        <w:rPr>
          <w:rFonts w:cs="Times New Roman"/>
          <w:bCs/>
          <w:szCs w:val="24"/>
        </w:rPr>
        <w:t xml:space="preserve"> liegt in der Regel dieses Prinzip zu Grunde. Ausgehend von einer molekulardispersen Lösung des Polymers in einem geeigneten Lösungsmittel (für bioabbaubare Polyester in der Regel organische Lösungsmittel) erfolgt die Partikelgenese durch Entzug des Lösungsmittels</w:t>
      </w:r>
      <w:r w:rsidR="006064E1">
        <w:rPr>
          <w:rFonts w:cs="Times New Roman"/>
          <w:bCs/>
          <w:szCs w:val="24"/>
        </w:rPr>
        <w:t>,</w:t>
      </w:r>
      <w:r w:rsidR="0030578C" w:rsidRPr="007C61EF">
        <w:rPr>
          <w:rFonts w:cs="Times New Roman"/>
          <w:bCs/>
          <w:szCs w:val="24"/>
        </w:rPr>
        <w:t xml:space="preserve"> wodurch eine Ausfällung oder Präzipitation des Polymers in partikulärer Form hervorgerufen </w:t>
      </w:r>
      <w:r w:rsidR="00DE3DE0">
        <w:rPr>
          <w:rFonts w:cs="Times New Roman"/>
          <w:bCs/>
          <w:szCs w:val="24"/>
        </w:rPr>
        <w:t>wird</w:t>
      </w:r>
      <w:r w:rsidR="00BD4E4C">
        <w:rPr>
          <w:rFonts w:cs="Times New Roman"/>
          <w:bCs/>
          <w:szCs w:val="24"/>
        </w:rPr>
        <w:t xml:space="preserve">. Den folgenden Methoden liegt dieses Prinzip zugrunde, sie unterscheiden sich lediglich in </w:t>
      </w:r>
      <w:r w:rsidR="009E389C">
        <w:rPr>
          <w:rFonts w:cs="Times New Roman"/>
          <w:bCs/>
          <w:szCs w:val="24"/>
        </w:rPr>
        <w:t>der speziellen Ausführung:</w:t>
      </w:r>
      <w:r w:rsidR="00BD4E4C">
        <w:rPr>
          <w:rFonts w:cs="Times New Roman"/>
          <w:bCs/>
          <w:szCs w:val="24"/>
        </w:rPr>
        <w:t xml:space="preserve"> </w:t>
      </w:r>
      <w:r w:rsidR="0030578C" w:rsidRPr="007C61EF">
        <w:rPr>
          <w:rFonts w:cs="Times New Roman"/>
          <w:bCs/>
          <w:szCs w:val="24"/>
        </w:rPr>
        <w:t>Nanopräzipitation</w:t>
      </w:r>
      <w:r w:rsidR="00DE3DE0">
        <w:rPr>
          <w:rStyle w:val="Endnotenzeichen"/>
          <w:rFonts w:cs="Times New Roman"/>
          <w:bCs/>
          <w:szCs w:val="24"/>
        </w:rPr>
        <w:endnoteReference w:id="116"/>
      </w:r>
      <w:r w:rsidR="0030578C" w:rsidRPr="007C61EF">
        <w:rPr>
          <w:rFonts w:cs="Times New Roman"/>
          <w:bCs/>
          <w:szCs w:val="24"/>
        </w:rPr>
        <w:t>, Emulsionsmethoden</w:t>
      </w:r>
      <w:r w:rsidR="009E389C">
        <w:rPr>
          <w:rFonts w:cs="Times New Roman"/>
          <w:bCs/>
          <w:szCs w:val="24"/>
        </w:rPr>
        <w:t xml:space="preserve"> (</w:t>
      </w:r>
      <w:r w:rsidR="009E389C">
        <w:rPr>
          <w:rFonts w:cs="Times New Roman"/>
          <w:bCs/>
          <w:i/>
          <w:szCs w:val="24"/>
        </w:rPr>
        <w:t xml:space="preserve">single- </w:t>
      </w:r>
      <w:r w:rsidR="009E389C" w:rsidRPr="009E389C">
        <w:rPr>
          <w:rFonts w:cs="Times New Roman"/>
          <w:bCs/>
          <w:szCs w:val="24"/>
        </w:rPr>
        <w:t>und</w:t>
      </w:r>
      <w:r w:rsidR="009E389C">
        <w:rPr>
          <w:rFonts w:cs="Times New Roman"/>
          <w:bCs/>
          <w:i/>
          <w:szCs w:val="24"/>
        </w:rPr>
        <w:t xml:space="preserve"> double emulsion</w:t>
      </w:r>
      <w:r w:rsidR="009E389C">
        <w:rPr>
          <w:rFonts w:cs="Times New Roman"/>
          <w:bCs/>
          <w:szCs w:val="24"/>
        </w:rPr>
        <w:t>)</w:t>
      </w:r>
      <w:r w:rsidR="00DE3DE0">
        <w:rPr>
          <w:rFonts w:cs="Times New Roman"/>
          <w:bCs/>
          <w:szCs w:val="24"/>
        </w:rPr>
        <w:t xml:space="preserve"> mit </w:t>
      </w:r>
      <w:r w:rsidR="00BD4E4C">
        <w:rPr>
          <w:rFonts w:cs="Times New Roman"/>
          <w:bCs/>
          <w:szCs w:val="24"/>
        </w:rPr>
        <w:t xml:space="preserve">anschließender </w:t>
      </w:r>
      <w:r w:rsidR="00DE3DE0">
        <w:rPr>
          <w:rFonts w:cs="Times New Roman"/>
          <w:bCs/>
          <w:szCs w:val="24"/>
        </w:rPr>
        <w:t>Lösungsmittelverdampfung</w:t>
      </w:r>
      <w:r w:rsidR="00DE3DE0">
        <w:rPr>
          <w:rStyle w:val="Endnotenzeichen"/>
          <w:rFonts w:cs="Times New Roman"/>
          <w:bCs/>
          <w:szCs w:val="24"/>
        </w:rPr>
        <w:endnoteReference w:id="117"/>
      </w:r>
      <w:r w:rsidR="003775D3">
        <w:rPr>
          <w:rFonts w:cs="Times New Roman"/>
          <w:bCs/>
          <w:szCs w:val="24"/>
        </w:rPr>
        <w:t xml:space="preserve"> oder Lösungsmittel</w:t>
      </w:r>
      <w:r w:rsidR="00DE3DE0">
        <w:rPr>
          <w:rFonts w:cs="Times New Roman"/>
          <w:bCs/>
          <w:szCs w:val="24"/>
        </w:rPr>
        <w:t>extraktion</w:t>
      </w:r>
      <w:r w:rsidR="00DE3DE0">
        <w:rPr>
          <w:rStyle w:val="Endnotenzeichen"/>
          <w:rFonts w:cs="Times New Roman"/>
          <w:bCs/>
          <w:szCs w:val="24"/>
        </w:rPr>
        <w:endnoteReference w:id="118"/>
      </w:r>
      <w:r w:rsidR="00DE3DE0">
        <w:rPr>
          <w:rFonts w:cs="Times New Roman"/>
          <w:bCs/>
          <w:szCs w:val="24"/>
          <w:vertAlign w:val="superscript"/>
        </w:rPr>
        <w:t>,</w:t>
      </w:r>
      <w:r w:rsidR="00DE3DE0">
        <w:rPr>
          <w:rStyle w:val="Endnotenzeichen"/>
          <w:rFonts w:cs="Times New Roman"/>
          <w:bCs/>
          <w:szCs w:val="24"/>
        </w:rPr>
        <w:endnoteReference w:id="119"/>
      </w:r>
      <w:r w:rsidR="009E389C">
        <w:rPr>
          <w:rFonts w:cs="Times New Roman"/>
          <w:bCs/>
          <w:szCs w:val="24"/>
        </w:rPr>
        <w:t xml:space="preserve"> und Koazervation</w:t>
      </w:r>
      <w:r w:rsidR="0030578C" w:rsidRPr="007C61EF">
        <w:rPr>
          <w:rFonts w:cs="Times New Roman"/>
          <w:bCs/>
          <w:szCs w:val="24"/>
          <w:vertAlign w:val="superscript"/>
        </w:rPr>
        <w:endnoteReference w:id="120"/>
      </w:r>
      <w:r w:rsidR="0030578C" w:rsidRPr="007C61EF">
        <w:rPr>
          <w:rFonts w:cs="Times New Roman"/>
          <w:bCs/>
          <w:szCs w:val="24"/>
        </w:rPr>
        <w:t>. Bei der Partikelherstellung aus überkritischer Lösung mit dem sogenannten RESS-Verfahren (Rapid Expansion of Supercritical Solution)</w:t>
      </w:r>
      <w:r w:rsidR="009E389C">
        <w:rPr>
          <w:rFonts w:cs="Times New Roman"/>
          <w:bCs/>
          <w:szCs w:val="24"/>
        </w:rPr>
        <w:t xml:space="preserve"> oder der Herstellung von Nanopartikeln durch Sprühtrocknung von Polymerlösungen</w:t>
      </w:r>
      <w:r w:rsidR="0030578C" w:rsidRPr="007C61EF">
        <w:rPr>
          <w:rFonts w:cs="Times New Roman"/>
          <w:bCs/>
          <w:szCs w:val="24"/>
        </w:rPr>
        <w:t xml:space="preserve"> handelt es sich </w:t>
      </w:r>
      <w:r w:rsidR="009E389C">
        <w:rPr>
          <w:rFonts w:cs="Times New Roman"/>
          <w:bCs/>
          <w:szCs w:val="24"/>
        </w:rPr>
        <w:t>ebenfalls um</w:t>
      </w:r>
      <w:r w:rsidR="0030578C" w:rsidRPr="007C61EF">
        <w:rPr>
          <w:rFonts w:cs="Times New Roman"/>
          <w:bCs/>
          <w:szCs w:val="24"/>
        </w:rPr>
        <w:t xml:space="preserve"> Bottom-up Verfahren.</w:t>
      </w:r>
    </w:p>
    <w:p w14:paraId="2C466C9B" w14:textId="77777777" w:rsidR="004C7DB0" w:rsidRDefault="009E389C" w:rsidP="003B72BC">
      <w:r>
        <w:t>A</w:t>
      </w:r>
      <w:r w:rsidR="00207859">
        <w:t>ls am besten geeignet</w:t>
      </w:r>
      <w:r w:rsidR="004F397F">
        <w:t>es Verfahren zur Mikroverkapselung von hydrophilen Wirkstoffen in eher lipop</w:t>
      </w:r>
      <w:r w:rsidR="00DA5666">
        <w:t>hile Trägermaterialien wie PLGA</w:t>
      </w:r>
      <w:r w:rsidR="004F397F">
        <w:t xml:space="preserve"> </w:t>
      </w:r>
      <w:r>
        <w:t>wird in der Literatur die Doppelemulsions</w:t>
      </w:r>
      <w:r w:rsidR="009C6338">
        <w:t>-</w:t>
      </w:r>
      <w:r>
        <w:t xml:space="preserve">methode </w:t>
      </w:r>
      <w:r w:rsidR="004F397F">
        <w:t>beschrieben</w:t>
      </w:r>
      <w:bookmarkStart w:id="118" w:name="_Ref272175758"/>
      <w:r w:rsidR="005412FD">
        <w:rPr>
          <w:rStyle w:val="Endnotenzeichen"/>
        </w:rPr>
        <w:endnoteReference w:id="121"/>
      </w:r>
      <w:bookmarkEnd w:id="118"/>
      <w:r w:rsidR="00C56D57" w:rsidRPr="00C56D57">
        <w:rPr>
          <w:vertAlign w:val="superscript"/>
        </w:rPr>
        <w:t>,</w:t>
      </w:r>
      <w:bookmarkStart w:id="119" w:name="_Ref273057109"/>
      <w:r w:rsidR="004F397F">
        <w:rPr>
          <w:rStyle w:val="Endnotenzeichen"/>
        </w:rPr>
        <w:endnoteReference w:id="122"/>
      </w:r>
      <w:bookmarkEnd w:id="119"/>
      <w:r w:rsidR="004F397F">
        <w:t xml:space="preserve">. </w:t>
      </w:r>
      <w:r w:rsidR="00BB4CEB">
        <w:t>Lamprecht et al. zeigten</w:t>
      </w:r>
      <w:r>
        <w:t xml:space="preserve"> überdies</w:t>
      </w:r>
      <w:r w:rsidR="00BB4CEB">
        <w:t>, d</w:t>
      </w:r>
      <w:r w:rsidR="00577B53">
        <w:t>ass die Hochdruckhomo</w:t>
      </w:r>
      <w:r w:rsidR="009C6338">
        <w:t>-</w:t>
      </w:r>
      <w:r w:rsidR="00577B53">
        <w:t>genisation</w:t>
      </w:r>
      <w:r w:rsidR="00BB4CEB">
        <w:t xml:space="preserve"> mit einem Microfluidizer</w:t>
      </w:r>
      <w:r w:rsidR="009E63CC">
        <w:t xml:space="preserve"> </w:t>
      </w:r>
      <w:r w:rsidR="00577B53">
        <w:t>zur Homogenisierung von</w:t>
      </w:r>
      <w:r w:rsidR="003B72BC">
        <w:t xml:space="preserve"> Doppelemulsion</w:t>
      </w:r>
      <w:r w:rsidR="00C2316F">
        <w:t>en</w:t>
      </w:r>
      <w:r>
        <w:t xml:space="preserve"> im Zuge der Herstellung wirkstoffbeladener Nanopartikel</w:t>
      </w:r>
      <w:r w:rsidR="003B72BC">
        <w:t xml:space="preserve"> sehr gut geeignet ist</w:t>
      </w:r>
      <w:r w:rsidR="009E63CC">
        <w:t xml:space="preserve">. </w:t>
      </w:r>
      <w:r w:rsidR="003B72BC">
        <w:t>Die Partikelgrößen</w:t>
      </w:r>
      <w:r w:rsidR="009C6338">
        <w:t>-</w:t>
      </w:r>
      <w:r w:rsidR="003B72BC">
        <w:lastRenderedPageBreak/>
        <w:t>verteilung</w:t>
      </w:r>
      <w:r w:rsidR="009E63CC">
        <w:t xml:space="preserve"> w</w:t>
      </w:r>
      <w:r w:rsidR="003B72BC">
        <w:t>ar monodispers und die Verteilungsbreite war deutlich schmaler als bei Verwendung eines herkömmlichen Homogenisators</w:t>
      </w:r>
      <w:r w:rsidR="00D16240">
        <w:fldChar w:fldCharType="begin"/>
      </w:r>
      <w:r w:rsidR="00C2316F">
        <w:instrText xml:space="preserve"> NOTEREF _Ref272175758 \f \h </w:instrText>
      </w:r>
      <w:r w:rsidR="00D16240">
        <w:fldChar w:fldCharType="separate"/>
      </w:r>
      <w:r w:rsidR="00711AB8" w:rsidRPr="00711AB8">
        <w:rPr>
          <w:rStyle w:val="Endnotenzeichen"/>
        </w:rPr>
        <w:t>121</w:t>
      </w:r>
      <w:r w:rsidR="00D16240">
        <w:fldChar w:fldCharType="end"/>
      </w:r>
      <w:r w:rsidR="003B72BC">
        <w:t>.</w:t>
      </w:r>
      <w:r w:rsidR="00577B53">
        <w:t xml:space="preserve"> Aus diesen Gründen stellte die</w:t>
      </w:r>
      <w:r w:rsidR="000B7996">
        <w:t xml:space="preserve"> Doppelemulsionsmethode</w:t>
      </w:r>
      <w:r w:rsidR="00577B53">
        <w:t xml:space="preserve"> unter Verwendung eines Microfluidizers</w:t>
      </w:r>
      <w:r w:rsidR="000B7996">
        <w:t xml:space="preserve"> </w:t>
      </w:r>
      <w:r w:rsidR="00577B53">
        <w:t>die Methode der Wahl zu</w:t>
      </w:r>
      <w:r w:rsidR="00C56D57">
        <w:t>r</w:t>
      </w:r>
      <w:r w:rsidR="00577B53">
        <w:t xml:space="preserve"> Verkapselung des Modellpeptide</w:t>
      </w:r>
      <w:r w:rsidR="00C56D57">
        <w:t>s Desmopressin</w:t>
      </w:r>
      <w:r>
        <w:t xml:space="preserve"> in bioabbaubare Polymernanopartikel</w:t>
      </w:r>
      <w:r w:rsidR="00C56D57">
        <w:t xml:space="preserve"> dar. Zum</w:t>
      </w:r>
      <w:r w:rsidR="00185271">
        <w:t xml:space="preserve"> direkten Vergleich mit eine</w:t>
      </w:r>
      <w:r w:rsidR="00C56D57">
        <w:t>r Standardmethode</w:t>
      </w:r>
      <w:r w:rsidR="00185271">
        <w:t>, wurde die Homogenisierung auch mit einem Rotor-Stator Dispergierer durchgeführt.</w:t>
      </w:r>
    </w:p>
    <w:p w14:paraId="24C14596" w14:textId="77777777" w:rsidR="000F07CD" w:rsidRPr="003B72BC" w:rsidRDefault="0080288C" w:rsidP="003B72BC">
      <w:r>
        <w:t>Da der Doppelemulsionsmethode</w:t>
      </w:r>
      <w:r w:rsidR="00EC5366">
        <w:t xml:space="preserve"> allgemein</w:t>
      </w:r>
      <w:r w:rsidR="00D75F19">
        <w:t xml:space="preserve"> kein hohes Potential zur Übertragung auf i</w:t>
      </w:r>
      <w:r w:rsidR="00B77857">
        <w:t>ndustrielle Produktionsma</w:t>
      </w:r>
      <w:r w:rsidR="001B186A">
        <w:t>ßstäbe zugeschrieben wird</w:t>
      </w:r>
      <w:r>
        <w:t>, wurde eine alternative Herstellungsmethode zur kontinuierlichen Produktion von Nanopartikeln aus bioabbaubaren Polyestern zur pharmazeutischen Anwendung entwickelt. Dieses Verfahren</w:t>
      </w:r>
      <w:r w:rsidR="00B77857">
        <w:t xml:space="preserve"> basiert auf der Versprühung</w:t>
      </w:r>
      <w:r w:rsidR="002E5767">
        <w:t xml:space="preserve"> überkritischer Polymerlösungen (RESS).</w:t>
      </w:r>
    </w:p>
    <w:p w14:paraId="259745B7" w14:textId="77777777" w:rsidR="00171F86" w:rsidRDefault="00DF7D6B" w:rsidP="00207859">
      <w:pPr>
        <w:pStyle w:val="berschrift4"/>
      </w:pPr>
      <w:bookmarkStart w:id="120" w:name="_Toc294380197"/>
      <w:r w:rsidRPr="00DF7D6B">
        <w:t>Doppelemulsionsmethode</w:t>
      </w:r>
      <w:bookmarkEnd w:id="120"/>
    </w:p>
    <w:p w14:paraId="375A3621" w14:textId="77777777" w:rsidR="00C2316F" w:rsidRDefault="00C2316F" w:rsidP="00694654">
      <w:r>
        <w:t>Das Modellpeptid Desmopressin wurde mittels Doppelemulsionsmethode mit anschließender Lösungsmittelverdampfung</w:t>
      </w:r>
      <w:r w:rsidR="00334081">
        <w:t>,</w:t>
      </w:r>
      <w:r>
        <w:t xml:space="preserve"> wie in </w:t>
      </w:r>
      <w:r w:rsidR="00D16240">
        <w:fldChar w:fldCharType="begin"/>
      </w:r>
      <w:r>
        <w:instrText xml:space="preserve"> REF _Ref272176027 \h </w:instrText>
      </w:r>
      <w:r w:rsidR="00D16240">
        <w:fldChar w:fldCharType="separate"/>
      </w:r>
      <w:r w:rsidR="00711AB8" w:rsidRPr="00694654">
        <w:t xml:space="preserve">Abbildung </w:t>
      </w:r>
      <w:r w:rsidR="00711AB8">
        <w:rPr>
          <w:noProof/>
        </w:rPr>
        <w:t>10</w:t>
      </w:r>
      <w:r w:rsidR="00D16240">
        <w:fldChar w:fldCharType="end"/>
      </w:r>
      <w:r>
        <w:t xml:space="preserve"> schematisch dargestellt</w:t>
      </w:r>
      <w:r w:rsidR="00334081">
        <w:t>,</w:t>
      </w:r>
      <w:r>
        <w:t xml:space="preserve"> in die unterschiedliche</w:t>
      </w:r>
      <w:r w:rsidR="00334081">
        <w:t>n</w:t>
      </w:r>
      <w:r w:rsidR="00C85919">
        <w:t xml:space="preserve"> Trägerpolymere eingekapselt</w:t>
      </w:r>
      <w:r>
        <w:t>.</w:t>
      </w:r>
    </w:p>
    <w:p w14:paraId="1ADB4FC1" w14:textId="77777777" w:rsidR="00B417E0" w:rsidRDefault="00B417E0" w:rsidP="00694654"/>
    <w:p w14:paraId="6A8F68B1" w14:textId="77777777" w:rsidR="00694654" w:rsidRDefault="00694654" w:rsidP="00694654">
      <w:pPr>
        <w:jc w:val="center"/>
      </w:pPr>
      <w:r>
        <w:rPr>
          <w:noProof/>
          <w:lang w:eastAsia="de-DE"/>
        </w:rPr>
        <w:drawing>
          <wp:inline distT="0" distB="0" distL="0" distR="0" wp14:anchorId="3424D290" wp14:editId="03AE9AB5">
            <wp:extent cx="5185479" cy="2922549"/>
            <wp:effectExtent l="0" t="0" r="0" b="0"/>
            <wp:docPr id="17515" name="Bild 17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ppelemulsion.png"/>
                    <pic:cNvPicPr/>
                  </pic:nvPicPr>
                  <pic:blipFill>
                    <a:blip r:embed="rId23">
                      <a:extLst>
                        <a:ext uri="{28A0092B-C50C-407E-A947-70E740481C1C}">
                          <a14:useLocalDpi xmlns:a14="http://schemas.microsoft.com/office/drawing/2010/main" val="0"/>
                        </a:ext>
                      </a:extLst>
                    </a:blip>
                    <a:stretch>
                      <a:fillRect/>
                    </a:stretch>
                  </pic:blipFill>
                  <pic:spPr>
                    <a:xfrm>
                      <a:off x="0" y="0"/>
                      <a:ext cx="5185794" cy="2922727"/>
                    </a:xfrm>
                    <a:prstGeom prst="rect">
                      <a:avLst/>
                    </a:prstGeom>
                  </pic:spPr>
                </pic:pic>
              </a:graphicData>
            </a:graphic>
          </wp:inline>
        </w:drawing>
      </w:r>
    </w:p>
    <w:p w14:paraId="1AB03661" w14:textId="77777777" w:rsidR="00694654" w:rsidRDefault="00694654" w:rsidP="001856C4">
      <w:pPr>
        <w:pStyle w:val="Beschriftung"/>
        <w:ind w:firstLine="0"/>
        <w:rPr>
          <w:b w:val="0"/>
        </w:rPr>
      </w:pPr>
      <w:bookmarkStart w:id="121" w:name="_Ref272176027"/>
      <w:r w:rsidRPr="00694654">
        <w:t xml:space="preserve">Abbildung </w:t>
      </w:r>
      <w:fldSimple w:instr=" SEQ Abbildung \* ARABIC ">
        <w:r w:rsidR="00711AB8">
          <w:rPr>
            <w:noProof/>
          </w:rPr>
          <w:t>10</w:t>
        </w:r>
      </w:fldSimple>
      <w:bookmarkEnd w:id="121"/>
      <w:r>
        <w:t xml:space="preserve"> </w:t>
      </w:r>
      <w:r>
        <w:rPr>
          <w:b w:val="0"/>
        </w:rPr>
        <w:t xml:space="preserve">Schematische Darstellung der </w:t>
      </w:r>
      <w:r w:rsidR="004F397F">
        <w:rPr>
          <w:b w:val="0"/>
        </w:rPr>
        <w:t xml:space="preserve">Partikelherstellung mittels </w:t>
      </w:r>
      <w:r>
        <w:rPr>
          <w:b w:val="0"/>
        </w:rPr>
        <w:t>Doppelemulsionsmethode</w:t>
      </w:r>
      <w:r w:rsidR="004F397F">
        <w:rPr>
          <w:b w:val="0"/>
        </w:rPr>
        <w:t xml:space="preserve"> (W</w:t>
      </w:r>
      <w:r w:rsidR="004F397F">
        <w:rPr>
          <w:b w:val="0"/>
          <w:vertAlign w:val="subscript"/>
        </w:rPr>
        <w:t>1</w:t>
      </w:r>
      <w:r w:rsidR="004F397F">
        <w:rPr>
          <w:b w:val="0"/>
        </w:rPr>
        <w:t>/O/W</w:t>
      </w:r>
      <w:r w:rsidR="004F397F">
        <w:rPr>
          <w:b w:val="0"/>
          <w:vertAlign w:val="subscript"/>
        </w:rPr>
        <w:t>2</w:t>
      </w:r>
      <w:r w:rsidR="004F397F">
        <w:rPr>
          <w:b w:val="0"/>
        </w:rPr>
        <w:t>)</w:t>
      </w:r>
      <w:r>
        <w:rPr>
          <w:b w:val="0"/>
        </w:rPr>
        <w:t xml:space="preserve"> mit anschließender Lösungsmittelverdampfung</w:t>
      </w:r>
      <w:r w:rsidR="00F71178">
        <w:rPr>
          <w:b w:val="0"/>
        </w:rPr>
        <w:t>.</w:t>
      </w:r>
    </w:p>
    <w:p w14:paraId="7522E62D" w14:textId="77777777" w:rsidR="00334081" w:rsidRDefault="00334081" w:rsidP="00334081">
      <w:pPr>
        <w:contextualSpacing/>
      </w:pPr>
    </w:p>
    <w:p w14:paraId="56E53C5D" w14:textId="77777777" w:rsidR="00444947" w:rsidRDefault="00F57C59" w:rsidP="00334081">
      <w:r>
        <w:t xml:space="preserve">Zunächst wurden </w:t>
      </w:r>
      <w:r w:rsidR="00334081">
        <w:t xml:space="preserve">800 mg </w:t>
      </w:r>
      <w:r>
        <w:t>Polymer</w:t>
      </w:r>
      <w:r w:rsidR="00334081">
        <w:t xml:space="preserve"> in 40 ml Ethylacetat (O)</w:t>
      </w:r>
      <w:r>
        <w:t xml:space="preserve"> unter</w:t>
      </w:r>
      <w:r w:rsidR="00F377D8">
        <w:t xml:space="preserve"> 15 minütigem</w:t>
      </w:r>
      <w:r>
        <w:t xml:space="preserve"> R</w:t>
      </w:r>
      <w:r w:rsidR="008B231D">
        <w:t>ühren mit einem Magnetrührer mit</w:t>
      </w:r>
      <w:r w:rsidR="00F62053">
        <w:t xml:space="preserve"> 600 Up</w:t>
      </w:r>
      <w:r>
        <w:t>M gelöst</w:t>
      </w:r>
      <w:r w:rsidR="00334081">
        <w:t xml:space="preserve">. </w:t>
      </w:r>
      <w:r w:rsidR="004861A4">
        <w:t xml:space="preserve">Zur Fluoreszenzmarkierung der Partikel wurden dieser Lösung anschließend 750 µl einer Lösung von 1 mg/ml Lumogen Red in Aceton </w:t>
      </w:r>
      <w:r w:rsidR="004861A4">
        <w:lastRenderedPageBreak/>
        <w:t xml:space="preserve">zugesetzt. </w:t>
      </w:r>
      <w:r w:rsidR="00334081">
        <w:t xml:space="preserve">Die </w:t>
      </w:r>
      <w:r w:rsidR="004861A4">
        <w:t xml:space="preserve">angefärbte </w:t>
      </w:r>
      <w:r w:rsidR="00334081">
        <w:t xml:space="preserve">Polymerlösung </w:t>
      </w:r>
      <w:r>
        <w:t>wurde dann</w:t>
      </w:r>
      <w:r w:rsidR="00334081">
        <w:t xml:space="preserve"> unter Rühren mit einem Magnetrührer</w:t>
      </w:r>
      <w:r w:rsidR="008B231D">
        <w:t xml:space="preserve"> mit</w:t>
      </w:r>
      <w:r w:rsidR="00F62053">
        <w:t xml:space="preserve"> 600 Up</w:t>
      </w:r>
      <w:r w:rsidR="00334081">
        <w:t>M mit 10 ml einer wässrigen Lösung</w:t>
      </w:r>
      <w:r>
        <w:t xml:space="preserve"> (W</w:t>
      </w:r>
      <w:r>
        <w:rPr>
          <w:vertAlign w:val="subscript"/>
        </w:rPr>
        <w:t>1</w:t>
      </w:r>
      <w:r>
        <w:t>)</w:t>
      </w:r>
      <w:r w:rsidR="00334081">
        <w:t xml:space="preserve"> von 80 mg Desmopressinacetat </w:t>
      </w:r>
      <w:r w:rsidR="00AE6892">
        <w:t>und 150 mg Polyethylenglycol (PEG) 4000 tropfenweise versetzt.</w:t>
      </w:r>
      <w:r>
        <w:t xml:space="preserve"> Die Mischung</w:t>
      </w:r>
      <w:r w:rsidR="00474DBF">
        <w:t xml:space="preserve"> (W</w:t>
      </w:r>
      <w:r w:rsidR="00474DBF">
        <w:rPr>
          <w:vertAlign w:val="subscript"/>
        </w:rPr>
        <w:t>1</w:t>
      </w:r>
      <w:r w:rsidR="00474DBF">
        <w:t>/O)</w:t>
      </w:r>
      <w:r>
        <w:t xml:space="preserve"> wurde anschließend entweder mit einem </w:t>
      </w:r>
      <w:r w:rsidR="00620569">
        <w:t>Hochdruckhomogenisator</w:t>
      </w:r>
      <w:r>
        <w:t xml:space="preserve"> (Microfluidizer M-110P</w:t>
      </w:r>
      <w:r w:rsidR="00620569" w:rsidRPr="00620569">
        <w:t xml:space="preserve"> </w:t>
      </w:r>
      <w:r w:rsidR="00F377D8">
        <w:t>„</w:t>
      </w:r>
      <w:r w:rsidR="00620569">
        <w:t>high shear fluid processor</w:t>
      </w:r>
      <w:r w:rsidR="00F377D8">
        <w:t>“, Microfluidics Corp., USA</w:t>
      </w:r>
      <w:r w:rsidR="008B231D">
        <w:t>)</w:t>
      </w:r>
      <w:r w:rsidR="00F377D8">
        <w:t xml:space="preserve"> mit</w:t>
      </w:r>
      <w:r>
        <w:t xml:space="preserve"> Z-Typ Interaktionskammer aus Diamant </w:t>
      </w:r>
      <w:r w:rsidR="00F377D8">
        <w:t>oder mit einem Rotor-Stator Dispergierer</w:t>
      </w:r>
      <w:r w:rsidR="00620569">
        <w:t xml:space="preserve"> (Ultra-Turrax T18 basic, IKA GmbH &amp; Co. KG</w:t>
      </w:r>
      <w:r w:rsidR="00444947">
        <w:t xml:space="preserve">, </w:t>
      </w:r>
      <w:r w:rsidR="008B231D">
        <w:t xml:space="preserve">Deutschland) </w:t>
      </w:r>
      <w:r w:rsidR="00444947">
        <w:t xml:space="preserve">mit Rotor-Stator </w:t>
      </w:r>
      <w:r w:rsidR="00F377D8">
        <w:t>Dispergierwerkzeug</w:t>
      </w:r>
      <w:r w:rsidR="00707D85">
        <w:t xml:space="preserve"> homogenisiert. </w:t>
      </w:r>
    </w:p>
    <w:p w14:paraId="3349AAE8" w14:textId="77777777" w:rsidR="00444947" w:rsidRDefault="00474DBF" w:rsidP="00334081">
      <w:r>
        <w:t>M</w:t>
      </w:r>
      <w:r w:rsidR="00F377D8">
        <w:t xml:space="preserve">it dem Microfluidizer </w:t>
      </w:r>
      <w:r>
        <w:t>wurde die Primäremulsion (W</w:t>
      </w:r>
      <w:r>
        <w:rPr>
          <w:vertAlign w:val="subscript"/>
        </w:rPr>
        <w:t>1</w:t>
      </w:r>
      <w:r>
        <w:t xml:space="preserve">/O) </w:t>
      </w:r>
      <w:r w:rsidR="00F377D8">
        <w:t>in 5 Durchläufen homogenisiert</w:t>
      </w:r>
      <w:r w:rsidR="00444947">
        <w:t>. Um den Einfluss des Prozessdrucks auf die Partikelgröße und die Partikelgrößenverteilung zu untersuchen, wurden unterschiedliche Drücke zwischen 250 bar und 1.500 bar gewählt. Die Interaktionskammer wurde mit Eis gekühlt. Mit dem Ultra-Turrax wurde die Primäremul</w:t>
      </w:r>
      <w:r w:rsidR="00F62053">
        <w:t>sion für 5 Minuten mit 14.000 Up</w:t>
      </w:r>
      <w:r w:rsidR="00444947">
        <w:t>M homogenisiert.</w:t>
      </w:r>
    </w:p>
    <w:p w14:paraId="2C2E4812" w14:textId="77777777" w:rsidR="00444947" w:rsidRDefault="00444947" w:rsidP="00334081">
      <w:r>
        <w:t>Zur Herstellung der Doppelemulsion (W</w:t>
      </w:r>
      <w:r>
        <w:rPr>
          <w:vertAlign w:val="subscript"/>
        </w:rPr>
        <w:t>1</w:t>
      </w:r>
      <w:r>
        <w:t>/O/W</w:t>
      </w:r>
      <w:r>
        <w:rPr>
          <w:vertAlign w:val="subscript"/>
        </w:rPr>
        <w:t>2</w:t>
      </w:r>
      <w:r>
        <w:t>) wurde die Primäremulsion</w:t>
      </w:r>
      <w:r w:rsidR="00685E07">
        <w:t xml:space="preserve"> unter Rühren</w:t>
      </w:r>
      <w:r>
        <w:t xml:space="preserve"> mit einem Magnetrührer</w:t>
      </w:r>
      <w:r w:rsidR="008B231D">
        <w:t xml:space="preserve"> mit</w:t>
      </w:r>
      <w:r w:rsidR="00F62053">
        <w:t xml:space="preserve"> 750 Up</w:t>
      </w:r>
      <w:r w:rsidR="003C4662">
        <w:t>M</w:t>
      </w:r>
      <w:r>
        <w:t xml:space="preserve"> tropfenweise zu 150 ml einer wässrigen Lösung</w:t>
      </w:r>
      <w:r w:rsidR="003C4662">
        <w:t xml:space="preserve"> (W</w:t>
      </w:r>
      <w:r w:rsidR="003C4662">
        <w:rPr>
          <w:vertAlign w:val="subscript"/>
        </w:rPr>
        <w:t>2</w:t>
      </w:r>
      <w:r w:rsidR="003C4662">
        <w:t>)</w:t>
      </w:r>
      <w:r>
        <w:t xml:space="preserve"> von Polyvinylalkohol (PVA) gegeben.</w:t>
      </w:r>
      <w:r w:rsidR="003C4662">
        <w:t xml:space="preserve"> Nach vollständiger Zugabe der Primäremulsion wurde die D</w:t>
      </w:r>
      <w:r w:rsidR="008B231D">
        <w:t>oppelemulsion für 20 Minuten mit</w:t>
      </w:r>
      <w:r w:rsidR="00634787">
        <w:t xml:space="preserve"> 1.000 Up</w:t>
      </w:r>
      <w:r w:rsidR="003C4662">
        <w:t>M mit einem Magnetrührer gerührt und im Anschluss daran in gleicher Weise wie bereits die Primäremulsion mit dem Microfluidize</w:t>
      </w:r>
      <w:r w:rsidR="008B231D">
        <w:t>r bzw. mit</w:t>
      </w:r>
      <w:r w:rsidR="003C4662">
        <w:t xml:space="preserve"> dem Ultra-Turrax homogenisiert. Die W</w:t>
      </w:r>
      <w:r w:rsidR="003C4662">
        <w:rPr>
          <w:vertAlign w:val="subscript"/>
        </w:rPr>
        <w:t>2</w:t>
      </w:r>
      <w:r w:rsidR="003C4662">
        <w:t xml:space="preserve"> Lösung wurde mit unterschiedlichen PVA Konzentrationen zwischen 0,1 und 2,5% hergestellt, indem die entsprechende Menge </w:t>
      </w:r>
      <w:r w:rsidR="008B231D">
        <w:t xml:space="preserve">an </w:t>
      </w:r>
      <w:r w:rsidR="003C4662">
        <w:t>Stabilisator in demineralisiertem Wasser unter Rühren mit dem Magnetrühr</w:t>
      </w:r>
      <w:r w:rsidR="008B231D">
        <w:t>er mit</w:t>
      </w:r>
      <w:r w:rsidR="00F62053">
        <w:t xml:space="preserve"> 600 Up</w:t>
      </w:r>
      <w:r w:rsidR="003C4662">
        <w:t>M über Nacht gelöst wurde.</w:t>
      </w:r>
    </w:p>
    <w:p w14:paraId="068FA073" w14:textId="77777777" w:rsidR="008B231D" w:rsidRDefault="008B231D" w:rsidP="00334081">
      <w:r>
        <w:t>Nach der Homogenisierung der Doppelemulsion wurde das Ethylacetat mit einem Rotationsverdampfer (</w:t>
      </w:r>
      <w:r w:rsidRPr="00612975">
        <w:t xml:space="preserve">Laborota 4011 digital, Heidolph Instruments GmbH &amp; Co. KG, Deutschland) </w:t>
      </w:r>
      <w:r w:rsidRPr="008B231D">
        <w:t>unter Anlegen eines</w:t>
      </w:r>
      <w:r>
        <w:t xml:space="preserve"> Vak</w:t>
      </w:r>
      <w:r w:rsidR="001B186A">
        <w:t>uums von 4</w:t>
      </w:r>
      <w:r w:rsidRPr="008B231D">
        <w:t>0 mbar</w:t>
      </w:r>
      <w:r w:rsidR="00F71178">
        <w:t xml:space="preserve"> (schrittweise und allmählich absenken)</w:t>
      </w:r>
      <w:r w:rsidRPr="008B231D">
        <w:t xml:space="preserve"> bei einer Temperatur von 30</w:t>
      </w:r>
      <w:r w:rsidR="00D25750">
        <w:t xml:space="preserve"> </w:t>
      </w:r>
      <w:r w:rsidRPr="008B231D">
        <w:t>°C</w:t>
      </w:r>
      <w:r>
        <w:t xml:space="preserve"> über die Dauer von 20 min</w:t>
      </w:r>
      <w:r w:rsidRPr="008B231D">
        <w:t xml:space="preserve"> abgezogen.</w:t>
      </w:r>
    </w:p>
    <w:p w14:paraId="4F0B214F" w14:textId="77777777" w:rsidR="009F172E" w:rsidRDefault="009F172E" w:rsidP="00334081"/>
    <w:p w14:paraId="7909C31D" w14:textId="77777777" w:rsidR="00D464A8" w:rsidRPr="009F172E" w:rsidRDefault="000F7E0E" w:rsidP="00045315">
      <w:pPr>
        <w:pStyle w:val="berschrift5"/>
        <w:spacing w:after="240"/>
        <w:rPr>
          <w:color w:val="000000" w:themeColor="text1"/>
        </w:rPr>
      </w:pPr>
      <w:bookmarkStart w:id="122" w:name="_Toc294380198"/>
      <w:r w:rsidRPr="009F172E">
        <w:rPr>
          <w:color w:val="000000" w:themeColor="text1"/>
        </w:rPr>
        <w:t>Aufreinigung</w:t>
      </w:r>
      <w:r w:rsidR="00D464A8" w:rsidRPr="009F172E">
        <w:rPr>
          <w:color w:val="000000" w:themeColor="text1"/>
        </w:rPr>
        <w:t xml:space="preserve"> der Partikel</w:t>
      </w:r>
      <w:r w:rsidRPr="009F172E">
        <w:rPr>
          <w:color w:val="000000" w:themeColor="text1"/>
        </w:rPr>
        <w:t>suspensionen</w:t>
      </w:r>
      <w:bookmarkEnd w:id="122"/>
    </w:p>
    <w:p w14:paraId="068F3390" w14:textId="77777777" w:rsidR="00D464A8" w:rsidRDefault="00572F13" w:rsidP="00D464A8">
      <w:r>
        <w:t>Zur Aufreinigung der Partikelsuspensionen wurden zwei unterschiedliche Methoden durchgeführt und hinsichtlich ihres Einflusses auf die Partikelgrößenverteilung und ihrer Praktikabilit</w:t>
      </w:r>
      <w:r w:rsidR="005552E5">
        <w:t>ät (z.B. Dauer)</w:t>
      </w:r>
      <w:r>
        <w:t xml:space="preserve"> bewertet. Zur Eval</w:t>
      </w:r>
      <w:r w:rsidR="00373723">
        <w:t>uierung des Prozesses wurde die</w:t>
      </w:r>
      <w:r>
        <w:t xml:space="preserve"> Partikelsuspension</w:t>
      </w:r>
      <w:r w:rsidR="00DB2CD1">
        <w:t xml:space="preserve"> aus einem Herstellungsgang</w:t>
      </w:r>
      <w:r>
        <w:t xml:space="preserve"> in zwei gleiche Hälften aufgeteilt und </w:t>
      </w:r>
      <w:r w:rsidR="000F7E0E">
        <w:t>jeweils nach</w:t>
      </w:r>
      <w:r w:rsidR="00A12EC6">
        <w:t xml:space="preserve"> einem der beiden folgenden Verfa</w:t>
      </w:r>
      <w:r w:rsidR="000F7E0E">
        <w:t>hren bearbeitet</w:t>
      </w:r>
      <w:r w:rsidR="00A12EC6">
        <w:t>:</w:t>
      </w:r>
    </w:p>
    <w:p w14:paraId="3EB9D0E3" w14:textId="77777777" w:rsidR="00A12EC6" w:rsidRDefault="00A12EC6" w:rsidP="00C60ACE">
      <w:pPr>
        <w:pStyle w:val="Listenabsatz"/>
        <w:numPr>
          <w:ilvl w:val="0"/>
          <w:numId w:val="27"/>
        </w:numPr>
        <w:ind w:left="714" w:hanging="357"/>
        <w:contextualSpacing w:val="0"/>
      </w:pPr>
      <w:r>
        <w:t>Die Partikelsuspension wurde in Zentrifugalkon</w:t>
      </w:r>
      <w:r w:rsidR="00A5315B">
        <w:t>zentratoren (Vivaspin 15 mit Polyethersulfon (PES)</w:t>
      </w:r>
      <w:r>
        <w:t xml:space="preserve"> Membran, </w:t>
      </w:r>
      <w:r w:rsidRPr="00A12EC6">
        <w:t>Sartorius Stedim Biotech GmbH</w:t>
      </w:r>
      <w:r>
        <w:t>, Deutschland)</w:t>
      </w:r>
      <w:r w:rsidRPr="00A12EC6">
        <w:t xml:space="preserve"> </w:t>
      </w:r>
      <w:r>
        <w:t xml:space="preserve">mit </w:t>
      </w:r>
      <w:r>
        <w:lastRenderedPageBreak/>
        <w:t>einem</w:t>
      </w:r>
      <w:r w:rsidR="00DB235C" w:rsidRPr="00DB235C">
        <w:t xml:space="preserve"> </w:t>
      </w:r>
      <w:r w:rsidR="00DB235C">
        <w:t>Molecular Weight Cut Off</w:t>
      </w:r>
      <w:r>
        <w:t xml:space="preserve"> </w:t>
      </w:r>
      <w:r w:rsidR="00DB235C">
        <w:t>(</w:t>
      </w:r>
      <w:r>
        <w:t>MWCO</w:t>
      </w:r>
      <w:r w:rsidR="00DB235C">
        <w:t>)</w:t>
      </w:r>
      <w:r>
        <w:t xml:space="preserve"> von 100 kDa eingefüllt und bei 1.400 rcf über die Dauer von einer Stunde zentrifugiert (</w:t>
      </w:r>
      <w:r w:rsidRPr="00A12EC6">
        <w:t>Centrifuge 5702 R, Eppendorf AG, Hamburg</w:t>
      </w:r>
      <w:r>
        <w:t>, Deutschland). Anschließend wurde das Filtrat verworfen, die aufkonzentrierte Suspension mit Wass</w:t>
      </w:r>
      <w:r w:rsidR="00C60ACE">
        <w:t>er verdünnt</w:t>
      </w:r>
      <w:r>
        <w:t xml:space="preserve"> und erneut für eine Stunde zentrifugiert. Nachdem dieser Waschvorgang noch ein weiteres Mal wiederholt wurde, </w:t>
      </w:r>
      <w:r w:rsidR="00C60ACE">
        <w:t>um den größten Anteil an Stabilisator zu entfernen, wurde die Partikelsuspension wieder vereinigt und auf das gleiche Volumen mit Wasser aufgefüllt wie vor dem Waschprozess.</w:t>
      </w:r>
    </w:p>
    <w:p w14:paraId="798F696E" w14:textId="77777777" w:rsidR="00A12EC6" w:rsidRDefault="00C60ACE" w:rsidP="00A12EC6">
      <w:pPr>
        <w:pStyle w:val="Listenabsatz"/>
        <w:numPr>
          <w:ilvl w:val="0"/>
          <w:numId w:val="27"/>
        </w:numPr>
      </w:pPr>
      <w:r>
        <w:t xml:space="preserve">Die Partikelsuspension wurde auf mehrere Eppendorf Reaktionsgefäße aliquotiert und für 15 min </w:t>
      </w:r>
      <w:r w:rsidR="00BC71CA">
        <w:t>mit 13.400 rcf zentrifugiert (</w:t>
      </w:r>
      <w:r w:rsidR="00BC71CA" w:rsidRPr="00BC71CA">
        <w:t>Centrifuge 5415 R</w:t>
      </w:r>
      <w:r w:rsidR="00BC71CA">
        <w:t>, Eppendorf AG, Hamburg, Deutschland). Nach Sedimentation der Partikel wurde der</w:t>
      </w:r>
      <w:r w:rsidR="00612975">
        <w:t xml:space="preserve"> klare</w:t>
      </w:r>
      <w:r w:rsidR="00BC71CA">
        <w:t xml:space="preserve"> Überstand dekantiert und die Partikel wurden redispergiert. Dazu wurden die Reaktionsgefäße mit demineralisiertem Wasser aufgefüllt, für ca. 1 min mit einem Vortexer auf höchster Stufe bearbeitet und zwischendurch mehrmals invertiert. Dieser Vorgang wurde insgesamt drei Mal durchgeführt. Nach dem letzten Waschschritt wurden die Partikelsuspensionen wieder vereinigt und auf das gleiche Volumen mit Wasser aufgefüllt wie vor dem Waschprozess.</w:t>
      </w:r>
    </w:p>
    <w:p w14:paraId="0DCCA06B" w14:textId="77777777" w:rsidR="000F7E0E" w:rsidRPr="00D464A8" w:rsidRDefault="000F7E0E" w:rsidP="000F7E0E">
      <w:pPr>
        <w:ind w:left="360"/>
      </w:pPr>
      <w:r>
        <w:t xml:space="preserve">Um den Einfluss der beiden Aufreinigungsprozesse auf die mittlere Partikelgröße und die Partikelgrößenverteilung zu testen, wurden die Partikelsuspensionen jeweils vor und nach der Aufreinigung </w:t>
      </w:r>
      <w:r w:rsidR="00A5315B">
        <w:t xml:space="preserve">mittels Dynamischer Lichtstreuung (DLS, engl.: </w:t>
      </w:r>
      <w:r w:rsidR="00A5315B">
        <w:rPr>
          <w:i/>
        </w:rPr>
        <w:t>Dynamic Light S</w:t>
      </w:r>
      <w:r w:rsidR="00A5315B" w:rsidRPr="00A5315B">
        <w:rPr>
          <w:i/>
        </w:rPr>
        <w:t>cattering</w:t>
      </w:r>
      <w:r w:rsidR="00A5315B">
        <w:t>)</w:t>
      </w:r>
      <w:r>
        <w:t xml:space="preserve"> charakterisiert.</w:t>
      </w:r>
      <w:r w:rsidR="004E3F96">
        <w:t xml:space="preserve"> Die Beschreibung de</w:t>
      </w:r>
      <w:r w:rsidR="00C42C26">
        <w:t>r DLS Methode erfolgt in Abschnitt</w:t>
      </w:r>
      <w:r w:rsidR="004E3F96">
        <w:t xml:space="preserve"> </w:t>
      </w:r>
      <w:r w:rsidR="00D16240">
        <w:fldChar w:fldCharType="begin"/>
      </w:r>
      <w:r w:rsidR="004E3F96">
        <w:instrText xml:space="preserve"> REF _Ref272679469 \n \h </w:instrText>
      </w:r>
      <w:r w:rsidR="00D16240">
        <w:fldChar w:fldCharType="separate"/>
      </w:r>
      <w:r w:rsidR="00711AB8">
        <w:t>4.1.5</w:t>
      </w:r>
      <w:r w:rsidR="00D16240">
        <w:fldChar w:fldCharType="end"/>
      </w:r>
      <w:r w:rsidR="004E3F96">
        <w:t>.</w:t>
      </w:r>
    </w:p>
    <w:p w14:paraId="7E32DB4B" w14:textId="77777777" w:rsidR="004F3389" w:rsidRDefault="00DF7D6B" w:rsidP="00E71524">
      <w:pPr>
        <w:pStyle w:val="berschrift4"/>
      </w:pPr>
      <w:bookmarkStart w:id="123" w:name="_Toc294380199"/>
      <w:r w:rsidRPr="00DF7D6B">
        <w:t>Herstellung von Nanopartikeln aus überkritischen Lösungen</w:t>
      </w:r>
      <w:bookmarkEnd w:id="123"/>
    </w:p>
    <w:p w14:paraId="0013D5D2" w14:textId="77777777" w:rsidR="00ED0CF8" w:rsidRPr="00DF7D6B" w:rsidRDefault="00957085" w:rsidP="00080FF0">
      <w:pPr>
        <w:spacing w:after="120"/>
      </w:pPr>
      <w:r>
        <w:t>Da sie sich deutlich von den hier beschriebenen Methoden unterscheidet und einer besonders umfangreichen Beschreibung bedarf, wird</w:t>
      </w:r>
      <w:r w:rsidR="004C7DB0">
        <w:t xml:space="preserve"> </w:t>
      </w:r>
      <w:r>
        <w:t xml:space="preserve">die </w:t>
      </w:r>
      <w:r w:rsidR="009E3756">
        <w:t xml:space="preserve">alternative </w:t>
      </w:r>
      <w:r w:rsidR="004C7DB0">
        <w:t>Herstell</w:t>
      </w:r>
      <w:r w:rsidR="009E3756">
        <w:t>ungsmethode von Polymernanopartikeln durch Entspannung</w:t>
      </w:r>
      <w:r w:rsidR="004C7DB0">
        <w:t xml:space="preserve"> überkritischer Lösung</w:t>
      </w:r>
      <w:r w:rsidR="009E3756">
        <w:t>en</w:t>
      </w:r>
      <w:r w:rsidR="004C7DB0">
        <w:t xml:space="preserve"> in Kapitel </w:t>
      </w:r>
      <w:r w:rsidR="00D16240">
        <w:fldChar w:fldCharType="begin"/>
      </w:r>
      <w:r w:rsidR="004C7DB0">
        <w:instrText xml:space="preserve"> REF _Ref269138638 \r \h </w:instrText>
      </w:r>
      <w:r w:rsidR="00D16240">
        <w:fldChar w:fldCharType="separate"/>
      </w:r>
      <w:r w:rsidR="00711AB8">
        <w:t>4.6</w:t>
      </w:r>
      <w:r w:rsidR="00D16240">
        <w:fldChar w:fldCharType="end"/>
      </w:r>
      <w:r w:rsidR="004C7DB0">
        <w:t xml:space="preserve"> </w:t>
      </w:r>
      <w:r>
        <w:t>gesondert</w:t>
      </w:r>
      <w:r w:rsidR="004E3F96">
        <w:t xml:space="preserve"> </w:t>
      </w:r>
      <w:r>
        <w:t>abgehandelt</w:t>
      </w:r>
      <w:r w:rsidR="004C7DB0">
        <w:t>.</w:t>
      </w:r>
      <w:r w:rsidR="000C62C8">
        <w:t xml:space="preserve"> Einige der in diesem Zusammenhang speziell benötigten Methoden werden ausschließlich dort und nicht in Kapitel </w:t>
      </w:r>
      <w:r w:rsidR="00D16240">
        <w:fldChar w:fldCharType="begin"/>
      </w:r>
      <w:r w:rsidR="000C62C8">
        <w:instrText xml:space="preserve"> REF _Ref273309973 \n \h </w:instrText>
      </w:r>
      <w:r w:rsidR="00D16240">
        <w:fldChar w:fldCharType="separate"/>
      </w:r>
      <w:r w:rsidR="00711AB8">
        <w:t>4.1</w:t>
      </w:r>
      <w:r w:rsidR="00D16240">
        <w:fldChar w:fldCharType="end"/>
      </w:r>
      <w:r w:rsidR="000C62C8">
        <w:t xml:space="preserve"> beschrieben.</w:t>
      </w:r>
    </w:p>
    <w:p w14:paraId="13FE7949" w14:textId="77777777" w:rsidR="00996F38" w:rsidRDefault="00DF7D6B" w:rsidP="00996F38">
      <w:pPr>
        <w:pStyle w:val="berschrift3"/>
      </w:pPr>
      <w:bookmarkStart w:id="124" w:name="_Ref273306680"/>
      <w:bookmarkStart w:id="125" w:name="_Ref279350799"/>
      <w:bookmarkStart w:id="126" w:name="_Ref279350803"/>
      <w:bookmarkStart w:id="127" w:name="_Toc294380200"/>
      <w:r>
        <w:t>Funktionalisierung der Partikeloberfläche</w:t>
      </w:r>
      <w:r w:rsidR="009F172E">
        <w:t xml:space="preserve"> mit</w:t>
      </w:r>
      <w:r w:rsidRPr="00DF7D6B">
        <w:t xml:space="preserve"> Peptid</w:t>
      </w:r>
      <w:bookmarkEnd w:id="124"/>
      <w:r w:rsidR="009F172E">
        <w:t>molekülen</w:t>
      </w:r>
      <w:bookmarkEnd w:id="125"/>
      <w:bookmarkEnd w:id="126"/>
      <w:bookmarkEnd w:id="127"/>
    </w:p>
    <w:p w14:paraId="247FAE81" w14:textId="77777777" w:rsidR="00474DBF" w:rsidRDefault="00474DBF" w:rsidP="00474DBF">
      <w:r>
        <w:t>Die Beschichtung der Partikelober</w:t>
      </w:r>
      <w:r w:rsidR="009E3756">
        <w:t>fläche mit funktionalen Peptidmolekülen</w:t>
      </w:r>
      <w:r>
        <w:t xml:space="preserve"> </w:t>
      </w:r>
      <w:r w:rsidR="009E3756">
        <w:t xml:space="preserve">erfolgte direkt nach der Herstellung und Aufreinigung der Partikelsuspension durch 2 stündige Inkubation der Polymerpartikel </w:t>
      </w:r>
      <w:r w:rsidR="0035356A">
        <w:t>in einer Lösung von 1 mg/ml</w:t>
      </w:r>
      <w:r w:rsidR="009E3756">
        <w:t xml:space="preserve"> des funktionalen Peptids. Die Partikel wurden anschließend ohne nochmalige Aufreinigung </w:t>
      </w:r>
      <w:r w:rsidR="001B1A82">
        <w:t>gefrier</w:t>
      </w:r>
      <w:r w:rsidR="009E3756">
        <w:t>getrocknet.</w:t>
      </w:r>
    </w:p>
    <w:p w14:paraId="515648D9" w14:textId="77777777" w:rsidR="00427CD0" w:rsidRPr="00474DBF" w:rsidRDefault="0026515B" w:rsidP="00474DBF">
      <w:r>
        <w:lastRenderedPageBreak/>
        <w:t>Der Erfolg der Beschichtung wurde durch Vergleich der Oberflächenpotentiale der Partikel vor und nach Inkubation mit dem hLF Peptidfragment beurteilt.</w:t>
      </w:r>
    </w:p>
    <w:p w14:paraId="7635871E" w14:textId="77777777" w:rsidR="00996F38" w:rsidRDefault="00DF7D6B" w:rsidP="00996F38">
      <w:pPr>
        <w:pStyle w:val="berschrift3"/>
      </w:pPr>
      <w:bookmarkStart w:id="128" w:name="_Ref273140541"/>
      <w:bookmarkStart w:id="129" w:name="_Ref273306682"/>
      <w:bookmarkStart w:id="130" w:name="_Toc294380201"/>
      <w:r w:rsidRPr="00DF7D6B">
        <w:t>Gefriertrocknung von Nanosuspensionen</w:t>
      </w:r>
      <w:bookmarkEnd w:id="128"/>
      <w:bookmarkEnd w:id="129"/>
      <w:bookmarkEnd w:id="130"/>
    </w:p>
    <w:p w14:paraId="7E8D8560" w14:textId="77777777" w:rsidR="00F5312E" w:rsidRDefault="00F5312E" w:rsidP="0058634B">
      <w:r>
        <w:t xml:space="preserve">Da </w:t>
      </w:r>
      <w:r w:rsidR="00783EF0">
        <w:t>w</w:t>
      </w:r>
      <w:r>
        <w:t>esentliche</w:t>
      </w:r>
      <w:r w:rsidR="00783EF0">
        <w:t xml:space="preserve"> Inhaltsstoffe</w:t>
      </w:r>
      <w:r w:rsidR="00F71178">
        <w:t xml:space="preserve"> der Formulierungen bei Anwesenheit von Wasser</w:t>
      </w:r>
      <w:r w:rsidR="00783EF0">
        <w:t xml:space="preserve"> abgebaut werden, ist die Trocknung der wässrigen Partikelsuspensionen</w:t>
      </w:r>
      <w:r>
        <w:t xml:space="preserve"> eine grundsätzliche Voraussetzung, um eine ausreichende Lagerstabilität über mehrere Monate hinweg gewährleisten zu können</w:t>
      </w:r>
      <w:r w:rsidR="00783EF0">
        <w:t xml:space="preserve">. </w:t>
      </w:r>
      <w:r>
        <w:t>Bei Anwesenheit größerer Mengen Wasser erfolgt</w:t>
      </w:r>
      <w:r w:rsidR="00CB0281">
        <w:t xml:space="preserve"> </w:t>
      </w:r>
      <w:r w:rsidR="00B816F9">
        <w:t>ein</w:t>
      </w:r>
      <w:r>
        <w:t xml:space="preserve"> hydrolytischer</w:t>
      </w:r>
      <w:r w:rsidR="00B816F9">
        <w:t xml:space="preserve"> Abbau von PLGA zu Milchsäure und Glycolsäure</w:t>
      </w:r>
      <w:bookmarkStart w:id="131" w:name="_Ref275896201"/>
      <w:r w:rsidR="00B816F9">
        <w:rPr>
          <w:rStyle w:val="Endnotenzeichen"/>
        </w:rPr>
        <w:endnoteReference w:id="123"/>
      </w:r>
      <w:bookmarkEnd w:id="131"/>
      <w:r w:rsidR="00EF281A">
        <w:t>. D</w:t>
      </w:r>
      <w:r w:rsidR="00D47E45">
        <w:t>ie Stabilität</w:t>
      </w:r>
      <w:r w:rsidR="00783EF0">
        <w:t xml:space="preserve"> des</w:t>
      </w:r>
      <w:r w:rsidR="00CB0281">
        <w:t xml:space="preserve"> </w:t>
      </w:r>
      <w:r w:rsidR="00EF281A">
        <w:t>Modellpeptid</w:t>
      </w:r>
      <w:r w:rsidR="00783EF0">
        <w:t>es</w:t>
      </w:r>
      <w:r w:rsidR="00CB0281">
        <w:t xml:space="preserve"> Desmopressin</w:t>
      </w:r>
      <w:r w:rsidR="00783EF0">
        <w:t xml:space="preserve"> wird durch die Anwesenheit von Wasser</w:t>
      </w:r>
      <w:r>
        <w:t xml:space="preserve"> ebenfalls</w:t>
      </w:r>
      <w:r w:rsidR="00783EF0">
        <w:t xml:space="preserve"> drastisch reduziert</w:t>
      </w:r>
      <w:r w:rsidR="00EF281A">
        <w:t xml:space="preserve">. </w:t>
      </w:r>
      <w:r w:rsidR="00783EF0">
        <w:t>Eine</w:t>
      </w:r>
      <w:r w:rsidR="00EF281A">
        <w:t xml:space="preserve"> Lagerung</w:t>
      </w:r>
      <w:r w:rsidR="00783EF0">
        <w:t xml:space="preserve"> des festen Materials</w:t>
      </w:r>
      <w:r w:rsidR="00EF281A">
        <w:t xml:space="preserve"> bei einer relativen Luftfeuchtigkeit von mehr als 30%</w:t>
      </w:r>
      <w:r w:rsidR="00CB0281">
        <w:t xml:space="preserve"> </w:t>
      </w:r>
      <w:r w:rsidR="00EF281A">
        <w:t xml:space="preserve">wirkt sich bereits innerhalb </w:t>
      </w:r>
      <w:r w:rsidR="00D47E45">
        <w:t>weniger Wochen deutlich</w:t>
      </w:r>
      <w:r w:rsidR="00EF281A">
        <w:t xml:space="preserve"> auf die Haltbarkeit des Moleküls aus</w:t>
      </w:r>
      <w:bookmarkStart w:id="132" w:name="_Ref282628784"/>
      <w:r>
        <w:rPr>
          <w:rStyle w:val="Endnotenzeichen"/>
        </w:rPr>
        <w:endnoteReference w:id="124"/>
      </w:r>
      <w:bookmarkEnd w:id="132"/>
      <w:r w:rsidR="00783EF0">
        <w:t>.</w:t>
      </w:r>
      <w:r w:rsidR="008C38FF">
        <w:t xml:space="preserve"> </w:t>
      </w:r>
      <w:r w:rsidR="00CF62F1">
        <w:t>Während der Gehalt nach 12 Wochen Lagerung bei einer erhöhten Temperatur von 58</w:t>
      </w:r>
      <w:r w:rsidR="00D25750">
        <w:t xml:space="preserve"> </w:t>
      </w:r>
      <w:r w:rsidR="00CF62F1">
        <w:t>°C bei einer relativen Luftfeuchtig</w:t>
      </w:r>
      <w:r w:rsidR="00552821">
        <w:t>keit von 11% noch bei 100% lag, fiel</w:t>
      </w:r>
      <w:r w:rsidR="00CF62F1">
        <w:t xml:space="preserve"> er bei einer Feuchte von </w:t>
      </w:r>
      <w:r w:rsidR="00552821">
        <w:t>30% bei gleicher Temperatur bereits auf 47% ab</w:t>
      </w:r>
      <w:r w:rsidR="00D16240">
        <w:fldChar w:fldCharType="begin"/>
      </w:r>
      <w:r w:rsidR="00552821">
        <w:instrText xml:space="preserve"> NOTEREF _Ref282628784 \f \h </w:instrText>
      </w:r>
      <w:r w:rsidR="00D16240">
        <w:fldChar w:fldCharType="separate"/>
      </w:r>
      <w:r w:rsidR="00711AB8" w:rsidRPr="00711AB8">
        <w:rPr>
          <w:rStyle w:val="Endnotenzeichen"/>
        </w:rPr>
        <w:t>124</w:t>
      </w:r>
      <w:r w:rsidR="00D16240">
        <w:fldChar w:fldCharType="end"/>
      </w:r>
      <w:r w:rsidR="00552821">
        <w:t>.</w:t>
      </w:r>
    </w:p>
    <w:p w14:paraId="1642C144" w14:textId="77777777" w:rsidR="0058634B" w:rsidRDefault="004E3F96" w:rsidP="0058634B">
      <w:r>
        <w:t>Zur Trocknung der Partikelsuspensionen</w:t>
      </w:r>
      <w:r w:rsidR="008C38FF">
        <w:t xml:space="preserve"> wurden zwei unterschiedliche Verfahren evaluiert: die Gefriertrocknung und die Sprühtrocknung.</w:t>
      </w:r>
      <w:r>
        <w:t xml:space="preserve"> Es folgt zunächst die Beschreibung der Gefriertrocknung, die Sprühtrocknung wird in Kapitel </w:t>
      </w:r>
      <w:r w:rsidR="00D16240">
        <w:fldChar w:fldCharType="begin"/>
      </w:r>
      <w:r>
        <w:instrText xml:space="preserve"> REF _Ref272679741 \n \h </w:instrText>
      </w:r>
      <w:r w:rsidR="00D16240">
        <w:fldChar w:fldCharType="separate"/>
      </w:r>
      <w:r w:rsidR="00711AB8">
        <w:t>4.1.4</w:t>
      </w:r>
      <w:r w:rsidR="00D16240">
        <w:fldChar w:fldCharType="end"/>
      </w:r>
      <w:r>
        <w:t xml:space="preserve"> beschrieben.</w:t>
      </w:r>
    </w:p>
    <w:p w14:paraId="19FD1E41" w14:textId="77777777" w:rsidR="009E3756" w:rsidRDefault="003B338C" w:rsidP="0058634B">
      <w:r>
        <w:t xml:space="preserve">Zur Stabilisierung </w:t>
      </w:r>
      <w:r w:rsidR="006B32BC">
        <w:t>der getrockneten Partikel wurden</w:t>
      </w:r>
      <w:r>
        <w:t xml:space="preserve"> der Partikelsuspension vor der G</w:t>
      </w:r>
      <w:r w:rsidR="006B32BC">
        <w:t>efriertrocknung</w:t>
      </w:r>
      <w:r w:rsidR="008F1E51">
        <w:t xml:space="preserve"> weitere Hilfsstoffe</w:t>
      </w:r>
      <w:r w:rsidR="004E3F96">
        <w:t xml:space="preserve"> zugesetzt. Dazu</w:t>
      </w:r>
      <w:r w:rsidR="006B32BC">
        <w:t xml:space="preserve"> wurden unterschiedliche Substanze</w:t>
      </w:r>
      <w:r w:rsidR="004E3F96">
        <w:t>n und deren Mischungen getestet</w:t>
      </w:r>
      <w:r w:rsidR="006B32BC">
        <w:t xml:space="preserve"> und hinsichtlich ihres Einflusses auf die Redispergierbarkeit der getrockneten Partikel bewertet. </w:t>
      </w:r>
      <w:r w:rsidR="00207EB1">
        <w:t>Getestet wurden Mannitol, Sorbitol, L-Isoleucin und PVA in unterschiedlichen Konzentrationen zwischen 0,6</w:t>
      </w:r>
      <w:r w:rsidR="00353720">
        <w:t>%</w:t>
      </w:r>
      <w:r w:rsidR="00207EB1">
        <w:t xml:space="preserve"> und 3,0% </w:t>
      </w:r>
      <w:r w:rsidR="00353720">
        <w:t xml:space="preserve">relativ zur </w:t>
      </w:r>
      <w:r w:rsidR="004861A4">
        <w:t xml:space="preserve">gesamten </w:t>
      </w:r>
      <w:r w:rsidR="00353720">
        <w:t>Masse der Suspension.</w:t>
      </w:r>
    </w:p>
    <w:p w14:paraId="1E7E6135" w14:textId="77777777" w:rsidR="006571D3" w:rsidRDefault="00353720" w:rsidP="0058634B">
      <w:pPr>
        <w:contextualSpacing/>
      </w:pPr>
      <w:r>
        <w:t>Die Partikelsuspension wurde in</w:t>
      </w:r>
      <w:r w:rsidR="00F62053">
        <w:t xml:space="preserve"> Injektionsflaschen aus Glas</w:t>
      </w:r>
      <w:r>
        <w:t xml:space="preserve"> eingefüllt und mit einem Gefriertrockner (Epsilon 2-6D Ac, Martin Christ, Deutschland) getrocknet.</w:t>
      </w:r>
      <w:r w:rsidR="00BE1E29">
        <w:t xml:space="preserve"> Dazu wurde die Suspension bei -50</w:t>
      </w:r>
      <w:r w:rsidR="00D25750">
        <w:t xml:space="preserve"> </w:t>
      </w:r>
      <w:r w:rsidR="00BE1E29">
        <w:t xml:space="preserve">°C für 3 Stunden eingefroren und anschließend bei </w:t>
      </w:r>
      <w:r w:rsidR="00E63E1A">
        <w:t xml:space="preserve">einem </w:t>
      </w:r>
      <w:r w:rsidR="00BE1E29">
        <w:t xml:space="preserve">Druck von 0,011 mbar getrocknet. </w:t>
      </w:r>
      <w:r w:rsidR="00E63E1A">
        <w:t xml:space="preserve">Die </w:t>
      </w:r>
      <w:r w:rsidR="008F1E51">
        <w:t>Stellflächent</w:t>
      </w:r>
      <w:r w:rsidR="00E63E1A">
        <w:t>emperatur wurde zu Beginn der Haupttrocknung auf</w:t>
      </w:r>
      <w:r w:rsidR="006571D3">
        <w:t xml:space="preserve"> </w:t>
      </w:r>
    </w:p>
    <w:p w14:paraId="7163ED91" w14:textId="77777777" w:rsidR="00353720" w:rsidRPr="00CB0281" w:rsidRDefault="006571D3" w:rsidP="0058634B">
      <w:pPr>
        <w:contextualSpacing/>
      </w:pPr>
      <w:r>
        <w:t>-</w:t>
      </w:r>
      <w:r w:rsidR="00E63E1A">
        <w:t>10</w:t>
      </w:r>
      <w:r w:rsidR="00D25750">
        <w:t xml:space="preserve"> </w:t>
      </w:r>
      <w:r w:rsidR="00E63E1A">
        <w:t>°C angehoben und sukzessive</w:t>
      </w:r>
      <w:r w:rsidR="008F1E51">
        <w:t xml:space="preserve"> über einen Zeitraum von 4 Stunden </w:t>
      </w:r>
      <w:r w:rsidR="00BB03C7">
        <w:t>hinweg bis auf 12</w:t>
      </w:r>
      <w:r w:rsidR="00A426B8">
        <w:t xml:space="preserve"> </w:t>
      </w:r>
      <w:r w:rsidR="00BB03C7">
        <w:t>°C erhöht. Bei</w:t>
      </w:r>
      <w:r w:rsidR="008F1E51">
        <w:t xml:space="preserve"> diesen Bedingungen wurde über einen Zeitraum von 35 Stunden getrocknet. Anschließend wurde eine 6 stündige Nachtrocknung bei einem Druck von 0,003 mbar und einer Stellflächentemperatur von 15</w:t>
      </w:r>
      <w:r w:rsidR="00D25750">
        <w:t xml:space="preserve"> </w:t>
      </w:r>
      <w:r w:rsidR="008F1E51">
        <w:t>°C durchgeführt.</w:t>
      </w:r>
      <w:r w:rsidR="00E63E1A">
        <w:t xml:space="preserve"> </w:t>
      </w:r>
      <w:r w:rsidR="00BE1E29">
        <w:t>Der gesamte Trocknungsprozess dauerte 48 Stunden.</w:t>
      </w:r>
    </w:p>
    <w:p w14:paraId="219DC02D" w14:textId="77777777" w:rsidR="00171F86" w:rsidRDefault="00DF7D6B" w:rsidP="00996F38">
      <w:pPr>
        <w:pStyle w:val="berschrift3"/>
      </w:pPr>
      <w:bookmarkStart w:id="133" w:name="_Ref272679741"/>
      <w:bookmarkStart w:id="134" w:name="_Toc294380202"/>
      <w:r w:rsidRPr="00DF7D6B">
        <w:lastRenderedPageBreak/>
        <w:t>Sprühtrocknung von Nanosuspensionen</w:t>
      </w:r>
      <w:bookmarkEnd w:id="133"/>
      <w:bookmarkEnd w:id="134"/>
    </w:p>
    <w:p w14:paraId="3BE2326C" w14:textId="77777777" w:rsidR="00BE1E29" w:rsidRDefault="004D0D5A" w:rsidP="00BE1E29">
      <w:r>
        <w:t>Zur Vorbereitung</w:t>
      </w:r>
      <w:r w:rsidR="00BE1E29">
        <w:t xml:space="preserve"> d</w:t>
      </w:r>
      <w:r w:rsidR="00E37DE0">
        <w:t>er Sprühlösung wurde</w:t>
      </w:r>
      <w:r w:rsidR="00BE1E29">
        <w:t xml:space="preserve"> </w:t>
      </w:r>
      <w:r w:rsidR="00E37DE0">
        <w:t>der Partikelsuspension eine wässrige Lösung von L-Isoleucin zugesetzt. In der Literatur wird berichtet, dass die</w:t>
      </w:r>
      <w:r w:rsidR="00BB03C7">
        <w:t>se</w:t>
      </w:r>
      <w:r w:rsidR="00E37DE0">
        <w:t xml:space="preserve"> Aminosäure die Redispergierbarkeit sprühgetrockneter Partikel</w:t>
      </w:r>
      <w:r w:rsidR="008C38FF">
        <w:t xml:space="preserve"> in Wasser verbessert und</w:t>
      </w:r>
      <w:r w:rsidR="006571D3">
        <w:t xml:space="preserve"> eine</w:t>
      </w:r>
      <w:r w:rsidR="008C38FF">
        <w:t xml:space="preserve"> stabilisierende Wirkung auf Proteine hat</w:t>
      </w:r>
      <w:r w:rsidR="008C38FF">
        <w:rPr>
          <w:rStyle w:val="Endnotenzeichen"/>
        </w:rPr>
        <w:endnoteReference w:id="125"/>
      </w:r>
      <w:r w:rsidR="008C38FF">
        <w:t>. Es wurden unterschiedl</w:t>
      </w:r>
      <w:r w:rsidR="00951D87">
        <w:t>iche Konzentrationen von L-Isole</w:t>
      </w:r>
      <w:r w:rsidR="008C38FF">
        <w:t>ucin zwischen 0,2% und 1,0%</w:t>
      </w:r>
      <w:r w:rsidR="00951D87">
        <w:t xml:space="preserve"> bei ein</w:t>
      </w:r>
      <w:r w:rsidR="00A426B8">
        <w:t>er Polymerkonzentration von 0,4</w:t>
      </w:r>
      <w:r w:rsidR="00951D87">
        <w:t>% (jeweils m/m Verhältnis)</w:t>
      </w:r>
      <w:r w:rsidR="008C38FF">
        <w:t xml:space="preserve"> getestet.</w:t>
      </w:r>
      <w:r>
        <w:t xml:space="preserve"> Es wurd</w:t>
      </w:r>
      <w:r w:rsidR="00F71178">
        <w:t>en aufgereinigte Proben und PVA-</w:t>
      </w:r>
      <w:r>
        <w:t>haltige Proben ohne Durchführ</w:t>
      </w:r>
      <w:r w:rsidR="008F26E8">
        <w:t>ung des Waschschrittes versprüht.</w:t>
      </w:r>
    </w:p>
    <w:p w14:paraId="6FB53C49" w14:textId="77777777" w:rsidR="00951D87" w:rsidRPr="00BE1E29" w:rsidRDefault="00951D87" w:rsidP="00BE1E29">
      <w:r>
        <w:t xml:space="preserve">Die Partikelsuspension wurde mit einem Büchi B-90 Sprühtrockner (Büchi AG, Schweiz) </w:t>
      </w:r>
      <w:r w:rsidR="00196971">
        <w:t>bei</w:t>
      </w:r>
      <w:r w:rsidR="002A53DD">
        <w:t xml:space="preserve"> einer Einlasstem</w:t>
      </w:r>
      <w:r w:rsidR="00196971">
        <w:t>peratur von 60</w:t>
      </w:r>
      <w:r w:rsidR="00A426B8">
        <w:t xml:space="preserve"> </w:t>
      </w:r>
      <w:r w:rsidR="00196971">
        <w:t xml:space="preserve">°C, </w:t>
      </w:r>
      <w:r w:rsidR="002A53DD">
        <w:t>einem Luftstrom von 130 L/h, einer Sprührate von 90% unter Verwendung einer Düsenmembran mit einem Porendurchmesser von 7,0 µm getro</w:t>
      </w:r>
      <w:r w:rsidR="00641856">
        <w:t>cknet. Da die Ablufttemperatur während des gesamten Prozesses</w:t>
      </w:r>
      <w:r w:rsidR="002A53DD">
        <w:t xml:space="preserve"> </w:t>
      </w:r>
      <w:r w:rsidR="00BB03C7">
        <w:t xml:space="preserve">maximal </w:t>
      </w:r>
      <w:r w:rsidR="002A53DD">
        <w:t>37</w:t>
      </w:r>
      <w:r w:rsidR="00A426B8">
        <w:t xml:space="preserve"> </w:t>
      </w:r>
      <w:r w:rsidR="002A53DD">
        <w:t>°C</w:t>
      </w:r>
      <w:r w:rsidR="00BB03C7">
        <w:t xml:space="preserve"> betrug</w:t>
      </w:r>
      <w:r w:rsidR="00641856">
        <w:t>, ist davon</w:t>
      </w:r>
      <w:r w:rsidR="00BB03C7">
        <w:t xml:space="preserve"> auszugehen, dass die Produkttemperatur diesen Betrag zu keinem Zeitpunkt überstieg</w:t>
      </w:r>
      <w:r w:rsidR="002A53DD">
        <w:t xml:space="preserve">. Nach dem Sprühvorgang wurden die Partikel mit einem </w:t>
      </w:r>
      <w:r w:rsidR="00641856">
        <w:t>Kunststoffschaber aus dem Partikel</w:t>
      </w:r>
      <w:r w:rsidR="00196971">
        <w:t>sammler entfernt und durch Wiegen des Pulvers die Ausbeute des Prozesses ermittelt.</w:t>
      </w:r>
    </w:p>
    <w:p w14:paraId="16D6C1AC" w14:textId="77777777" w:rsidR="00100131" w:rsidRDefault="00DF7D6B" w:rsidP="006F3F26">
      <w:pPr>
        <w:pStyle w:val="berschrift3"/>
      </w:pPr>
      <w:bookmarkStart w:id="135" w:name="_Ref272679469"/>
      <w:bookmarkStart w:id="136" w:name="_Toc294380203"/>
      <w:r w:rsidRPr="00DF7D6B">
        <w:t>Charakterisierung der Nanopartikel</w:t>
      </w:r>
      <w:bookmarkEnd w:id="135"/>
      <w:bookmarkEnd w:id="136"/>
    </w:p>
    <w:p w14:paraId="47D08E6B" w14:textId="77777777" w:rsidR="006F3F26" w:rsidRPr="006F3F26" w:rsidRDefault="003C0F5F" w:rsidP="006F3F26">
      <w:r>
        <w:t>Zur Optimierung bestimmter Herstellungsschritte sowie zur allgemeinen Charakterisierung der Partikelkerne wurden die folgenden analytischen Methoden verwendet:</w:t>
      </w:r>
    </w:p>
    <w:p w14:paraId="26F47BC9" w14:textId="77777777" w:rsidR="006F3F26" w:rsidRDefault="006F3F26" w:rsidP="006F3F26">
      <w:pPr>
        <w:pStyle w:val="Listenabsatz"/>
        <w:numPr>
          <w:ilvl w:val="0"/>
          <w:numId w:val="29"/>
        </w:numPr>
        <w:ind w:left="1066" w:hanging="357"/>
        <w:contextualSpacing w:val="0"/>
      </w:pPr>
      <w:r>
        <w:t>Partikelgröße und Partikelgrößenverteilung wurden in unterschiedlichen Phasen während des Herstellungsprozesses und zur Beurteilung der Redispergierbarkeit und der Stabilität getrockneter Partikelformulierungen gemessen. Dazu wurde eine Methode verwendet, die sich die Tatsache zu Nutze macht, dass eingestrahltes Licht von suspendierten Partikeln in unterschiedlichste Richtungen gestreut wird (Dynamic Light Scattering, kurz: DLS).</w:t>
      </w:r>
      <w:r w:rsidR="00F4386E">
        <w:t xml:space="preserve"> Die Methode zur Messung des Zetapotentials von Partikeln erfolgt ebenfalls durch Streulichtanalyse, allerdings wird hierbei zusätzlich ein elektrisches Feld angelegt (</w:t>
      </w:r>
      <w:r w:rsidR="00F4386E" w:rsidRPr="003D6536">
        <w:t>Electrophoretic Light Scattering</w:t>
      </w:r>
      <w:r w:rsidR="00F4386E">
        <w:t>, kurz: ELS).</w:t>
      </w:r>
    </w:p>
    <w:p w14:paraId="0C3D8A7D" w14:textId="77777777" w:rsidR="006F3F26" w:rsidRDefault="006F3F26" w:rsidP="006F3F26">
      <w:pPr>
        <w:pStyle w:val="Listenabsatz"/>
        <w:numPr>
          <w:ilvl w:val="0"/>
          <w:numId w:val="29"/>
        </w:numPr>
        <w:ind w:left="1066" w:hanging="357"/>
        <w:contextualSpacing w:val="0"/>
      </w:pPr>
      <w:r>
        <w:t>Die morphologische Untersuchung der Partikel erfolgte anhand von rasterelektronenmikroskopischen Aufnahmen (REM).</w:t>
      </w:r>
    </w:p>
    <w:p w14:paraId="2FF6A74A" w14:textId="77777777" w:rsidR="006F3F26" w:rsidRPr="006F3F26" w:rsidRDefault="006F3F26" w:rsidP="006F3F26">
      <w:pPr>
        <w:pStyle w:val="Listenabsatz"/>
        <w:numPr>
          <w:ilvl w:val="0"/>
          <w:numId w:val="29"/>
        </w:numPr>
        <w:ind w:left="1066" w:hanging="357"/>
        <w:contextualSpacing w:val="0"/>
      </w:pPr>
      <w:r>
        <w:t>Der Beladungsgrad der Partikel und die Verkapselungseffizienz der Materialien wurden durch Gehaltsbestimmungen mittels Hochleistungsflüssigkeits</w:t>
      </w:r>
      <w:r w:rsidR="00C42C26">
        <w:t>-</w:t>
      </w:r>
      <w:r>
        <w:t xml:space="preserve">chromatographie (HPLC) bestimmt. Dieses Verfahren wurde auch zur Gehaltsbestimmung der Lösungen bei den Freisetzungsuntersuchungen und den </w:t>
      </w:r>
      <w:r w:rsidR="00C42C26">
        <w:rPr>
          <w:i/>
        </w:rPr>
        <w:t>in </w:t>
      </w:r>
      <w:r w:rsidRPr="00DA7760">
        <w:rPr>
          <w:i/>
        </w:rPr>
        <w:t>vitro</w:t>
      </w:r>
      <w:r w:rsidR="00C42C26">
        <w:t>-Resorptionsstudien</w:t>
      </w:r>
      <w:r>
        <w:t xml:space="preserve"> verwendet.</w:t>
      </w:r>
    </w:p>
    <w:p w14:paraId="247C9F78" w14:textId="77777777" w:rsidR="00ED0CF8" w:rsidRDefault="00644FE9" w:rsidP="00E71524">
      <w:pPr>
        <w:pStyle w:val="berschrift4"/>
      </w:pPr>
      <w:bookmarkStart w:id="137" w:name="_Toc294380204"/>
      <w:r>
        <w:lastRenderedPageBreak/>
        <w:t>DLS</w:t>
      </w:r>
      <w:r w:rsidR="00DF7D6B" w:rsidRPr="00DF7D6B">
        <w:t xml:space="preserve"> Partikelgröße</w:t>
      </w:r>
      <w:r w:rsidR="00DF7D6B">
        <w:t>nmessung</w:t>
      </w:r>
      <w:r w:rsidR="00685622">
        <w:t xml:space="preserve"> und </w:t>
      </w:r>
      <w:r>
        <w:t>ELS</w:t>
      </w:r>
      <w:r w:rsidR="00F4386E">
        <w:t xml:space="preserve"> </w:t>
      </w:r>
      <w:r w:rsidR="00685622">
        <w:t>Zetapotentialmessung</w:t>
      </w:r>
      <w:bookmarkEnd w:id="137"/>
    </w:p>
    <w:p w14:paraId="5BFE9369" w14:textId="77777777" w:rsidR="00FB6BC1" w:rsidRDefault="00144FFB" w:rsidP="00FB6BC1">
      <w:r>
        <w:t>Mithilfe der dynamischen Lichtstreuung</w:t>
      </w:r>
      <w:r w:rsidR="005F434E" w:rsidRPr="005F434E">
        <w:t xml:space="preserve"> </w:t>
      </w:r>
      <w:r>
        <w:t>(DLS)</w:t>
      </w:r>
      <w:r w:rsidR="005F434E" w:rsidRPr="005F434E">
        <w:t xml:space="preserve"> </w:t>
      </w:r>
      <w:r>
        <w:t>kann der hydrodynamische Radius von dispergierten Teilchen ermittelt werden.</w:t>
      </w:r>
      <w:r w:rsidR="005F434E" w:rsidRPr="005F434E">
        <w:t xml:space="preserve"> </w:t>
      </w:r>
      <w:r w:rsidR="008216CC">
        <w:t xml:space="preserve">Diese Methode ist auch als Photonenkorrelationsspektroskopie (PCS) bekannt. </w:t>
      </w:r>
      <w:r w:rsidR="005F434E" w:rsidRPr="005F434E">
        <w:t>Das Messverfahren zeichnet sich dadurch aus, dass Partikel</w:t>
      </w:r>
      <w:r w:rsidR="005F434E">
        <w:t xml:space="preserve"> mit einer Größe zwischen 1 nm und 5 µm gemessen werden kö</w:t>
      </w:r>
      <w:r>
        <w:t>nnen</w:t>
      </w:r>
      <w:r>
        <w:rPr>
          <w:rStyle w:val="Endnotenzeichen"/>
        </w:rPr>
        <w:endnoteReference w:id="126"/>
      </w:r>
      <w:r w:rsidR="005F434E" w:rsidRPr="005F434E">
        <w:t>. In</w:t>
      </w:r>
      <w:r>
        <w:t xml:space="preserve"> </w:t>
      </w:r>
      <w:r w:rsidR="00D16240">
        <w:fldChar w:fldCharType="begin"/>
      </w:r>
      <w:r>
        <w:instrText xml:space="preserve"> REF _Ref269670118 \h </w:instrText>
      </w:r>
      <w:r w:rsidR="00D16240">
        <w:fldChar w:fldCharType="separate"/>
      </w:r>
      <w:r w:rsidR="00711AB8" w:rsidRPr="00144FFB">
        <w:t xml:space="preserve">Abbildung </w:t>
      </w:r>
      <w:r w:rsidR="00711AB8">
        <w:rPr>
          <w:noProof/>
        </w:rPr>
        <w:t>11</w:t>
      </w:r>
      <w:r w:rsidR="00D16240">
        <w:fldChar w:fldCharType="end"/>
      </w:r>
      <w:r w:rsidR="005F434E" w:rsidRPr="005F434E">
        <w:t xml:space="preserve"> </w:t>
      </w:r>
      <w:r w:rsidR="005F434E">
        <w:t>ist ein schematischer Aufbau des Messprinzips</w:t>
      </w:r>
      <w:r w:rsidR="005F434E" w:rsidRPr="005F434E">
        <w:t xml:space="preserve"> dargestellt.</w:t>
      </w:r>
    </w:p>
    <w:p w14:paraId="506A14A9" w14:textId="77777777" w:rsidR="005F434E" w:rsidRDefault="005F434E" w:rsidP="005F434E">
      <w:pPr>
        <w:jc w:val="center"/>
      </w:pPr>
      <w:r>
        <w:rPr>
          <w:noProof/>
          <w:lang w:eastAsia="de-DE"/>
        </w:rPr>
        <w:drawing>
          <wp:inline distT="0" distB="0" distL="0" distR="0" wp14:anchorId="5C71D4AA" wp14:editId="15F85F78">
            <wp:extent cx="4709472" cy="2214911"/>
            <wp:effectExtent l="0" t="0" r="0" b="0"/>
            <wp:docPr id="2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09472" cy="2214911"/>
                    </a:xfrm>
                    <a:prstGeom prst="rect">
                      <a:avLst/>
                    </a:prstGeom>
                    <a:noFill/>
                    <a:ln>
                      <a:noFill/>
                    </a:ln>
                  </pic:spPr>
                </pic:pic>
              </a:graphicData>
            </a:graphic>
          </wp:inline>
        </w:drawing>
      </w:r>
    </w:p>
    <w:p w14:paraId="10A7785B" w14:textId="77777777" w:rsidR="00144FFB" w:rsidRDefault="00144FFB" w:rsidP="001856C4">
      <w:pPr>
        <w:pStyle w:val="Beschriftung"/>
        <w:ind w:firstLine="0"/>
        <w:rPr>
          <w:b w:val="0"/>
        </w:rPr>
      </w:pPr>
      <w:bookmarkStart w:id="138" w:name="_Ref269670118"/>
      <w:r w:rsidRPr="00144FFB">
        <w:t xml:space="preserve">Abbildung </w:t>
      </w:r>
      <w:fldSimple w:instr=" SEQ Abbildung \* ARABIC ">
        <w:r w:rsidR="00711AB8">
          <w:rPr>
            <w:noProof/>
          </w:rPr>
          <w:t>11</w:t>
        </w:r>
      </w:fldSimple>
      <w:bookmarkEnd w:id="138"/>
      <w:r>
        <w:rPr>
          <w:b w:val="0"/>
        </w:rPr>
        <w:t xml:space="preserve"> Schematischer Aufbau eines Photonenkorrelationsspektroskopie Gerätes mit Laser, Messzelle, Detektor, Aufzeichnung und Auswertung des Messsignals</w:t>
      </w:r>
      <w:r w:rsidR="008216CC">
        <w:rPr>
          <w:b w:val="0"/>
        </w:rPr>
        <w:t xml:space="preserve">; </w:t>
      </w:r>
      <w:r w:rsidR="008216CC" w:rsidRPr="008216CC">
        <w:rPr>
          <w:b w:val="0"/>
        </w:rPr>
        <w:t>Der Photonendetektor befindet sich auf einem schwenkbaren Arm, sodass unterschiedliche Messwinkel eingestellt werden können. Als Detektor wird meist ein Sekundärelektronenvervielfacher (SEV) oder eine Avalanche-Photodiode (APD) verwendet</w:t>
      </w:r>
      <w:r w:rsidR="008216CC">
        <w:rPr>
          <w:b w:val="0"/>
        </w:rPr>
        <w:t>.</w:t>
      </w:r>
    </w:p>
    <w:p w14:paraId="03C0F030" w14:textId="77777777" w:rsidR="00F46853" w:rsidRPr="00F46853" w:rsidRDefault="00F46853" w:rsidP="00F46853">
      <w:pPr>
        <w:spacing w:after="0"/>
      </w:pPr>
    </w:p>
    <w:p w14:paraId="1BCB0C99" w14:textId="77777777" w:rsidR="00E14FE1" w:rsidRDefault="004C64C2" w:rsidP="004C64C2">
      <w:r>
        <w:t>Der Laserstrahl mit eine</w:t>
      </w:r>
      <w:r w:rsidR="008216CC">
        <w:t>r Wellenlänge zwischen 630</w:t>
      </w:r>
      <w:r>
        <w:t xml:space="preserve"> nm </w:t>
      </w:r>
      <w:r w:rsidR="008216CC">
        <w:t xml:space="preserve">und 660 nm </w:t>
      </w:r>
      <w:r>
        <w:t>trifft auf die Messzelle mit der Partikels</w:t>
      </w:r>
      <w:r w:rsidR="00687C7A">
        <w:t xml:space="preserve">uspension. Die Partikel streuen </w:t>
      </w:r>
      <w:r>
        <w:t>das einfallende Licht</w:t>
      </w:r>
      <w:r w:rsidR="00687C7A">
        <w:t xml:space="preserve"> in alle Richtungen (Rayleigh-Streuung) und es kommt zu einer Interferenz des Streulichts verschiedener Streuzentren. Da sich aufgrund der Brownschen Molekularbewegung die Abstände der Streuzentren zueinander ständig ändern, führt diese Interferenz zu kleinen Fluktuationen in der Streulichtintensität.</w:t>
      </w:r>
      <w:r>
        <w:t xml:space="preserve"> </w:t>
      </w:r>
      <w:r w:rsidR="00687C7A">
        <w:t>Auf Basis dieser zeitabhängigen Änderunge</w:t>
      </w:r>
      <w:r w:rsidR="00196971">
        <w:t>n</w:t>
      </w:r>
      <w:r w:rsidR="00EC5366">
        <w:t xml:space="preserve"> der Streulichtintensität lässt</w:t>
      </w:r>
      <w:r w:rsidR="00687C7A">
        <w:t xml:space="preserve"> sich die Geschwindigkeit</w:t>
      </w:r>
      <w:r w:rsidR="00B60C8A">
        <w:t xml:space="preserve"> der Teilchenbewegung und damit der Diffusionskoeffizient ermitteln. Entsprechend der Stokes-Einstein-Gleichung</w:t>
      </w:r>
      <w:r w:rsidR="00E14FE1">
        <w:t xml:space="preserve"> (</w:t>
      </w:r>
      <w:r w:rsidR="00D16240">
        <w:fldChar w:fldCharType="begin"/>
      </w:r>
      <w:r w:rsidR="00E14FE1">
        <w:instrText xml:space="preserve"> REF _Ref269669735 \h </w:instrText>
      </w:r>
      <w:r w:rsidR="00D16240">
        <w:fldChar w:fldCharType="separate"/>
      </w:r>
      <w:r w:rsidR="00711AB8" w:rsidRPr="00E14FE1">
        <w:t xml:space="preserve">Formel </w:t>
      </w:r>
      <w:r w:rsidR="00711AB8">
        <w:rPr>
          <w:noProof/>
        </w:rPr>
        <w:t>2</w:t>
      </w:r>
      <w:r w:rsidR="00D16240">
        <w:fldChar w:fldCharType="end"/>
      </w:r>
      <w:r w:rsidR="00E14FE1">
        <w:t>)</w:t>
      </w:r>
      <w:r w:rsidR="00B60C8A">
        <w:t xml:space="preserve"> besteht folgender Zusammenhang zwischen dem Diffusionskoeffizienten und dem hydrodynamischen Radius der Partikel</w:t>
      </w:r>
      <w:r w:rsidR="00E14FE1">
        <w:rPr>
          <w:rStyle w:val="Endnotenzeichen"/>
        </w:rPr>
        <w:endnoteReference w:id="127"/>
      </w:r>
      <w:r w:rsidR="00B60C8A">
        <w:t>:</w:t>
      </w:r>
    </w:p>
    <w:p w14:paraId="57AF1509" w14:textId="77777777" w:rsidR="00E14FE1" w:rsidRPr="00E14FE1" w:rsidRDefault="00DE258C" w:rsidP="00E14FE1">
      <w:pPr>
        <w:spacing w:line="240" w:lineRule="auto"/>
        <w:rPr>
          <w:rFonts w:eastAsiaTheme="minorEastAsia"/>
        </w:rPr>
      </w:pPr>
      <m:oMathPara>
        <m:oMath>
          <m:sSub>
            <m:sSubPr>
              <m:ctrlPr>
                <w:rPr>
                  <w:rFonts w:ascii="Cambria Math" w:hAnsi="Cambria Math"/>
                  <w:i/>
                </w:rPr>
              </m:ctrlPr>
            </m:sSubPr>
            <m:e>
              <m:r>
                <w:rPr>
                  <w:rFonts w:ascii="Cambria Math" w:hAnsi="Cambria Math"/>
                </w:rPr>
                <m:t>R</m:t>
              </m:r>
            </m:e>
            <m:sub>
              <m:r>
                <w:rPr>
                  <w:rFonts w:ascii="Cambria Math" w:hAnsi="Cambria Math"/>
                </w:rPr>
                <m:t>h</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B</m:t>
                  </m:r>
                </m:sub>
              </m:sSub>
              <m:r>
                <w:rPr>
                  <w:rFonts w:ascii="Cambria Math" w:hAnsi="Cambria Math"/>
                </w:rPr>
                <m:t>*T</m:t>
              </m:r>
            </m:num>
            <m:den>
              <m:r>
                <w:rPr>
                  <w:rFonts w:ascii="Cambria Math" w:hAnsi="Cambria Math"/>
                </w:rPr>
                <m:t>6π*η*D</m:t>
              </m:r>
            </m:den>
          </m:f>
        </m:oMath>
      </m:oMathPara>
    </w:p>
    <w:p w14:paraId="72C6D0BC" w14:textId="77777777" w:rsidR="004C64C2" w:rsidRDefault="00E14FE1" w:rsidP="001856C4">
      <w:pPr>
        <w:pStyle w:val="Beschriftung"/>
        <w:ind w:firstLine="0"/>
        <w:rPr>
          <w:b w:val="0"/>
        </w:rPr>
      </w:pPr>
      <w:bookmarkStart w:id="139" w:name="_Ref269669735"/>
      <w:r w:rsidRPr="00E14FE1">
        <w:t xml:space="preserve">Formel </w:t>
      </w:r>
      <w:fldSimple w:instr=" SEQ Formel \* ARABIC ">
        <w:r w:rsidR="00711AB8">
          <w:rPr>
            <w:noProof/>
          </w:rPr>
          <w:t>2</w:t>
        </w:r>
      </w:fldSimple>
      <w:bookmarkEnd w:id="139"/>
      <w:r>
        <w:t xml:space="preserve"> </w:t>
      </w:r>
      <w:r>
        <w:rPr>
          <w:b w:val="0"/>
        </w:rPr>
        <w:t>Stokes-Einstein-Gleichung mit</w:t>
      </w:r>
      <w:r w:rsidR="001B1A82">
        <w:rPr>
          <w:b w:val="0"/>
        </w:rPr>
        <w:t xml:space="preserve"> R</w:t>
      </w:r>
      <w:r w:rsidR="001B1A82">
        <w:rPr>
          <w:b w:val="0"/>
          <w:vertAlign w:val="subscript"/>
        </w:rPr>
        <w:t>h</w:t>
      </w:r>
      <w:r w:rsidR="001B1A82">
        <w:rPr>
          <w:b w:val="0"/>
        </w:rPr>
        <w:t>: hydrodynamischer Partikelradius,</w:t>
      </w:r>
      <w:r>
        <w:rPr>
          <w:b w:val="0"/>
        </w:rPr>
        <w:t xml:space="preserve"> k</w:t>
      </w:r>
      <w:r w:rsidRPr="00E14FE1">
        <w:rPr>
          <w:b w:val="0"/>
          <w:vertAlign w:val="subscript"/>
        </w:rPr>
        <w:t>B</w:t>
      </w:r>
      <w:r>
        <w:rPr>
          <w:b w:val="0"/>
        </w:rPr>
        <w:t xml:space="preserve">: Boltzmannkonstante, T: Temperatur, </w:t>
      </w:r>
      <w:r w:rsidR="001B1A82">
        <w:rPr>
          <w:b w:val="0"/>
        </w:rPr>
        <w:t xml:space="preserve">     </w:t>
      </w:r>
      <w:r>
        <w:rPr>
          <w:b w:val="0"/>
        </w:rPr>
        <w:sym w:font="Symbol" w:char="F068"/>
      </w:r>
      <w:r>
        <w:rPr>
          <w:b w:val="0"/>
        </w:rPr>
        <w:t>: Viskosität des Lösungsmittels, D: Diffusionskonstante</w:t>
      </w:r>
      <w:r w:rsidR="00F71178">
        <w:rPr>
          <w:b w:val="0"/>
        </w:rPr>
        <w:t>.</w:t>
      </w:r>
    </w:p>
    <w:p w14:paraId="5042ADAA" w14:textId="77777777" w:rsidR="00A140CC" w:rsidRPr="00A140CC" w:rsidRDefault="00A140CC" w:rsidP="00A140CC">
      <w:pPr>
        <w:spacing w:after="0"/>
      </w:pPr>
    </w:p>
    <w:p w14:paraId="290D25DB" w14:textId="77777777" w:rsidR="001A6E90" w:rsidRDefault="008216CC" w:rsidP="001A6E90">
      <w:r>
        <w:t>Der Diffusionskoeffizient wird über eine Autokorrelatio</w:t>
      </w:r>
      <w:r w:rsidR="001A6E90">
        <w:t>nsfunktion ermittelt, welche auf</w:t>
      </w:r>
      <w:r>
        <w:t xml:space="preserve"> der zeitlichen Änderung der Streulichtintensität beruht. </w:t>
      </w:r>
      <w:r w:rsidR="001A6E90">
        <w:t xml:space="preserve">Mithilfe von </w:t>
      </w:r>
      <w:r w:rsidR="00D16240">
        <w:fldChar w:fldCharType="begin"/>
      </w:r>
      <w:r w:rsidR="001A6E90">
        <w:instrText xml:space="preserve"> REF _Ref269669735 \h </w:instrText>
      </w:r>
      <w:r w:rsidR="00D16240">
        <w:fldChar w:fldCharType="separate"/>
      </w:r>
      <w:r w:rsidR="00711AB8" w:rsidRPr="00E14FE1">
        <w:t xml:space="preserve">Formel </w:t>
      </w:r>
      <w:r w:rsidR="00711AB8">
        <w:rPr>
          <w:noProof/>
        </w:rPr>
        <w:t>2</w:t>
      </w:r>
      <w:r w:rsidR="00D16240">
        <w:fldChar w:fldCharType="end"/>
      </w:r>
      <w:r w:rsidR="001A6E90">
        <w:t xml:space="preserve"> kann nun bei </w:t>
      </w:r>
      <w:r w:rsidR="001A6E90">
        <w:lastRenderedPageBreak/>
        <w:t>bekannter Temperatur und dynamischer Viskosität der kontinuierlichen Phase der Suspension auf den Partikelradius geschlossen werden.</w:t>
      </w:r>
    </w:p>
    <w:p w14:paraId="787206E4" w14:textId="77777777" w:rsidR="004C64C2" w:rsidRDefault="001A6E90" w:rsidP="008216CC">
      <w:r>
        <w:t>Ü</w:t>
      </w:r>
      <w:r w:rsidR="008216CC">
        <w:t xml:space="preserve">ber eine statistische Auswertung </w:t>
      </w:r>
      <w:r>
        <w:t xml:space="preserve">kann neben dem hydrodynamischen Radius (mittlerer Partikeldurchmesser) </w:t>
      </w:r>
      <w:r w:rsidR="008976E6">
        <w:t xml:space="preserve">auch </w:t>
      </w:r>
      <w:r w:rsidR="008216CC">
        <w:t>die Par</w:t>
      </w:r>
      <w:r>
        <w:t>tikelgrößenverteilung dargestellt werden</w:t>
      </w:r>
      <w:r w:rsidR="008216CC">
        <w:t>.</w:t>
      </w:r>
      <w:r>
        <w:t xml:space="preserve"> Allerdings beruhen diese Daten lediglich auf einer statistischen Auswertung und einem Vergleich mit Standards und spiegeln daher nicht unmittelbar die tatsächliche Verteilung wieder. Die Methode gibt Aufschluss über den Größenbereich</w:t>
      </w:r>
      <w:r w:rsidR="006C1E1A">
        <w:t xml:space="preserve"> der Partikel, ist allerdings in</w:t>
      </w:r>
      <w:r>
        <w:t xml:space="preserve"> Bezug auf die Angabe der Partikelgrößenverteilung nur für monomodale und statistische Verteilungen </w:t>
      </w:r>
      <w:r w:rsidR="008976E6">
        <w:t xml:space="preserve">der Partikelgröße </w:t>
      </w:r>
      <w:r>
        <w:t>verlässlich.</w:t>
      </w:r>
    </w:p>
    <w:p w14:paraId="497F4BD8" w14:textId="77777777" w:rsidR="00B82229" w:rsidRDefault="00B82229" w:rsidP="008216CC">
      <w:r>
        <w:t>Zur Partikelgrößenmessung wurden die Suspensionen stark verdünnt bzw. die g</w:t>
      </w:r>
      <w:r w:rsidR="008D4F7F">
        <w:t>etrockneten Partikelformulierungen zunächst in</w:t>
      </w:r>
      <w:r>
        <w:t xml:space="preserve"> demineralisiertem Wasser redispergiert, sodass eine Polymerkonz</w:t>
      </w:r>
      <w:r w:rsidR="008D4F7F">
        <w:t>entration zwischen 0,05</w:t>
      </w:r>
      <w:r w:rsidR="00427CD0">
        <w:t> mg/ml</w:t>
      </w:r>
      <w:r w:rsidR="008D4F7F">
        <w:t xml:space="preserve"> und 0,1 </w:t>
      </w:r>
      <w:r>
        <w:t>mg/ml resultierte.</w:t>
      </w:r>
      <w:r w:rsidR="00A32604">
        <w:t xml:space="preserve"> Die Messungen wurden mit einem </w:t>
      </w:r>
      <w:r w:rsidR="00A32604" w:rsidRPr="00A32604">
        <w:t>Nicomp 380 DLS/ZLS particle sizer (Particle Sizing Systems, Santa Barbara, USA)</w:t>
      </w:r>
      <w:r w:rsidR="00A32604">
        <w:t xml:space="preserve"> durchgeführt.</w:t>
      </w:r>
    </w:p>
    <w:p w14:paraId="338D706A" w14:textId="77777777" w:rsidR="00427CD0" w:rsidRPr="00FB6BC1" w:rsidRDefault="00427CD0" w:rsidP="008216CC">
      <w:r>
        <w:t>Mit dem Nicomp particle sizer wurden außerdem Messungen der Oberflächenladung der Partikel durchgeführt. Tatsächlich gemessen wird mit dieser Methode</w:t>
      </w:r>
      <w:r w:rsidR="00826C51">
        <w:t xml:space="preserve"> </w:t>
      </w:r>
      <w:r w:rsidR="00D50B2F">
        <w:t xml:space="preserve">allerdings </w:t>
      </w:r>
      <w:r w:rsidR="00826C51">
        <w:t>das sogenannte Zetapotential,</w:t>
      </w:r>
      <w:r>
        <w:t xml:space="preserve"> das elektrische Potentia</w:t>
      </w:r>
      <w:r w:rsidR="00826C51">
        <w:t>l, das auf der Scherebene eines</w:t>
      </w:r>
      <w:r>
        <w:t xml:space="preserve"> </w:t>
      </w:r>
      <w:r w:rsidR="0042570E">
        <w:t>in</w:t>
      </w:r>
      <w:r w:rsidR="00826C51">
        <w:t xml:space="preserve"> Suspension bewegten </w:t>
      </w:r>
      <w:r>
        <w:t>Partikels</w:t>
      </w:r>
      <w:r w:rsidR="00826C51">
        <w:t xml:space="preserve"> wirkt. Da sich</w:t>
      </w:r>
      <w:r w:rsidR="00F46853">
        <w:t xml:space="preserve"> die</w:t>
      </w:r>
      <w:r w:rsidR="00826C51">
        <w:t xml:space="preserve"> Scherebene in geringer Entfernung zur Oberfläche befindet, ist das Zetapotential b</w:t>
      </w:r>
      <w:r w:rsidR="00D50B2F">
        <w:t>etragsmäßig stets etwas kleiner</w:t>
      </w:r>
      <w:r w:rsidR="00826C51">
        <w:t xml:space="preserve"> als die tatsächliche Oberflächenladung. Bei einem in wässrigem Medium suspendierten</w:t>
      </w:r>
      <w:r w:rsidR="00D50B2F">
        <w:t xml:space="preserve"> Partikel</w:t>
      </w:r>
      <w:r w:rsidR="00826C51">
        <w:t xml:space="preserve"> entspricht das Zetapotential jedoch der Ladung, die der Pa</w:t>
      </w:r>
      <w:r w:rsidR="00D50B2F">
        <w:t>rtik</w:t>
      </w:r>
      <w:r w:rsidR="00F46853">
        <w:t>el nach außen hin effektiv trägt</w:t>
      </w:r>
      <w:r w:rsidR="00D50B2F">
        <w:t>.</w:t>
      </w:r>
      <w:r w:rsidR="00B75B4C">
        <w:t xml:space="preserve"> Die Messung der Oberflächenladung</w:t>
      </w:r>
      <w:r w:rsidR="0042570E">
        <w:t xml:space="preserve"> erfolgt durch Untersuc</w:t>
      </w:r>
      <w:r w:rsidR="0054071F">
        <w:t xml:space="preserve">hung der Lichtstreuung an den </w:t>
      </w:r>
      <w:r w:rsidR="0042570E">
        <w:t>Partikel</w:t>
      </w:r>
      <w:r w:rsidR="0054071F">
        <w:t>n</w:t>
      </w:r>
      <w:r w:rsidR="00995D29">
        <w:t xml:space="preserve"> nach</w:t>
      </w:r>
      <w:r w:rsidR="0042570E">
        <w:t xml:space="preserve"> Anlegen eines elektrischen Feldes. </w:t>
      </w:r>
      <w:r w:rsidR="00B75B4C">
        <w:t>Gemessen wird bei der ELS Methode die sogenannte elektrophoretische Mobilität der Partikel, die Rückschlüsse auf deren Ladung zulässt.</w:t>
      </w:r>
    </w:p>
    <w:p w14:paraId="541E6F45" w14:textId="77777777" w:rsidR="00E71524" w:rsidRDefault="00C109FB" w:rsidP="00E71524">
      <w:pPr>
        <w:pStyle w:val="berschrift4"/>
      </w:pPr>
      <w:bookmarkStart w:id="140" w:name="_Toc294380205"/>
      <w:r>
        <w:t>Desmopressin Gehaltsbestimmung mittels HPLC</w:t>
      </w:r>
      <w:bookmarkEnd w:id="140"/>
    </w:p>
    <w:p w14:paraId="2E9F7EF6" w14:textId="77777777" w:rsidR="00113630" w:rsidRDefault="00FF5A64" w:rsidP="00040533">
      <w:pPr>
        <w:spacing w:after="0"/>
      </w:pPr>
      <w:r>
        <w:t xml:space="preserve">Die quantitative Analyse von Desmopressin für die Gehaltsbestimmung der Partikelproben und zur Untersuchung der Freisetzungsproben wurde mittels </w:t>
      </w:r>
      <w:r w:rsidRPr="00FF5A64">
        <w:t>Hochleistungsflüssigkeits</w:t>
      </w:r>
      <w:r>
        <w:t>-chromatographie (</w:t>
      </w:r>
      <w:r w:rsidRPr="00FF5A64">
        <w:rPr>
          <w:i/>
        </w:rPr>
        <w:t>high performance liquid chromatography</w:t>
      </w:r>
      <w:r w:rsidRPr="00FF5A64">
        <w:t xml:space="preserve">, </w:t>
      </w:r>
      <w:r>
        <w:t xml:space="preserve">kurz: </w:t>
      </w:r>
      <w:r w:rsidRPr="00FF5A64">
        <w:t>HPLC)</w:t>
      </w:r>
      <w:r>
        <w:t xml:space="preserve"> durchgeführt. </w:t>
      </w:r>
      <w:r w:rsidR="00ED7BAC">
        <w:t xml:space="preserve">Dazu wurden die Partikelproben zunächst in Wasser dispergiert </w:t>
      </w:r>
      <w:r w:rsidR="00537CC5">
        <w:t xml:space="preserve">und mit Lauge aufgelöst. Das genaue Vorgehen hierzu wird in den entsprechenden Abschnitten für die jeweilige Probe beschrieben. </w:t>
      </w:r>
      <w:r w:rsidR="00ED7BAC">
        <w:t>Di</w:t>
      </w:r>
      <w:r w:rsidR="00537CC5">
        <w:t>e wässrigen Proben wurden mit einer</w:t>
      </w:r>
      <w:r w:rsidR="00ED7BAC">
        <w:t xml:space="preserve"> Mischung von 80 Teilen 0,1%iger wässriger Lösung von </w:t>
      </w:r>
      <w:r w:rsidR="00537CC5">
        <w:t>Trifluoressigsäure (</w:t>
      </w:r>
      <w:r w:rsidR="00ED7BAC">
        <w:t>TFE</w:t>
      </w:r>
      <w:r w:rsidR="00537CC5">
        <w:t>)</w:t>
      </w:r>
      <w:r w:rsidR="00ED7BAC">
        <w:t xml:space="preserve"> mit 20</w:t>
      </w:r>
      <w:r w:rsidR="00537CC5">
        <w:t xml:space="preserve"> Teilen (V:V) Acetonitril (LiChrosolv</w:t>
      </w:r>
      <w:r w:rsidR="00537CC5" w:rsidRPr="00537CC5">
        <w:rPr>
          <w:vertAlign w:val="superscript"/>
        </w:rPr>
        <w:sym w:font="Symbol" w:char="F0D2"/>
      </w:r>
      <w:r w:rsidR="00537CC5">
        <w:t>, Merck KGaA, Deutschland)</w:t>
      </w:r>
      <w:r w:rsidR="00ED7BAC">
        <w:t xml:space="preserve"> im Verhältnis von 25:75 (V:V) gemischt.</w:t>
      </w:r>
      <w:r w:rsidR="00537CC5">
        <w:t xml:space="preserve"> Als Trennsäule wurde eine Symmetry</w:t>
      </w:r>
      <w:r w:rsidR="006477A3">
        <w:t>300</w:t>
      </w:r>
      <w:r w:rsidR="00537CC5">
        <w:t xml:space="preserve"> C18 Umkehrphasensäule (300</w:t>
      </w:r>
      <w:r w:rsidR="006477A3">
        <w:t xml:space="preserve">Å, 5 µm, 250 x 4,6 mm) der Firma Waters verwendet. Die Detektion erfolgte mittels UV Detektor bei einer Wellenlänge von 210 nm. </w:t>
      </w:r>
      <w:r w:rsidR="006477A3">
        <w:lastRenderedPageBreak/>
        <w:t xml:space="preserve">Injiziert wurden jeweils 100 µl und die Flussrate betrug 0,8 ml/min. </w:t>
      </w:r>
      <w:r w:rsidR="00113630">
        <w:t xml:space="preserve">Es wurde eine Gradientenelution mit den folgenden Eluenten durchgeführt: Beide Eluenten waren Mischungen einer 0,1%igen wässrigen Lösung von TFE mit Acetonitril, wobei das Volumenverhältnis für Eluent A 80:20 und für Eluent B 20:80 betrug. </w:t>
      </w:r>
      <w:r w:rsidR="005B2871">
        <w:t>Der verwendete</w:t>
      </w:r>
      <w:r w:rsidR="00DA10BC">
        <w:t xml:space="preserve"> </w:t>
      </w:r>
      <w:r w:rsidR="005B2871">
        <w:t>Elutionsg</w:t>
      </w:r>
      <w:r w:rsidR="00DA10BC">
        <w:t xml:space="preserve">radient </w:t>
      </w:r>
      <w:r w:rsidR="005B2871">
        <w:t xml:space="preserve">wird in </w:t>
      </w:r>
      <w:r w:rsidR="00D16240">
        <w:fldChar w:fldCharType="begin"/>
      </w:r>
      <w:r w:rsidR="005B2871">
        <w:instrText xml:space="preserve"> REF _Ref277010050 \h </w:instrText>
      </w:r>
      <w:r w:rsidR="00D16240">
        <w:fldChar w:fldCharType="separate"/>
      </w:r>
      <w:r w:rsidR="00711AB8" w:rsidRPr="00DA10BC">
        <w:rPr>
          <w:color w:val="000000" w:themeColor="text1"/>
        </w:rPr>
        <w:t xml:space="preserve">Tabelle </w:t>
      </w:r>
      <w:r w:rsidR="00711AB8">
        <w:rPr>
          <w:noProof/>
          <w:color w:val="000000" w:themeColor="text1"/>
        </w:rPr>
        <w:t>8</w:t>
      </w:r>
      <w:r w:rsidR="00D16240">
        <w:fldChar w:fldCharType="end"/>
      </w:r>
      <w:r w:rsidR="005B2871">
        <w:t xml:space="preserve"> beschrieben.</w:t>
      </w:r>
    </w:p>
    <w:p w14:paraId="37D6757D" w14:textId="77777777" w:rsidR="005B2871" w:rsidRDefault="005B2871" w:rsidP="00C109FB"/>
    <w:p w14:paraId="3966193F" w14:textId="77777777" w:rsidR="00DA10BC" w:rsidRPr="00DA10BC" w:rsidRDefault="00DA10BC" w:rsidP="00DA10BC">
      <w:pPr>
        <w:pStyle w:val="Beschriftung"/>
        <w:rPr>
          <w:b w:val="0"/>
          <w:color w:val="000000" w:themeColor="text1"/>
        </w:rPr>
      </w:pPr>
      <w:bookmarkStart w:id="141" w:name="_Ref277010050"/>
      <w:r w:rsidRPr="00DA10BC">
        <w:rPr>
          <w:color w:val="000000" w:themeColor="text1"/>
        </w:rPr>
        <w:t xml:space="preserve">Tabelle </w:t>
      </w:r>
      <w:r w:rsidR="00D16240" w:rsidRPr="00DA10BC">
        <w:rPr>
          <w:color w:val="000000" w:themeColor="text1"/>
        </w:rPr>
        <w:fldChar w:fldCharType="begin"/>
      </w:r>
      <w:r w:rsidRPr="00DA10BC">
        <w:rPr>
          <w:color w:val="000000" w:themeColor="text1"/>
        </w:rPr>
        <w:instrText xml:space="preserve"> SEQ Tabelle \* ARABIC </w:instrText>
      </w:r>
      <w:r w:rsidR="00D16240" w:rsidRPr="00DA10BC">
        <w:rPr>
          <w:color w:val="000000" w:themeColor="text1"/>
        </w:rPr>
        <w:fldChar w:fldCharType="separate"/>
      </w:r>
      <w:r w:rsidR="00711AB8">
        <w:rPr>
          <w:noProof/>
          <w:color w:val="000000" w:themeColor="text1"/>
        </w:rPr>
        <w:t>8</w:t>
      </w:r>
      <w:r w:rsidR="00D16240" w:rsidRPr="00DA10BC">
        <w:rPr>
          <w:color w:val="000000" w:themeColor="text1"/>
        </w:rPr>
        <w:fldChar w:fldCharType="end"/>
      </w:r>
      <w:bookmarkEnd w:id="141"/>
      <w:r>
        <w:rPr>
          <w:color w:val="000000" w:themeColor="text1"/>
        </w:rPr>
        <w:t xml:space="preserve"> </w:t>
      </w:r>
      <w:r>
        <w:rPr>
          <w:b w:val="0"/>
          <w:color w:val="000000" w:themeColor="text1"/>
        </w:rPr>
        <w:t>Elutionsgradient bei der HPLC Analyse von Desmopressin</w:t>
      </w:r>
      <w:r w:rsidR="00F71178">
        <w:rPr>
          <w:b w:val="0"/>
          <w:color w:val="000000" w:themeColor="text1"/>
        </w:rPr>
        <w:t>.</w:t>
      </w:r>
    </w:p>
    <w:tbl>
      <w:tblPr>
        <w:tblW w:w="75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2" w:type="dxa"/>
          <w:right w:w="142" w:type="dxa"/>
        </w:tblCellMar>
        <w:tblLook w:val="01E0" w:firstRow="1" w:lastRow="1" w:firstColumn="1" w:lastColumn="1" w:noHBand="0" w:noVBand="0"/>
      </w:tblPr>
      <w:tblGrid>
        <w:gridCol w:w="1639"/>
        <w:gridCol w:w="2693"/>
        <w:gridCol w:w="3198"/>
      </w:tblGrid>
      <w:tr w:rsidR="00DA10BC" w:rsidRPr="000B49F8" w14:paraId="00C1DFB6" w14:textId="77777777" w:rsidTr="00DA10BC">
        <w:trPr>
          <w:trHeight w:val="454"/>
          <w:jc w:val="center"/>
        </w:trPr>
        <w:tc>
          <w:tcPr>
            <w:tcW w:w="1639" w:type="dxa"/>
            <w:tcBorders>
              <w:top w:val="single" w:sz="8" w:space="0" w:color="auto"/>
              <w:left w:val="single" w:sz="8" w:space="0" w:color="auto"/>
              <w:bottom w:val="single" w:sz="8" w:space="0" w:color="auto"/>
              <w:right w:val="single" w:sz="8" w:space="0" w:color="auto"/>
            </w:tcBorders>
            <w:shd w:val="clear" w:color="auto" w:fill="E6E6E6"/>
            <w:vAlign w:val="center"/>
          </w:tcPr>
          <w:p w14:paraId="1CE361C0" w14:textId="77777777" w:rsidR="00DA10BC" w:rsidRPr="00616B61" w:rsidRDefault="00DA10BC" w:rsidP="00D13063">
            <w:pPr>
              <w:spacing w:after="0" w:line="240" w:lineRule="auto"/>
              <w:jc w:val="center"/>
              <w:rPr>
                <w:b/>
                <w:sz w:val="20"/>
                <w:szCs w:val="20"/>
              </w:rPr>
            </w:pPr>
            <w:r>
              <w:rPr>
                <w:b/>
                <w:sz w:val="20"/>
                <w:szCs w:val="20"/>
              </w:rPr>
              <w:t>Zeit [min]</w:t>
            </w:r>
          </w:p>
        </w:tc>
        <w:tc>
          <w:tcPr>
            <w:tcW w:w="2693" w:type="dxa"/>
            <w:tcBorders>
              <w:top w:val="single" w:sz="8" w:space="0" w:color="auto"/>
              <w:left w:val="single" w:sz="8" w:space="0" w:color="auto"/>
              <w:bottom w:val="single" w:sz="8" w:space="0" w:color="auto"/>
              <w:right w:val="single" w:sz="8" w:space="0" w:color="auto"/>
            </w:tcBorders>
            <w:shd w:val="clear" w:color="auto" w:fill="E6E6E6"/>
            <w:vAlign w:val="center"/>
          </w:tcPr>
          <w:p w14:paraId="5A29D0C0" w14:textId="77777777" w:rsidR="00DA10BC" w:rsidRPr="00616B61" w:rsidRDefault="00DA10BC" w:rsidP="00D13063">
            <w:pPr>
              <w:spacing w:after="0" w:line="240" w:lineRule="auto"/>
              <w:jc w:val="center"/>
              <w:rPr>
                <w:b/>
                <w:sz w:val="20"/>
                <w:szCs w:val="20"/>
              </w:rPr>
            </w:pPr>
            <w:r>
              <w:rPr>
                <w:b/>
                <w:sz w:val="20"/>
                <w:szCs w:val="20"/>
              </w:rPr>
              <w:t>Konz. Eluent A</w:t>
            </w:r>
            <w:r w:rsidRPr="00616B61">
              <w:rPr>
                <w:b/>
                <w:sz w:val="20"/>
                <w:szCs w:val="20"/>
              </w:rPr>
              <w:t xml:space="preserve"> [%]</w:t>
            </w:r>
          </w:p>
        </w:tc>
        <w:tc>
          <w:tcPr>
            <w:tcW w:w="3198" w:type="dxa"/>
            <w:tcBorders>
              <w:top w:val="single" w:sz="8" w:space="0" w:color="auto"/>
              <w:left w:val="single" w:sz="8" w:space="0" w:color="auto"/>
              <w:bottom w:val="single" w:sz="8" w:space="0" w:color="auto"/>
              <w:right w:val="single" w:sz="8" w:space="0" w:color="auto"/>
            </w:tcBorders>
            <w:shd w:val="clear" w:color="auto" w:fill="E6E6E6"/>
            <w:vAlign w:val="center"/>
          </w:tcPr>
          <w:p w14:paraId="113A32F7" w14:textId="77777777" w:rsidR="00DA10BC" w:rsidRPr="00616B61" w:rsidRDefault="00DA10BC" w:rsidP="00D13063">
            <w:pPr>
              <w:spacing w:after="0" w:line="240" w:lineRule="auto"/>
              <w:jc w:val="center"/>
              <w:rPr>
                <w:b/>
                <w:sz w:val="20"/>
                <w:szCs w:val="20"/>
                <w:lang w:val="en-US"/>
              </w:rPr>
            </w:pPr>
            <w:r>
              <w:rPr>
                <w:b/>
                <w:sz w:val="20"/>
                <w:szCs w:val="20"/>
                <w:lang w:val="en-US"/>
              </w:rPr>
              <w:t>Konz. Eluent B [%]</w:t>
            </w:r>
          </w:p>
        </w:tc>
      </w:tr>
      <w:tr w:rsidR="00DA10BC" w:rsidRPr="00693200" w14:paraId="7681E6BC" w14:textId="77777777" w:rsidTr="00DA10BC">
        <w:trPr>
          <w:trHeight w:val="340"/>
          <w:jc w:val="center"/>
        </w:trPr>
        <w:tc>
          <w:tcPr>
            <w:tcW w:w="1639" w:type="dxa"/>
            <w:tcBorders>
              <w:top w:val="single" w:sz="8" w:space="0" w:color="auto"/>
              <w:left w:val="single" w:sz="8" w:space="0" w:color="auto"/>
            </w:tcBorders>
            <w:shd w:val="clear" w:color="auto" w:fill="auto"/>
            <w:vAlign w:val="center"/>
          </w:tcPr>
          <w:p w14:paraId="28B00284" w14:textId="77777777" w:rsidR="00DA10BC" w:rsidRPr="00616B61" w:rsidRDefault="00DA10BC" w:rsidP="00D13063">
            <w:pPr>
              <w:spacing w:after="0" w:line="240" w:lineRule="auto"/>
              <w:jc w:val="center"/>
              <w:rPr>
                <w:sz w:val="18"/>
                <w:szCs w:val="18"/>
              </w:rPr>
            </w:pPr>
            <w:r>
              <w:rPr>
                <w:sz w:val="18"/>
                <w:szCs w:val="18"/>
              </w:rPr>
              <w:t>0</w:t>
            </w:r>
          </w:p>
        </w:tc>
        <w:tc>
          <w:tcPr>
            <w:tcW w:w="2693" w:type="dxa"/>
            <w:tcBorders>
              <w:top w:val="single" w:sz="8" w:space="0" w:color="auto"/>
            </w:tcBorders>
            <w:shd w:val="clear" w:color="auto" w:fill="auto"/>
            <w:vAlign w:val="center"/>
          </w:tcPr>
          <w:p w14:paraId="035D3AAE" w14:textId="77777777" w:rsidR="00DA10BC" w:rsidRPr="00616B61" w:rsidRDefault="00DA10BC" w:rsidP="00D13063">
            <w:pPr>
              <w:spacing w:after="0" w:line="240" w:lineRule="auto"/>
              <w:jc w:val="center"/>
              <w:rPr>
                <w:sz w:val="18"/>
                <w:szCs w:val="18"/>
              </w:rPr>
            </w:pPr>
            <w:r>
              <w:rPr>
                <w:sz w:val="18"/>
                <w:szCs w:val="18"/>
              </w:rPr>
              <w:t>100</w:t>
            </w:r>
          </w:p>
        </w:tc>
        <w:tc>
          <w:tcPr>
            <w:tcW w:w="3198" w:type="dxa"/>
            <w:tcBorders>
              <w:top w:val="single" w:sz="8" w:space="0" w:color="auto"/>
              <w:right w:val="single" w:sz="8" w:space="0" w:color="auto"/>
            </w:tcBorders>
            <w:shd w:val="clear" w:color="auto" w:fill="auto"/>
            <w:vAlign w:val="center"/>
          </w:tcPr>
          <w:p w14:paraId="2AA0D115" w14:textId="77777777" w:rsidR="00DA10BC" w:rsidRPr="00616B61" w:rsidRDefault="00DA10BC" w:rsidP="00D13063">
            <w:pPr>
              <w:spacing w:after="0" w:line="240" w:lineRule="auto"/>
              <w:jc w:val="center"/>
              <w:rPr>
                <w:sz w:val="18"/>
                <w:szCs w:val="18"/>
              </w:rPr>
            </w:pPr>
            <w:r>
              <w:rPr>
                <w:sz w:val="18"/>
                <w:szCs w:val="18"/>
              </w:rPr>
              <w:t>0</w:t>
            </w:r>
          </w:p>
        </w:tc>
      </w:tr>
      <w:tr w:rsidR="00DA10BC" w:rsidRPr="00693200" w14:paraId="6DA05DC0" w14:textId="77777777" w:rsidTr="00DA10BC">
        <w:trPr>
          <w:trHeight w:val="340"/>
          <w:jc w:val="center"/>
        </w:trPr>
        <w:tc>
          <w:tcPr>
            <w:tcW w:w="1639" w:type="dxa"/>
            <w:tcBorders>
              <w:left w:val="single" w:sz="8" w:space="0" w:color="auto"/>
            </w:tcBorders>
            <w:shd w:val="clear" w:color="auto" w:fill="auto"/>
            <w:vAlign w:val="center"/>
          </w:tcPr>
          <w:p w14:paraId="707DA328" w14:textId="77777777" w:rsidR="00DA10BC" w:rsidRPr="00616B61" w:rsidRDefault="00DA10BC" w:rsidP="00D13063">
            <w:pPr>
              <w:spacing w:after="0" w:line="240" w:lineRule="auto"/>
              <w:jc w:val="center"/>
              <w:rPr>
                <w:sz w:val="18"/>
                <w:szCs w:val="18"/>
              </w:rPr>
            </w:pPr>
            <w:r>
              <w:rPr>
                <w:sz w:val="18"/>
                <w:szCs w:val="18"/>
              </w:rPr>
              <w:t>15</w:t>
            </w:r>
          </w:p>
        </w:tc>
        <w:tc>
          <w:tcPr>
            <w:tcW w:w="2693" w:type="dxa"/>
            <w:shd w:val="clear" w:color="auto" w:fill="auto"/>
            <w:vAlign w:val="center"/>
          </w:tcPr>
          <w:p w14:paraId="1EE92A7F" w14:textId="77777777" w:rsidR="00DA10BC" w:rsidRPr="00616B61" w:rsidRDefault="00DA10BC" w:rsidP="00D13063">
            <w:pPr>
              <w:spacing w:after="0" w:line="240" w:lineRule="auto"/>
              <w:jc w:val="center"/>
              <w:rPr>
                <w:sz w:val="18"/>
                <w:szCs w:val="18"/>
              </w:rPr>
            </w:pPr>
            <w:r>
              <w:rPr>
                <w:sz w:val="18"/>
                <w:szCs w:val="18"/>
              </w:rPr>
              <w:t>100</w:t>
            </w:r>
          </w:p>
        </w:tc>
        <w:tc>
          <w:tcPr>
            <w:tcW w:w="3198" w:type="dxa"/>
            <w:tcBorders>
              <w:right w:val="single" w:sz="8" w:space="0" w:color="auto"/>
            </w:tcBorders>
            <w:shd w:val="clear" w:color="auto" w:fill="auto"/>
            <w:vAlign w:val="center"/>
          </w:tcPr>
          <w:p w14:paraId="72101271" w14:textId="77777777" w:rsidR="00DA10BC" w:rsidRPr="00616B61" w:rsidRDefault="00DA10BC" w:rsidP="00D13063">
            <w:pPr>
              <w:spacing w:after="0" w:line="240" w:lineRule="auto"/>
              <w:jc w:val="center"/>
              <w:rPr>
                <w:sz w:val="18"/>
                <w:szCs w:val="18"/>
              </w:rPr>
            </w:pPr>
            <w:r>
              <w:rPr>
                <w:sz w:val="18"/>
                <w:szCs w:val="18"/>
              </w:rPr>
              <w:t>0</w:t>
            </w:r>
          </w:p>
        </w:tc>
      </w:tr>
      <w:tr w:rsidR="00DA10BC" w:rsidRPr="00693200" w14:paraId="7F721D3B" w14:textId="77777777" w:rsidTr="00DA10BC">
        <w:trPr>
          <w:trHeight w:val="340"/>
          <w:jc w:val="center"/>
        </w:trPr>
        <w:tc>
          <w:tcPr>
            <w:tcW w:w="1639" w:type="dxa"/>
            <w:tcBorders>
              <w:left w:val="single" w:sz="8" w:space="0" w:color="auto"/>
            </w:tcBorders>
            <w:shd w:val="clear" w:color="auto" w:fill="auto"/>
            <w:vAlign w:val="center"/>
          </w:tcPr>
          <w:p w14:paraId="3C3993C0" w14:textId="77777777" w:rsidR="00DA10BC" w:rsidRPr="00616B61" w:rsidRDefault="00DA10BC" w:rsidP="00D13063">
            <w:pPr>
              <w:spacing w:after="0" w:line="240" w:lineRule="auto"/>
              <w:jc w:val="center"/>
              <w:rPr>
                <w:sz w:val="18"/>
                <w:szCs w:val="18"/>
              </w:rPr>
            </w:pPr>
            <w:r>
              <w:rPr>
                <w:sz w:val="18"/>
                <w:szCs w:val="18"/>
              </w:rPr>
              <w:t>16</w:t>
            </w:r>
          </w:p>
        </w:tc>
        <w:tc>
          <w:tcPr>
            <w:tcW w:w="2693" w:type="dxa"/>
            <w:shd w:val="clear" w:color="auto" w:fill="auto"/>
            <w:vAlign w:val="center"/>
          </w:tcPr>
          <w:p w14:paraId="07E5F01D" w14:textId="77777777" w:rsidR="00DA10BC" w:rsidRPr="00616B61" w:rsidRDefault="00DA10BC" w:rsidP="00D13063">
            <w:pPr>
              <w:spacing w:after="0" w:line="240" w:lineRule="auto"/>
              <w:jc w:val="center"/>
              <w:rPr>
                <w:sz w:val="18"/>
                <w:szCs w:val="18"/>
              </w:rPr>
            </w:pPr>
            <w:r>
              <w:rPr>
                <w:sz w:val="18"/>
                <w:szCs w:val="18"/>
              </w:rPr>
              <w:t>0</w:t>
            </w:r>
          </w:p>
        </w:tc>
        <w:tc>
          <w:tcPr>
            <w:tcW w:w="3198" w:type="dxa"/>
            <w:tcBorders>
              <w:right w:val="single" w:sz="8" w:space="0" w:color="auto"/>
            </w:tcBorders>
            <w:shd w:val="clear" w:color="auto" w:fill="auto"/>
            <w:vAlign w:val="center"/>
          </w:tcPr>
          <w:p w14:paraId="1B394754" w14:textId="77777777" w:rsidR="00DA10BC" w:rsidRPr="00616B61" w:rsidRDefault="00DA10BC" w:rsidP="00D13063">
            <w:pPr>
              <w:spacing w:after="0" w:line="240" w:lineRule="auto"/>
              <w:jc w:val="center"/>
              <w:rPr>
                <w:sz w:val="18"/>
                <w:szCs w:val="18"/>
              </w:rPr>
            </w:pPr>
            <w:r>
              <w:rPr>
                <w:sz w:val="18"/>
                <w:szCs w:val="18"/>
              </w:rPr>
              <w:t>100</w:t>
            </w:r>
          </w:p>
        </w:tc>
      </w:tr>
      <w:tr w:rsidR="00DA10BC" w:rsidRPr="00693200" w14:paraId="5AC62EA7" w14:textId="77777777" w:rsidTr="00DA10BC">
        <w:trPr>
          <w:trHeight w:val="340"/>
          <w:jc w:val="center"/>
        </w:trPr>
        <w:tc>
          <w:tcPr>
            <w:tcW w:w="1639" w:type="dxa"/>
            <w:tcBorders>
              <w:left w:val="single" w:sz="8" w:space="0" w:color="auto"/>
            </w:tcBorders>
            <w:shd w:val="clear" w:color="auto" w:fill="auto"/>
            <w:vAlign w:val="center"/>
          </w:tcPr>
          <w:p w14:paraId="57D857B8" w14:textId="77777777" w:rsidR="00DA10BC" w:rsidRPr="00616B61" w:rsidRDefault="00DA10BC" w:rsidP="00D13063">
            <w:pPr>
              <w:spacing w:after="0" w:line="240" w:lineRule="auto"/>
              <w:jc w:val="center"/>
              <w:rPr>
                <w:sz w:val="18"/>
                <w:szCs w:val="18"/>
              </w:rPr>
            </w:pPr>
            <w:r>
              <w:rPr>
                <w:sz w:val="18"/>
                <w:szCs w:val="18"/>
              </w:rPr>
              <w:t>17</w:t>
            </w:r>
          </w:p>
        </w:tc>
        <w:tc>
          <w:tcPr>
            <w:tcW w:w="2693" w:type="dxa"/>
            <w:shd w:val="clear" w:color="auto" w:fill="auto"/>
            <w:vAlign w:val="center"/>
          </w:tcPr>
          <w:p w14:paraId="21AA0E47" w14:textId="77777777" w:rsidR="00DA10BC" w:rsidRPr="00616B61" w:rsidRDefault="00DA10BC" w:rsidP="00D13063">
            <w:pPr>
              <w:spacing w:after="0" w:line="240" w:lineRule="auto"/>
              <w:jc w:val="center"/>
              <w:rPr>
                <w:sz w:val="18"/>
                <w:szCs w:val="18"/>
              </w:rPr>
            </w:pPr>
            <w:r>
              <w:rPr>
                <w:sz w:val="18"/>
                <w:szCs w:val="18"/>
              </w:rPr>
              <w:t>0</w:t>
            </w:r>
          </w:p>
        </w:tc>
        <w:tc>
          <w:tcPr>
            <w:tcW w:w="3198" w:type="dxa"/>
            <w:tcBorders>
              <w:right w:val="single" w:sz="8" w:space="0" w:color="auto"/>
            </w:tcBorders>
            <w:shd w:val="clear" w:color="auto" w:fill="auto"/>
            <w:vAlign w:val="center"/>
          </w:tcPr>
          <w:p w14:paraId="13F28ADE" w14:textId="77777777" w:rsidR="00DA10BC" w:rsidRPr="00616B61" w:rsidRDefault="00DA10BC" w:rsidP="00D13063">
            <w:pPr>
              <w:spacing w:after="0" w:line="240" w:lineRule="auto"/>
              <w:jc w:val="center"/>
              <w:rPr>
                <w:sz w:val="18"/>
                <w:szCs w:val="18"/>
              </w:rPr>
            </w:pPr>
            <w:r>
              <w:rPr>
                <w:sz w:val="18"/>
                <w:szCs w:val="18"/>
              </w:rPr>
              <w:t>100</w:t>
            </w:r>
          </w:p>
        </w:tc>
      </w:tr>
      <w:tr w:rsidR="00DA10BC" w:rsidRPr="00693200" w14:paraId="5CBBE5CD" w14:textId="77777777" w:rsidTr="00DA10BC">
        <w:trPr>
          <w:trHeight w:val="340"/>
          <w:jc w:val="center"/>
        </w:trPr>
        <w:tc>
          <w:tcPr>
            <w:tcW w:w="1639" w:type="dxa"/>
            <w:tcBorders>
              <w:left w:val="single" w:sz="8" w:space="0" w:color="auto"/>
            </w:tcBorders>
            <w:shd w:val="clear" w:color="auto" w:fill="auto"/>
            <w:vAlign w:val="center"/>
          </w:tcPr>
          <w:p w14:paraId="7FF8ABDC" w14:textId="77777777" w:rsidR="00DA10BC" w:rsidRPr="00616B61" w:rsidRDefault="00DA10BC" w:rsidP="00D13063">
            <w:pPr>
              <w:spacing w:after="0" w:line="240" w:lineRule="auto"/>
              <w:jc w:val="center"/>
              <w:rPr>
                <w:sz w:val="18"/>
                <w:szCs w:val="18"/>
              </w:rPr>
            </w:pPr>
            <w:r>
              <w:rPr>
                <w:sz w:val="18"/>
                <w:szCs w:val="18"/>
              </w:rPr>
              <w:t>18</w:t>
            </w:r>
          </w:p>
        </w:tc>
        <w:tc>
          <w:tcPr>
            <w:tcW w:w="2693" w:type="dxa"/>
            <w:shd w:val="clear" w:color="auto" w:fill="auto"/>
            <w:vAlign w:val="center"/>
          </w:tcPr>
          <w:p w14:paraId="01E6060B" w14:textId="77777777" w:rsidR="00DA10BC" w:rsidRPr="00616B61" w:rsidRDefault="00DA10BC" w:rsidP="00D13063">
            <w:pPr>
              <w:spacing w:after="0" w:line="240" w:lineRule="auto"/>
              <w:jc w:val="center"/>
              <w:rPr>
                <w:sz w:val="18"/>
                <w:szCs w:val="18"/>
              </w:rPr>
            </w:pPr>
            <w:r>
              <w:rPr>
                <w:sz w:val="18"/>
                <w:szCs w:val="18"/>
              </w:rPr>
              <w:t>100</w:t>
            </w:r>
          </w:p>
        </w:tc>
        <w:tc>
          <w:tcPr>
            <w:tcW w:w="3198" w:type="dxa"/>
            <w:tcBorders>
              <w:right w:val="single" w:sz="8" w:space="0" w:color="auto"/>
            </w:tcBorders>
            <w:shd w:val="clear" w:color="auto" w:fill="auto"/>
            <w:vAlign w:val="center"/>
          </w:tcPr>
          <w:p w14:paraId="708295DB" w14:textId="77777777" w:rsidR="00DA10BC" w:rsidRPr="00616B61" w:rsidRDefault="00DA10BC" w:rsidP="00D13063">
            <w:pPr>
              <w:spacing w:after="0" w:line="240" w:lineRule="auto"/>
              <w:jc w:val="center"/>
              <w:rPr>
                <w:sz w:val="18"/>
                <w:szCs w:val="18"/>
              </w:rPr>
            </w:pPr>
            <w:r>
              <w:rPr>
                <w:sz w:val="18"/>
                <w:szCs w:val="18"/>
              </w:rPr>
              <w:t>0</w:t>
            </w:r>
          </w:p>
        </w:tc>
      </w:tr>
      <w:tr w:rsidR="00DA10BC" w:rsidRPr="00693200" w14:paraId="7370E883" w14:textId="77777777" w:rsidTr="00DA10BC">
        <w:trPr>
          <w:trHeight w:val="340"/>
          <w:jc w:val="center"/>
        </w:trPr>
        <w:tc>
          <w:tcPr>
            <w:tcW w:w="1639" w:type="dxa"/>
            <w:tcBorders>
              <w:left w:val="single" w:sz="8" w:space="0" w:color="auto"/>
              <w:bottom w:val="single" w:sz="8" w:space="0" w:color="auto"/>
            </w:tcBorders>
            <w:shd w:val="clear" w:color="auto" w:fill="auto"/>
            <w:vAlign w:val="center"/>
          </w:tcPr>
          <w:p w14:paraId="2F6BC1F7" w14:textId="77777777" w:rsidR="00DA10BC" w:rsidRPr="00616B61" w:rsidRDefault="00DA10BC" w:rsidP="00D13063">
            <w:pPr>
              <w:spacing w:after="0" w:line="240" w:lineRule="auto"/>
              <w:jc w:val="center"/>
              <w:rPr>
                <w:sz w:val="18"/>
                <w:szCs w:val="18"/>
              </w:rPr>
            </w:pPr>
            <w:r>
              <w:rPr>
                <w:sz w:val="18"/>
                <w:szCs w:val="18"/>
              </w:rPr>
              <w:t>28</w:t>
            </w:r>
          </w:p>
        </w:tc>
        <w:tc>
          <w:tcPr>
            <w:tcW w:w="2693" w:type="dxa"/>
            <w:tcBorders>
              <w:bottom w:val="single" w:sz="8" w:space="0" w:color="auto"/>
            </w:tcBorders>
            <w:shd w:val="clear" w:color="auto" w:fill="auto"/>
            <w:vAlign w:val="center"/>
          </w:tcPr>
          <w:p w14:paraId="53FCE810" w14:textId="77777777" w:rsidR="00DA10BC" w:rsidRPr="00616B61" w:rsidRDefault="00DA10BC" w:rsidP="00D13063">
            <w:pPr>
              <w:spacing w:after="0" w:line="240" w:lineRule="auto"/>
              <w:jc w:val="center"/>
              <w:rPr>
                <w:sz w:val="18"/>
                <w:szCs w:val="18"/>
              </w:rPr>
            </w:pPr>
            <w:r>
              <w:rPr>
                <w:sz w:val="18"/>
                <w:szCs w:val="18"/>
              </w:rPr>
              <w:t>100</w:t>
            </w:r>
          </w:p>
        </w:tc>
        <w:tc>
          <w:tcPr>
            <w:tcW w:w="3198" w:type="dxa"/>
            <w:tcBorders>
              <w:bottom w:val="single" w:sz="8" w:space="0" w:color="auto"/>
              <w:right w:val="single" w:sz="8" w:space="0" w:color="auto"/>
            </w:tcBorders>
            <w:shd w:val="clear" w:color="auto" w:fill="auto"/>
            <w:vAlign w:val="center"/>
          </w:tcPr>
          <w:p w14:paraId="285F84A8" w14:textId="77777777" w:rsidR="00DA10BC" w:rsidRPr="00616B61" w:rsidRDefault="00DA10BC" w:rsidP="00D13063">
            <w:pPr>
              <w:spacing w:after="0" w:line="240" w:lineRule="auto"/>
              <w:jc w:val="center"/>
              <w:rPr>
                <w:sz w:val="18"/>
                <w:szCs w:val="18"/>
              </w:rPr>
            </w:pPr>
            <w:r>
              <w:rPr>
                <w:sz w:val="18"/>
                <w:szCs w:val="18"/>
              </w:rPr>
              <w:t>0</w:t>
            </w:r>
          </w:p>
        </w:tc>
      </w:tr>
    </w:tbl>
    <w:p w14:paraId="4D94CE5E" w14:textId="77777777" w:rsidR="00DA10BC" w:rsidRPr="00C109FB" w:rsidRDefault="00DA10BC" w:rsidP="00C109FB"/>
    <w:p w14:paraId="60BDD1D3" w14:textId="77777777" w:rsidR="007B4608" w:rsidRDefault="004851F1" w:rsidP="00E71524">
      <w:pPr>
        <w:pStyle w:val="berschrift4"/>
      </w:pPr>
      <w:bookmarkStart w:id="142" w:name="_Toc294380206"/>
      <w:r w:rsidRPr="002A310F">
        <w:t>Rasterelektronenmikroskopie</w:t>
      </w:r>
      <w:bookmarkEnd w:id="142"/>
    </w:p>
    <w:p w14:paraId="6D277825" w14:textId="77777777" w:rsidR="00056BF1" w:rsidRDefault="00EE30D0" w:rsidP="00056BF1">
      <w:r>
        <w:t>Zur Untersuchung der Partikelmorphologie wurden Aufnahmen mit einem</w:t>
      </w:r>
      <w:r w:rsidR="0016618A" w:rsidRPr="0016618A">
        <w:t xml:space="preserve"> Rasterelektronenmikrosko</w:t>
      </w:r>
      <w:r>
        <w:t xml:space="preserve">p (JSM-6610LA, </w:t>
      </w:r>
      <w:r w:rsidR="0016618A" w:rsidRPr="0016618A">
        <w:t>Jeol Ltd., Tokyo, Japan</w:t>
      </w:r>
      <w:r w:rsidR="0016618A">
        <w:t>)</w:t>
      </w:r>
      <w:r>
        <w:t xml:space="preserve"> </w:t>
      </w:r>
      <w:r w:rsidR="008701EF">
        <w:t>angefertigt</w:t>
      </w:r>
      <w:r w:rsidR="0016618A" w:rsidRPr="0016618A">
        <w:t>. Die Aufnahmen wurden mit einer Beschleuni</w:t>
      </w:r>
      <w:r w:rsidR="00995D29">
        <w:t>gungsspannung zwischen 7 und 10 </w:t>
      </w:r>
      <w:r w:rsidR="0016618A" w:rsidRPr="0016618A">
        <w:t>kV und einem Arbeitsabstand zwischen 8 und 12 mm erstellt.</w:t>
      </w:r>
    </w:p>
    <w:p w14:paraId="1E39243F" w14:textId="77777777" w:rsidR="00A32604" w:rsidRDefault="0016618A" w:rsidP="00056BF1">
      <w:r>
        <w:t>Pulverförmige</w:t>
      </w:r>
      <w:r w:rsidR="00874A8A">
        <w:t xml:space="preserve"> gefriergetrocknete oder sprühgetrocknete</w:t>
      </w:r>
      <w:r>
        <w:t xml:space="preserve"> Proben wurden auf einen Probenträger aufgestreut und vor der U</w:t>
      </w:r>
      <w:r w:rsidR="00A32604">
        <w:t xml:space="preserve">ntersuchung mit Gold bedampft. </w:t>
      </w:r>
    </w:p>
    <w:p w14:paraId="113041A8" w14:textId="77777777" w:rsidR="0016618A" w:rsidRPr="00056BF1" w:rsidRDefault="00482268" w:rsidP="00056BF1">
      <w:r>
        <w:t>Wässrige Partikelsuspensionen</w:t>
      </w:r>
      <w:r w:rsidR="00A32604">
        <w:t xml:space="preserve"> wurden 1:5 mit Ethanol verdünnt, auf einen Probenträger aufgetropft und nach Trocknung im Vakuum </w:t>
      </w:r>
      <w:r w:rsidR="008D4F7F">
        <w:t xml:space="preserve">ebenfalls </w:t>
      </w:r>
      <w:r w:rsidR="00A32604">
        <w:t>mit Gold bedampft.</w:t>
      </w:r>
    </w:p>
    <w:p w14:paraId="0353896D" w14:textId="77777777" w:rsidR="004851F1" w:rsidRDefault="004851F1" w:rsidP="00E71524">
      <w:pPr>
        <w:pStyle w:val="berschrift4"/>
      </w:pPr>
      <w:bookmarkStart w:id="143" w:name="_Toc294380207"/>
      <w:r w:rsidRPr="004851F1">
        <w:t>Redispergierbarkeit</w:t>
      </w:r>
      <w:bookmarkEnd w:id="143"/>
    </w:p>
    <w:p w14:paraId="36CBC156" w14:textId="77777777" w:rsidR="00A32604" w:rsidRDefault="00A42079" w:rsidP="00A32604">
      <w:r>
        <w:t>Die Beurteilung der Redispergierbarkeit der getrockneten Partikel erfolgte durch einen Vergleich des mittleren Partikeldurchmessers und des Polydispersitätsindexes (PDI) vor der Trocknung mit den Messergebnissen nach Trocknung und Redispergierung in Wasser. Die Daten hierzu wurden mit der DLS Methode generiert, die b</w:t>
      </w:r>
      <w:r w:rsidR="0045121C">
        <w:t>ereits am Beginn dieses Kapitels</w:t>
      </w:r>
      <w:r>
        <w:t xml:space="preserve"> beschrieben wurde.</w:t>
      </w:r>
    </w:p>
    <w:p w14:paraId="41C4D690" w14:textId="77777777" w:rsidR="00BE2518" w:rsidRDefault="00A50A70" w:rsidP="00BE2518">
      <w:pPr>
        <w:pStyle w:val="berschrift4"/>
      </w:pPr>
      <w:bookmarkStart w:id="144" w:name="_Toc294380208"/>
      <w:r>
        <w:lastRenderedPageBreak/>
        <w:t>Qualitativer Nachweis von Thiolgruppen mit Ellmanns Reagenz</w:t>
      </w:r>
      <w:bookmarkEnd w:id="144"/>
    </w:p>
    <w:p w14:paraId="37682662" w14:textId="77777777" w:rsidR="0097517C" w:rsidRDefault="00A50A70" w:rsidP="00A50A70">
      <w:r>
        <w:t>Die spezifische Funktionalit</w:t>
      </w:r>
      <w:r w:rsidR="00F71178">
        <w:t>ät der PEA Polymere des Cystein-</w:t>
      </w:r>
      <w:r>
        <w:t xml:space="preserve">Typs basiert auf der Verfügbarkeit </w:t>
      </w:r>
      <w:r w:rsidR="0081210A">
        <w:t>von reaktiven</w:t>
      </w:r>
      <w:r w:rsidR="00C110E0">
        <w:t xml:space="preserve"> Thiolgruppen</w:t>
      </w:r>
      <w:r w:rsidR="0081210A">
        <w:t>, die in der reduzierten Form vorliegen</w:t>
      </w:r>
      <w:r w:rsidR="00C110E0">
        <w:t xml:space="preserve">. </w:t>
      </w:r>
      <w:r w:rsidR="0081210A">
        <w:t>Nach der</w:t>
      </w:r>
      <w:r w:rsidR="00C110E0">
        <w:t xml:space="preserve"> Synthese wurde die Anwesenheit der funktionellen Gruppen</w:t>
      </w:r>
      <w:r w:rsidR="0081210A">
        <w:t xml:space="preserve"> im frisch hergestellten Polymer</w:t>
      </w:r>
      <w:r w:rsidR="00C110E0">
        <w:t xml:space="preserve"> mittels NMR Spektroskopie bestätigt. </w:t>
      </w:r>
      <w:r w:rsidR="0081210A">
        <w:t xml:space="preserve">Ob die Funktionalität allerdings für die formulierten Nanopartikel erhalten bleibt, kann nicht sicher vorhergesagt werden. Zur Überprüfung, ob sich auf der Oberfläche der formulierten Nanopartikel </w:t>
      </w:r>
      <w:r w:rsidR="0097517C">
        <w:t xml:space="preserve">nach wie vor </w:t>
      </w:r>
      <w:r w:rsidR="0081210A">
        <w:t>reaktive Thiolgruppen befinden, wurde ein</w:t>
      </w:r>
      <w:r w:rsidR="00F71178">
        <w:t xml:space="preserve"> qualitativer</w:t>
      </w:r>
      <w:r w:rsidR="00C94531">
        <w:t xml:space="preserve"> Nachweis mit Ellmanns Reagenz</w:t>
      </w:r>
      <w:r w:rsidR="0081210A">
        <w:t xml:space="preserve"> durchgeführt. </w:t>
      </w:r>
      <w:r w:rsidR="00C94531">
        <w:t xml:space="preserve">Hinter dem nach Ellmann benannten Reagenz verbirgt sich die in Wasser zunächst farblose </w:t>
      </w:r>
      <w:r w:rsidR="00C94531" w:rsidRPr="00C94531">
        <w:t xml:space="preserve">5,5'-Dithiobis-2-nitrobenzoesäure, </w:t>
      </w:r>
      <w:r w:rsidR="00C94531">
        <w:t xml:space="preserve">oder kurz </w:t>
      </w:r>
      <w:r w:rsidR="00C94531" w:rsidRPr="00C94531">
        <w:t>DTNB</w:t>
      </w:r>
      <w:r w:rsidR="001B1A82">
        <w:t>, die insbesondere mit Cystein-</w:t>
      </w:r>
      <w:r w:rsidR="00C94531">
        <w:t xml:space="preserve">haltigen Biopolymeren zu dem tief gelb gefärbten </w:t>
      </w:r>
      <w:r w:rsidR="00C94531" w:rsidRPr="00C94531">
        <w:t>2-Nitro-5-thiobenzoat (TNB</w:t>
      </w:r>
      <w:r w:rsidR="00C94531">
        <w:rPr>
          <w:vertAlign w:val="superscript"/>
        </w:rPr>
        <w:t>-</w:t>
      </w:r>
      <w:r w:rsidR="00C94531">
        <w:t>) umgesetzt wird</w:t>
      </w:r>
      <w:r w:rsidR="00C94531">
        <w:rPr>
          <w:rStyle w:val="Endnotenzeichen"/>
        </w:rPr>
        <w:endnoteReference w:id="128"/>
      </w:r>
      <w:r w:rsidR="00C94531">
        <w:t xml:space="preserve">. </w:t>
      </w:r>
    </w:p>
    <w:p w14:paraId="31954FCD" w14:textId="77777777" w:rsidR="00A50A70" w:rsidRPr="00C94531" w:rsidRDefault="003F1926" w:rsidP="00A50A70">
      <w:r>
        <w:t>Dazu wu</w:t>
      </w:r>
      <w:r w:rsidR="000F11A3">
        <w:t>rd</w:t>
      </w:r>
      <w:r>
        <w:t>e</w:t>
      </w:r>
      <w:r w:rsidR="000F11A3">
        <w:t xml:space="preserve"> zunächst eine Lösung von </w:t>
      </w:r>
      <w:r>
        <w:t xml:space="preserve">4 mg/ml </w:t>
      </w:r>
      <w:r w:rsidR="000F11A3">
        <w:t xml:space="preserve">DTNB in </w:t>
      </w:r>
      <w:r>
        <w:t>0,1 molarem Kaliumphosphatpuffer mit einem pH Wert von 7,0 hergestellt. Weiterhin wurden 5 mg der Partikelformulierung mit Cystein PEA in 1 ml 1 molarem</w:t>
      </w:r>
      <w:r w:rsidR="000F11A3">
        <w:t xml:space="preserve"> Tris-Puffer </w:t>
      </w:r>
      <w:r w:rsidR="00482268">
        <w:t>mit einem pH-Wert von 8,0 suspendiert</w:t>
      </w:r>
      <w:r>
        <w:t xml:space="preserve">. Anschließend </w:t>
      </w:r>
      <w:r w:rsidR="0097517C">
        <w:t>wurden 500 µl der Partikelsuspension</w:t>
      </w:r>
      <w:r>
        <w:t xml:space="preserve"> zu 1 ml Ellmanns Reagenz gegeben. Dabei wurde darauf geachtet, ob ein Farbumschlag von annähernd farblos nach intensiv gelb-orange erfolgt. In diesem</w:t>
      </w:r>
      <w:r w:rsidR="0097517C">
        <w:t xml:space="preserve"> Fall hätte der Nachweis </w:t>
      </w:r>
      <w:r>
        <w:t>für reaktive Thiolgruppen</w:t>
      </w:r>
      <w:r w:rsidR="0097517C">
        <w:t xml:space="preserve"> ein positives Ergebnis</w:t>
      </w:r>
      <w:r>
        <w:t>.</w:t>
      </w:r>
      <w:r w:rsidR="0097517C">
        <w:t xml:space="preserve"> Es wurde jeweils eine Negativprobe mit einer Partikelformulierung aus PLGA mitgeführt.</w:t>
      </w:r>
    </w:p>
    <w:p w14:paraId="482328EA" w14:textId="77777777" w:rsidR="007021C3" w:rsidRDefault="00996F38" w:rsidP="00996F38">
      <w:pPr>
        <w:pStyle w:val="berschrift3"/>
      </w:pPr>
      <w:bookmarkStart w:id="145" w:name="_Ref273305455"/>
      <w:bookmarkStart w:id="146" w:name="_Toc294380209"/>
      <w:r w:rsidRPr="006F53FF">
        <w:rPr>
          <w:i/>
        </w:rPr>
        <w:t>I</w:t>
      </w:r>
      <w:r w:rsidR="00DC7462" w:rsidRPr="006F53FF">
        <w:rPr>
          <w:i/>
        </w:rPr>
        <w:t>n vitro</w:t>
      </w:r>
      <w:r w:rsidR="00DC7462">
        <w:t>-</w:t>
      </w:r>
      <w:r w:rsidR="004851F1">
        <w:t>Charakterisierung</w:t>
      </w:r>
      <w:r w:rsidR="006F53FF">
        <w:t xml:space="preserve"> der Formulierungen</w:t>
      </w:r>
      <w:bookmarkEnd w:id="145"/>
      <w:bookmarkEnd w:id="146"/>
    </w:p>
    <w:p w14:paraId="07E570C1" w14:textId="77777777" w:rsidR="00036226" w:rsidRPr="00036226" w:rsidRDefault="00036226" w:rsidP="00036226">
      <w:r>
        <w:t>Zur V</w:t>
      </w:r>
      <w:r w:rsidR="00C42C26">
        <w:t>orhersage und ersten Einschätzung</w:t>
      </w:r>
      <w:r>
        <w:t xml:space="preserve"> der pharmazeutische</w:t>
      </w:r>
      <w:r w:rsidR="003C0F5F">
        <w:t xml:space="preserve">n Eigenschaften und </w:t>
      </w:r>
      <w:r>
        <w:t xml:space="preserve">Interaktionen der Partikelformulierungen </w:t>
      </w:r>
      <w:r w:rsidR="003C0F5F">
        <w:t xml:space="preserve">mit biologischen Systemen </w:t>
      </w:r>
      <w:r>
        <w:t xml:space="preserve">wurden die folgenden </w:t>
      </w:r>
      <w:r w:rsidR="00BC4FA7">
        <w:rPr>
          <w:i/>
        </w:rPr>
        <w:t>in </w:t>
      </w:r>
      <w:r>
        <w:rPr>
          <w:i/>
        </w:rPr>
        <w:t>vitro</w:t>
      </w:r>
      <w:r w:rsidR="0045121C">
        <w:t>-</w:t>
      </w:r>
      <w:r>
        <w:t>Untersuchungen durchgeführt:</w:t>
      </w:r>
    </w:p>
    <w:p w14:paraId="08234421" w14:textId="77777777" w:rsidR="00036226" w:rsidRDefault="00036226" w:rsidP="00DA5BCE">
      <w:pPr>
        <w:pStyle w:val="Listenabsatz"/>
        <w:numPr>
          <w:ilvl w:val="0"/>
          <w:numId w:val="29"/>
        </w:numPr>
        <w:ind w:left="1066" w:hanging="357"/>
        <w:contextualSpacing w:val="0"/>
      </w:pPr>
      <w:r>
        <w:t>Die Freisetzung von Desmopressin aus den Partikelformulierungen wurde</w:t>
      </w:r>
      <w:r w:rsidR="00407942">
        <w:t xml:space="preserve"> bei unterschiedlichen pH-Werten</w:t>
      </w:r>
      <w:r>
        <w:t xml:space="preserve"> über einen Zeitraum von bis zu 48 Stunden untersucht.</w:t>
      </w:r>
    </w:p>
    <w:p w14:paraId="4BF95950" w14:textId="77777777" w:rsidR="00DA5BCE" w:rsidRDefault="00DA5BCE" w:rsidP="00DA5BCE">
      <w:pPr>
        <w:pStyle w:val="Listenabsatz"/>
        <w:numPr>
          <w:ilvl w:val="0"/>
          <w:numId w:val="29"/>
        </w:numPr>
        <w:ind w:left="1066" w:hanging="357"/>
        <w:contextualSpacing w:val="0"/>
      </w:pPr>
      <w:r>
        <w:t>Weiterhin wurden Tests zur Beurteilung des Einflusses der Formulierungen auf die Viabilität von Caco-2 Zellen durchgeführt. Anhand dieser Daten erfolgte eine e</w:t>
      </w:r>
      <w:r w:rsidR="00407942">
        <w:t>rste toxikologische Beurteilung</w:t>
      </w:r>
      <w:r w:rsidR="00A57B86">
        <w:t xml:space="preserve"> der neuen Polymere und der</w:t>
      </w:r>
      <w:r>
        <w:t xml:space="preserve"> </w:t>
      </w:r>
      <w:r w:rsidR="00A57B86">
        <w:t>Partikelf</w:t>
      </w:r>
      <w:r>
        <w:t>ormulierungen.</w:t>
      </w:r>
    </w:p>
    <w:p w14:paraId="37E43C29" w14:textId="77777777" w:rsidR="00BC4FA7" w:rsidRDefault="00BC4FA7" w:rsidP="00036226">
      <w:pPr>
        <w:pStyle w:val="Listenabsatz"/>
        <w:numPr>
          <w:ilvl w:val="0"/>
          <w:numId w:val="29"/>
        </w:numPr>
        <w:ind w:left="1066" w:hanging="357"/>
        <w:contextualSpacing w:val="0"/>
      </w:pPr>
      <w:r>
        <w:t>Die Zellaufnahme fluoreszenzmarkierter Partikel</w:t>
      </w:r>
      <w:r w:rsidR="00DA5BCE">
        <w:t xml:space="preserve"> wurde mit </w:t>
      </w:r>
      <w:r>
        <w:rPr>
          <w:i/>
        </w:rPr>
        <w:t>in vitro</w:t>
      </w:r>
      <w:r w:rsidR="002A6B04">
        <w:t>-</w:t>
      </w:r>
      <w:r w:rsidR="00DA5BCE">
        <w:t>kultivi</w:t>
      </w:r>
      <w:r w:rsidR="00F71178">
        <w:t>erten HeLa und Cac</w:t>
      </w:r>
      <w:r>
        <w:t>o-2 Zellen getestet und mittels Fluoreszenzmikroskopie ausgewertet</w:t>
      </w:r>
      <w:r w:rsidR="00A57B86">
        <w:t>.</w:t>
      </w:r>
    </w:p>
    <w:p w14:paraId="49E4D287" w14:textId="77777777" w:rsidR="00DA5BCE" w:rsidRPr="00DA5BCE" w:rsidRDefault="00DA5BCE" w:rsidP="00036226">
      <w:pPr>
        <w:pStyle w:val="Listenabsatz"/>
        <w:numPr>
          <w:ilvl w:val="0"/>
          <w:numId w:val="29"/>
        </w:numPr>
        <w:ind w:left="1066" w:hanging="357"/>
        <w:contextualSpacing w:val="0"/>
      </w:pPr>
      <w:r>
        <w:t xml:space="preserve">Der Wirkstoff- und Partikeltransport durch ein Epithel wurde von verschiedenen Projektpartnern mit unterschiedlichen </w:t>
      </w:r>
      <w:r w:rsidRPr="00F46853">
        <w:rPr>
          <w:i/>
        </w:rPr>
        <w:t>in vitro</w:t>
      </w:r>
      <w:r w:rsidR="002A6B04">
        <w:t>-</w:t>
      </w:r>
      <w:r>
        <w:t>Zellkulturmodellen untersucht.</w:t>
      </w:r>
    </w:p>
    <w:p w14:paraId="6A6D5284" w14:textId="77777777" w:rsidR="00EE3825" w:rsidRDefault="00EE3825" w:rsidP="00E71524">
      <w:pPr>
        <w:pStyle w:val="berschrift4"/>
      </w:pPr>
      <w:bookmarkStart w:id="147" w:name="_Ref275638771"/>
      <w:bookmarkStart w:id="148" w:name="_Toc294380210"/>
      <w:r>
        <w:lastRenderedPageBreak/>
        <w:t>Untersuchung der Wirkstofffreisetzung</w:t>
      </w:r>
      <w:bookmarkEnd w:id="147"/>
      <w:bookmarkEnd w:id="148"/>
    </w:p>
    <w:p w14:paraId="7F038B1C" w14:textId="77777777" w:rsidR="00E43F2B" w:rsidRPr="00E43F2B" w:rsidRDefault="00C64838" w:rsidP="00E43F2B">
      <w:r>
        <w:t>D</w:t>
      </w:r>
      <w:r w:rsidR="00F71178">
        <w:t>ie Freisetzung des Modellpeptid</w:t>
      </w:r>
      <w:r>
        <w:t>s Desmopressin aus den Fo</w:t>
      </w:r>
      <w:r w:rsidR="00C13D15">
        <w:t>rmulierungen mit PEA Polymeren</w:t>
      </w:r>
      <w:r>
        <w:t xml:space="preserve"> wurde untersucht, indem eine genau gewogene Menge </w:t>
      </w:r>
      <w:r w:rsidR="00C13D15">
        <w:t xml:space="preserve">der getrockneten Formulierung </w:t>
      </w:r>
      <w:r>
        <w:t>in einem definierten Volumen Freisetzungsmedium dispergiert und bei einer Temperatur vo</w:t>
      </w:r>
      <w:r w:rsidR="00A426B8">
        <w:t>n 37 °</w:t>
      </w:r>
      <w:r>
        <w:t>C mit einem Magnetrührer mit 500 UpM gerührt wurde. Als Freisetzungsmedium wurde 0,1 molare Salzsäure und ein PBS Puffer mit einem pH-Wert von 6,8 verwendet. Die Herstellung des Puffers erfolgte gemäß der Vorschrift des Europäischen Arz</w:t>
      </w:r>
      <w:r w:rsidR="00334022">
        <w:t xml:space="preserve">neibuchs. Die Zeitpunkte der Probenahme werden bei der Beschreibung der jeweiligen Ergebnisse angegeben. Zum jeweiligen Zeitpunkt wurde 1 ml </w:t>
      </w:r>
      <w:r w:rsidR="002A6B04">
        <w:t>der Partikelsuspension entnommen</w:t>
      </w:r>
      <w:r w:rsidR="00334022">
        <w:t xml:space="preserve"> und in einem Eppendorf Tube für 5 min bei 13.000 rcf zentrifugiert. </w:t>
      </w:r>
      <w:r w:rsidR="00C13D15">
        <w:t>Zur Bestimmun</w:t>
      </w:r>
      <w:r w:rsidR="002A6B04">
        <w:t>g des Wirkstoffgehalts per HPLC</w:t>
      </w:r>
      <w:r w:rsidR="00C13D15">
        <w:t xml:space="preserve"> wurden 500 µl des Überstandes abgezogen. Die entnommene Partikelprobe wurde nach Entnahme des Überstandes mit 500 µl frischem Puffer aufgefüllt </w:t>
      </w:r>
      <w:r w:rsidR="002A6B04">
        <w:t xml:space="preserve">und </w:t>
      </w:r>
      <w:r w:rsidR="00C13D15">
        <w:t xml:space="preserve">der Freisetzungslösung wieder zugeführt. </w:t>
      </w:r>
      <w:r w:rsidR="00334022">
        <w:t>Es wurden Freisetzungstests bis zu einer maximalen Dauer von 48 Stunden durchg</w:t>
      </w:r>
      <w:r w:rsidR="00C13D15">
        <w:t>eführt.</w:t>
      </w:r>
    </w:p>
    <w:p w14:paraId="45FCA65C" w14:textId="77777777" w:rsidR="00697604" w:rsidRDefault="00BC4FA7" w:rsidP="00697604">
      <w:pPr>
        <w:pStyle w:val="berschrift4"/>
      </w:pPr>
      <w:bookmarkStart w:id="149" w:name="_Toc294380211"/>
      <w:r>
        <w:t>T</w:t>
      </w:r>
      <w:r w:rsidR="006F53FF">
        <w:t>oxikologische Unt</w:t>
      </w:r>
      <w:r w:rsidR="00E11D6B">
        <w:t>ersuchungen – Viabilität von Cac</w:t>
      </w:r>
      <w:r w:rsidR="006F53FF">
        <w:t>o-2 Zellen</w:t>
      </w:r>
      <w:bookmarkEnd w:id="149"/>
    </w:p>
    <w:p w14:paraId="0886F490" w14:textId="77777777" w:rsidR="00666D10" w:rsidRDefault="00346478" w:rsidP="00666D10">
      <w:r>
        <w:t>Zur ersten toxikologischen Charakterisierung</w:t>
      </w:r>
      <w:r w:rsidR="00650A75">
        <w:t xml:space="preserve"> der neuen Polymere und der Partikel-f</w:t>
      </w:r>
      <w:r w:rsidR="009C4222">
        <w:t xml:space="preserve">ormulierungen </w:t>
      </w:r>
      <w:r>
        <w:t>wurde</w:t>
      </w:r>
      <w:r w:rsidR="008B28AF">
        <w:t xml:space="preserve"> die Viabilität</w:t>
      </w:r>
      <w:r>
        <w:t xml:space="preserve"> kultivierter</w:t>
      </w:r>
      <w:r w:rsidR="009C4222">
        <w:t xml:space="preserve"> </w:t>
      </w:r>
      <w:r w:rsidR="001B1A82">
        <w:t>Dickdarmkarzinomzellen</w:t>
      </w:r>
      <w:r w:rsidR="00E11D6B">
        <w:t xml:space="preserve"> (Cac</w:t>
      </w:r>
      <w:r w:rsidR="008B28AF">
        <w:t>o-2)</w:t>
      </w:r>
      <w:r>
        <w:t xml:space="preserve"> nach Inkubation mit den jeweiligen Proben gemessen</w:t>
      </w:r>
      <w:r w:rsidR="009C4222">
        <w:t>.</w:t>
      </w:r>
    </w:p>
    <w:p w14:paraId="3C60E352" w14:textId="77777777" w:rsidR="00E85A36" w:rsidRDefault="00D47E45" w:rsidP="00666D10">
      <w:r>
        <w:t xml:space="preserve">Die </w:t>
      </w:r>
      <w:r w:rsidR="00542EC6">
        <w:t>Viabilität von</w:t>
      </w:r>
      <w:r>
        <w:t xml:space="preserve"> Zellen</w:t>
      </w:r>
      <w:r w:rsidR="001409D0">
        <w:t xml:space="preserve"> kann anhand der Konzentration</w:t>
      </w:r>
      <w:r w:rsidR="00E85A36">
        <w:t xml:space="preserve"> bestimmter Substanzen wie beispielsweise </w:t>
      </w:r>
      <w:r w:rsidR="00542EC6">
        <w:t xml:space="preserve">ATP, </w:t>
      </w:r>
      <w:r w:rsidR="001409D0">
        <w:t xml:space="preserve">NADH, NADPH oder </w:t>
      </w:r>
      <w:r w:rsidR="00E85A36">
        <w:t>Succinat-Dehydrogenase</w:t>
      </w:r>
      <w:r w:rsidR="001409D0">
        <w:t xml:space="preserve"> bestimmt werden</w:t>
      </w:r>
      <w:r w:rsidR="00E85A36">
        <w:t xml:space="preserve">. Die Konzentration dieser Substanzen wird </w:t>
      </w:r>
      <w:r w:rsidR="001B1A82">
        <w:t>üblicherw</w:t>
      </w:r>
      <w:r w:rsidR="001409D0">
        <w:t xml:space="preserve">eise </w:t>
      </w:r>
      <w:r w:rsidR="00E85A36">
        <w:t>durch Zugabe von Farbreagenzien gemessen, die eine konzentrationsabhängige Farbreaktion mit diesen eingehen</w:t>
      </w:r>
      <w:r w:rsidR="001409D0">
        <w:t>. Das Ausmaß</w:t>
      </w:r>
      <w:r w:rsidR="00650A75">
        <w:t xml:space="preserve"> dieser</w:t>
      </w:r>
      <w:r w:rsidR="001409D0">
        <w:t xml:space="preserve"> Reaktion</w:t>
      </w:r>
      <w:r w:rsidR="00E85A36">
        <w:t xml:space="preserve"> wird mittels UV-Spektroskopie ermittelt und lässt Rücksc</w:t>
      </w:r>
      <w:r w:rsidR="001409D0">
        <w:t>hlüsse auf die Überlebensrate</w:t>
      </w:r>
      <w:r w:rsidR="00E85A36">
        <w:t xml:space="preserve"> der Zellen zu. Der</w:t>
      </w:r>
      <w:r w:rsidR="00346478">
        <w:t xml:space="preserve"> erstmalig</w:t>
      </w:r>
      <w:r w:rsidR="001409D0">
        <w:t xml:space="preserve"> </w:t>
      </w:r>
      <w:r w:rsidR="00346478">
        <w:t>im Jahre 1983</w:t>
      </w:r>
      <w:r w:rsidR="001409D0">
        <w:t xml:space="preserve"> von Mosmann beschriebene</w:t>
      </w:r>
      <w:r w:rsidR="00E85A36">
        <w:t xml:space="preserve"> MTT Test beruht auf der Umsetzung des </w:t>
      </w:r>
      <w:r w:rsidR="00E85A36" w:rsidRPr="00E85A36">
        <w:t>wasserlöslichen Farbstoffs 3-(4,5-Dimethylthiazol-2-yl)-2,5-diphenyltetrazoliumbromid (</w:t>
      </w:r>
      <w:r w:rsidR="00650A75">
        <w:t>kurz:</w:t>
      </w:r>
      <w:r w:rsidR="008B28AF">
        <w:t xml:space="preserve"> </w:t>
      </w:r>
      <w:r w:rsidR="00E85A36" w:rsidRPr="00E85A36">
        <w:t>MTT)</w:t>
      </w:r>
      <w:r w:rsidR="00346478">
        <w:t xml:space="preserve"> zu einem blau-violett gefärbten</w:t>
      </w:r>
      <w:r w:rsidR="00E85A36">
        <w:t xml:space="preserve"> wasserunlöslichen Formazan</w:t>
      </w:r>
      <w:r w:rsidR="00346478">
        <w:rPr>
          <w:rStyle w:val="Endnotenzeichen"/>
        </w:rPr>
        <w:endnoteReference w:id="129"/>
      </w:r>
      <w:r w:rsidR="00E85A36">
        <w:t xml:space="preserve">. Der </w:t>
      </w:r>
      <w:r w:rsidR="008B28AF">
        <w:t xml:space="preserve">außerdem verwendete </w:t>
      </w:r>
      <w:r w:rsidR="00E85A36">
        <w:t xml:space="preserve">CellTiter-Glo Test </w:t>
      </w:r>
      <w:r w:rsidR="00542EC6">
        <w:t>generiert ein messbares Lumineszenzsignal, das proportional zur ATP Konzentration ist. Diese stellt wiederum einen Indikator der metabolischen Aktivität von Zellen dar und erlaubt somit die Ermittlung der Anzahl lebender Zellen.</w:t>
      </w:r>
    </w:p>
    <w:p w14:paraId="6BFDA4AB" w14:textId="77777777" w:rsidR="00666D10" w:rsidRDefault="008B28AF" w:rsidP="00666D10">
      <w:r>
        <w:t>Für die Tests wurden</w:t>
      </w:r>
      <w:r w:rsidR="00666D10" w:rsidRPr="00666D10">
        <w:t xml:space="preserve"> </w:t>
      </w:r>
      <w:r w:rsidR="009C4222" w:rsidRPr="00666D10">
        <w:t xml:space="preserve">Caco-2 (ACC169) </w:t>
      </w:r>
      <w:r w:rsidR="009C4222" w:rsidRPr="008B28AF">
        <w:rPr>
          <w:i/>
        </w:rPr>
        <w:t>human colon adenocarcinoma</w:t>
      </w:r>
      <w:r w:rsidR="009C4222">
        <w:t xml:space="preserve"> Zellen</w:t>
      </w:r>
      <w:r w:rsidR="009C4222" w:rsidRPr="00666D10">
        <w:t xml:space="preserve"> </w:t>
      </w:r>
      <w:r>
        <w:t>von der DSMZ (Deutsche Sammlung von Mikroorganismen und Zellkulturen GmbH) verwendet</w:t>
      </w:r>
      <w:r w:rsidR="009C4222">
        <w:t xml:space="preserve">. Weitere verwendete Substanzen und Puffer sind in </w:t>
      </w:r>
      <w:r w:rsidR="00D16240">
        <w:fldChar w:fldCharType="begin"/>
      </w:r>
      <w:r w:rsidR="009C4222">
        <w:instrText xml:space="preserve"> REF _Ref274683577 \h </w:instrText>
      </w:r>
      <w:r w:rsidR="00D16240">
        <w:fldChar w:fldCharType="separate"/>
      </w:r>
      <w:r w:rsidR="00711AB8" w:rsidRPr="00666D10">
        <w:t xml:space="preserve">Tabelle </w:t>
      </w:r>
      <w:r w:rsidR="00711AB8">
        <w:rPr>
          <w:noProof/>
        </w:rPr>
        <w:t>9</w:t>
      </w:r>
      <w:r w:rsidR="00D16240">
        <w:fldChar w:fldCharType="end"/>
      </w:r>
      <w:r w:rsidR="009C4222">
        <w:t xml:space="preserve"> aufgeführt.</w:t>
      </w:r>
    </w:p>
    <w:p w14:paraId="7CA312D4" w14:textId="77777777" w:rsidR="00F71178" w:rsidRDefault="00F71178" w:rsidP="00666D10"/>
    <w:p w14:paraId="17163FA3" w14:textId="77777777" w:rsidR="00666D10" w:rsidRPr="00666D10" w:rsidRDefault="00666D10" w:rsidP="001856C4">
      <w:pPr>
        <w:pStyle w:val="Beschriftung"/>
        <w:ind w:firstLine="0"/>
        <w:rPr>
          <w:b w:val="0"/>
        </w:rPr>
      </w:pPr>
      <w:bookmarkStart w:id="150" w:name="_Ref274683577"/>
      <w:r w:rsidRPr="00666D10">
        <w:lastRenderedPageBreak/>
        <w:t xml:space="preserve">Tabelle </w:t>
      </w:r>
      <w:fldSimple w:instr=" SEQ Tabelle \* ARABIC ">
        <w:r w:rsidR="00711AB8">
          <w:rPr>
            <w:noProof/>
          </w:rPr>
          <w:t>9</w:t>
        </w:r>
      </w:fldSimple>
      <w:bookmarkEnd w:id="150"/>
      <w:r>
        <w:t xml:space="preserve"> </w:t>
      </w:r>
      <w:r>
        <w:rPr>
          <w:b w:val="0"/>
        </w:rPr>
        <w:t>Für MTT und CellTiter-Glo Viabilitätstests benötigte Substanzen</w:t>
      </w:r>
      <w:r w:rsidR="00F71178">
        <w:rPr>
          <w:b w:val="0"/>
        </w:rPr>
        <w:t>.</w:t>
      </w:r>
    </w:p>
    <w:tbl>
      <w:tblPr>
        <w:tblW w:w="8900" w:type="dxa"/>
        <w:jc w:val="center"/>
        <w:tblCellMar>
          <w:left w:w="70" w:type="dxa"/>
          <w:right w:w="70" w:type="dxa"/>
        </w:tblCellMar>
        <w:tblLook w:val="0000" w:firstRow="0" w:lastRow="0" w:firstColumn="0" w:lastColumn="0" w:noHBand="0" w:noVBand="0"/>
      </w:tblPr>
      <w:tblGrid>
        <w:gridCol w:w="5595"/>
        <w:gridCol w:w="1145"/>
        <w:gridCol w:w="1080"/>
        <w:gridCol w:w="1080"/>
      </w:tblGrid>
      <w:tr w:rsidR="0092675C" w:rsidRPr="0092675C" w14:paraId="62CAE6AD" w14:textId="77777777" w:rsidTr="00CA54AA">
        <w:trPr>
          <w:trHeight w:val="255"/>
          <w:jc w:val="center"/>
        </w:trPr>
        <w:tc>
          <w:tcPr>
            <w:tcW w:w="5595" w:type="dxa"/>
            <w:tcBorders>
              <w:top w:val="single" w:sz="8" w:space="0" w:color="auto"/>
              <w:left w:val="single" w:sz="8" w:space="0" w:color="auto"/>
              <w:bottom w:val="single" w:sz="4" w:space="0" w:color="auto"/>
              <w:right w:val="nil"/>
            </w:tcBorders>
            <w:vAlign w:val="bottom"/>
          </w:tcPr>
          <w:p w14:paraId="4B9403FD" w14:textId="77777777" w:rsidR="0092675C" w:rsidRPr="00346478" w:rsidRDefault="0092675C" w:rsidP="0092675C">
            <w:pPr>
              <w:spacing w:after="0" w:line="240" w:lineRule="auto"/>
              <w:rPr>
                <w:rFonts w:eastAsia="Times New Roman" w:cs="Times New Roman"/>
                <w:b/>
                <w:bCs/>
                <w:sz w:val="20"/>
                <w:szCs w:val="20"/>
                <w:lang w:eastAsia="de-DE"/>
              </w:rPr>
            </w:pPr>
            <w:r w:rsidRPr="00346478">
              <w:rPr>
                <w:rFonts w:eastAsia="Times New Roman" w:cs="Times New Roman"/>
                <w:b/>
                <w:bCs/>
                <w:sz w:val="20"/>
                <w:szCs w:val="20"/>
                <w:lang w:eastAsia="de-DE"/>
              </w:rPr>
              <w:t xml:space="preserve">Medium </w:t>
            </w:r>
          </w:p>
        </w:tc>
        <w:tc>
          <w:tcPr>
            <w:tcW w:w="1145" w:type="dxa"/>
            <w:tcBorders>
              <w:top w:val="single" w:sz="8" w:space="0" w:color="auto"/>
              <w:left w:val="single" w:sz="4" w:space="0" w:color="auto"/>
              <w:bottom w:val="single" w:sz="4" w:space="0" w:color="auto"/>
              <w:right w:val="single" w:sz="4" w:space="0" w:color="auto"/>
            </w:tcBorders>
            <w:vAlign w:val="bottom"/>
          </w:tcPr>
          <w:p w14:paraId="0869EE76" w14:textId="77777777" w:rsidR="0092675C" w:rsidRPr="00346478" w:rsidRDefault="0092675C" w:rsidP="0092675C">
            <w:pPr>
              <w:spacing w:after="0" w:line="240" w:lineRule="auto"/>
              <w:jc w:val="center"/>
              <w:rPr>
                <w:rFonts w:eastAsia="Times New Roman" w:cs="Times New Roman"/>
                <w:b/>
                <w:bCs/>
                <w:sz w:val="20"/>
                <w:szCs w:val="20"/>
                <w:lang w:eastAsia="de-DE"/>
              </w:rPr>
            </w:pPr>
            <w:r w:rsidRPr="00346478">
              <w:rPr>
                <w:rFonts w:eastAsia="Times New Roman" w:cs="Times New Roman"/>
                <w:b/>
                <w:bCs/>
                <w:sz w:val="20"/>
                <w:szCs w:val="20"/>
                <w:lang w:eastAsia="de-DE"/>
              </w:rPr>
              <w:t>Charge</w:t>
            </w:r>
          </w:p>
        </w:tc>
        <w:tc>
          <w:tcPr>
            <w:tcW w:w="1080" w:type="dxa"/>
            <w:tcBorders>
              <w:top w:val="single" w:sz="8" w:space="0" w:color="auto"/>
              <w:left w:val="single" w:sz="8" w:space="0" w:color="auto"/>
              <w:bottom w:val="single" w:sz="4" w:space="0" w:color="auto"/>
              <w:right w:val="single" w:sz="4" w:space="0" w:color="auto"/>
            </w:tcBorders>
            <w:vAlign w:val="bottom"/>
          </w:tcPr>
          <w:p w14:paraId="62EDC768" w14:textId="77777777" w:rsidR="0092675C" w:rsidRPr="00346478" w:rsidRDefault="0092675C" w:rsidP="0092675C">
            <w:pPr>
              <w:spacing w:after="0" w:line="240" w:lineRule="auto"/>
              <w:jc w:val="center"/>
              <w:rPr>
                <w:rFonts w:eastAsia="Times New Roman" w:cs="Times New Roman"/>
                <w:b/>
                <w:bCs/>
                <w:sz w:val="20"/>
                <w:szCs w:val="20"/>
                <w:lang w:eastAsia="de-DE"/>
              </w:rPr>
            </w:pPr>
            <w:r w:rsidRPr="00346478">
              <w:rPr>
                <w:rFonts w:eastAsia="Times New Roman" w:cs="Times New Roman"/>
                <w:b/>
                <w:bCs/>
                <w:sz w:val="20"/>
                <w:szCs w:val="20"/>
                <w:lang w:eastAsia="de-DE"/>
              </w:rPr>
              <w:t xml:space="preserve">Caco-2 </w:t>
            </w:r>
          </w:p>
        </w:tc>
        <w:tc>
          <w:tcPr>
            <w:tcW w:w="1080" w:type="dxa"/>
            <w:tcBorders>
              <w:top w:val="single" w:sz="8" w:space="0" w:color="auto"/>
              <w:left w:val="single" w:sz="8" w:space="0" w:color="auto"/>
              <w:bottom w:val="single" w:sz="4" w:space="0" w:color="auto"/>
              <w:right w:val="single" w:sz="8" w:space="0" w:color="auto"/>
            </w:tcBorders>
            <w:vAlign w:val="bottom"/>
          </w:tcPr>
          <w:p w14:paraId="5707D6DE" w14:textId="77777777" w:rsidR="0092675C" w:rsidRPr="00346478" w:rsidRDefault="0092675C" w:rsidP="0092675C">
            <w:pPr>
              <w:spacing w:after="0" w:line="240" w:lineRule="auto"/>
              <w:jc w:val="center"/>
              <w:rPr>
                <w:rFonts w:eastAsia="Times New Roman" w:cs="Times New Roman"/>
                <w:b/>
                <w:bCs/>
                <w:sz w:val="20"/>
                <w:szCs w:val="20"/>
                <w:lang w:eastAsia="de-DE"/>
              </w:rPr>
            </w:pPr>
            <w:r w:rsidRPr="00346478">
              <w:rPr>
                <w:rFonts w:eastAsia="Times New Roman" w:cs="Times New Roman"/>
                <w:b/>
                <w:bCs/>
                <w:sz w:val="20"/>
                <w:szCs w:val="20"/>
                <w:lang w:eastAsia="de-DE"/>
              </w:rPr>
              <w:t>Caco-2 MTT</w:t>
            </w:r>
          </w:p>
        </w:tc>
      </w:tr>
      <w:tr w:rsidR="0092675C" w:rsidRPr="0092675C" w14:paraId="5D5F6C00" w14:textId="77777777" w:rsidTr="00CA54AA">
        <w:trPr>
          <w:trHeight w:val="284"/>
          <w:jc w:val="center"/>
        </w:trPr>
        <w:tc>
          <w:tcPr>
            <w:tcW w:w="5595" w:type="dxa"/>
            <w:tcBorders>
              <w:top w:val="single" w:sz="4" w:space="0" w:color="auto"/>
              <w:left w:val="single" w:sz="8" w:space="0" w:color="auto"/>
              <w:bottom w:val="single" w:sz="4" w:space="0" w:color="auto"/>
              <w:right w:val="nil"/>
            </w:tcBorders>
            <w:noWrap/>
            <w:vAlign w:val="center"/>
          </w:tcPr>
          <w:p w14:paraId="1D00677F" w14:textId="77777777" w:rsidR="0092675C" w:rsidRPr="00346478" w:rsidRDefault="0092675C" w:rsidP="00CA54AA">
            <w:pPr>
              <w:spacing w:after="0" w:line="240" w:lineRule="auto"/>
              <w:rPr>
                <w:rFonts w:eastAsia="Times New Roman" w:cs="Times New Roman"/>
                <w:sz w:val="18"/>
                <w:szCs w:val="18"/>
                <w:lang w:val="en-GB" w:eastAsia="de-DE"/>
              </w:rPr>
            </w:pPr>
            <w:r w:rsidRPr="00346478">
              <w:rPr>
                <w:rFonts w:eastAsia="Times New Roman" w:cs="Times New Roman"/>
                <w:sz w:val="18"/>
                <w:szCs w:val="18"/>
                <w:lang w:val="en-GB" w:eastAsia="de-DE"/>
              </w:rPr>
              <w:t>MEM with Earle`s salts, L-Glu, phenol ohne Sodium Pyruvate</w:t>
            </w:r>
          </w:p>
        </w:tc>
        <w:tc>
          <w:tcPr>
            <w:tcW w:w="1145" w:type="dxa"/>
            <w:tcBorders>
              <w:top w:val="single" w:sz="4" w:space="0" w:color="auto"/>
              <w:left w:val="single" w:sz="4" w:space="0" w:color="auto"/>
              <w:bottom w:val="single" w:sz="4" w:space="0" w:color="auto"/>
              <w:right w:val="single" w:sz="4" w:space="0" w:color="auto"/>
            </w:tcBorders>
            <w:noWrap/>
            <w:vAlign w:val="center"/>
          </w:tcPr>
          <w:p w14:paraId="338F3526"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1228405</w:t>
            </w:r>
          </w:p>
        </w:tc>
        <w:tc>
          <w:tcPr>
            <w:tcW w:w="1080" w:type="dxa"/>
            <w:tcBorders>
              <w:top w:val="nil"/>
              <w:left w:val="single" w:sz="8" w:space="0" w:color="auto"/>
              <w:bottom w:val="single" w:sz="4" w:space="0" w:color="auto"/>
              <w:right w:val="single" w:sz="4" w:space="0" w:color="auto"/>
            </w:tcBorders>
            <w:noWrap/>
            <w:vAlign w:val="center"/>
          </w:tcPr>
          <w:p w14:paraId="17F6CD9F"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500</w:t>
            </w:r>
            <w:r w:rsidR="00666D10" w:rsidRPr="00346478">
              <w:rPr>
                <w:rFonts w:eastAsia="Times New Roman" w:cs="Times New Roman"/>
                <w:sz w:val="18"/>
                <w:szCs w:val="18"/>
                <w:lang w:eastAsia="de-DE"/>
              </w:rPr>
              <w:t xml:space="preserve"> </w:t>
            </w:r>
            <w:r w:rsidRPr="00346478">
              <w:rPr>
                <w:rFonts w:eastAsia="Times New Roman" w:cs="Times New Roman"/>
                <w:sz w:val="18"/>
                <w:szCs w:val="18"/>
                <w:lang w:eastAsia="de-DE"/>
              </w:rPr>
              <w:t>ml</w:t>
            </w:r>
          </w:p>
        </w:tc>
        <w:tc>
          <w:tcPr>
            <w:tcW w:w="1080" w:type="dxa"/>
            <w:tcBorders>
              <w:top w:val="nil"/>
              <w:left w:val="single" w:sz="8" w:space="0" w:color="auto"/>
              <w:bottom w:val="single" w:sz="4" w:space="0" w:color="auto"/>
              <w:right w:val="single" w:sz="8" w:space="0" w:color="auto"/>
            </w:tcBorders>
            <w:vAlign w:val="center"/>
          </w:tcPr>
          <w:p w14:paraId="723B05EE"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500</w:t>
            </w:r>
            <w:r w:rsidR="00666D10" w:rsidRPr="00346478">
              <w:rPr>
                <w:rFonts w:eastAsia="Times New Roman" w:cs="Times New Roman"/>
                <w:sz w:val="18"/>
                <w:szCs w:val="18"/>
                <w:lang w:eastAsia="de-DE"/>
              </w:rPr>
              <w:t xml:space="preserve"> </w:t>
            </w:r>
            <w:r w:rsidRPr="00346478">
              <w:rPr>
                <w:rFonts w:eastAsia="Times New Roman" w:cs="Times New Roman"/>
                <w:sz w:val="18"/>
                <w:szCs w:val="18"/>
                <w:lang w:eastAsia="de-DE"/>
              </w:rPr>
              <w:t>ml</w:t>
            </w:r>
          </w:p>
        </w:tc>
      </w:tr>
      <w:tr w:rsidR="0092675C" w:rsidRPr="0092675C" w14:paraId="16E358AF" w14:textId="77777777" w:rsidTr="00CA54AA">
        <w:trPr>
          <w:trHeight w:val="284"/>
          <w:jc w:val="center"/>
        </w:trPr>
        <w:tc>
          <w:tcPr>
            <w:tcW w:w="5595" w:type="dxa"/>
            <w:tcBorders>
              <w:top w:val="nil"/>
              <w:left w:val="single" w:sz="8" w:space="0" w:color="auto"/>
              <w:bottom w:val="single" w:sz="8" w:space="0" w:color="auto"/>
              <w:right w:val="nil"/>
            </w:tcBorders>
            <w:noWrap/>
            <w:vAlign w:val="center"/>
          </w:tcPr>
          <w:p w14:paraId="30BF359C" w14:textId="77777777" w:rsidR="0092675C" w:rsidRPr="00346478" w:rsidRDefault="0092675C" w:rsidP="00CA54AA">
            <w:pPr>
              <w:spacing w:after="0" w:line="240" w:lineRule="auto"/>
              <w:rPr>
                <w:rFonts w:eastAsia="Times New Roman" w:cs="Times New Roman"/>
                <w:sz w:val="18"/>
                <w:szCs w:val="18"/>
                <w:lang w:val="en-US" w:eastAsia="de-DE"/>
              </w:rPr>
            </w:pPr>
            <w:r w:rsidRPr="00346478">
              <w:rPr>
                <w:rFonts w:eastAsia="Times New Roman" w:cs="Times New Roman"/>
                <w:sz w:val="18"/>
                <w:szCs w:val="18"/>
                <w:lang w:val="en-GB" w:eastAsia="de-DE"/>
              </w:rPr>
              <w:t>MEM with Earle`s salts, L-Glu, phenol ohne Sodium Pyruvate</w:t>
            </w:r>
          </w:p>
        </w:tc>
        <w:tc>
          <w:tcPr>
            <w:tcW w:w="1145" w:type="dxa"/>
            <w:tcBorders>
              <w:top w:val="nil"/>
              <w:left w:val="single" w:sz="4" w:space="0" w:color="auto"/>
              <w:bottom w:val="single" w:sz="8" w:space="0" w:color="auto"/>
              <w:right w:val="single" w:sz="4" w:space="0" w:color="auto"/>
            </w:tcBorders>
            <w:noWrap/>
            <w:vAlign w:val="center"/>
          </w:tcPr>
          <w:p w14:paraId="327873F2" w14:textId="77777777" w:rsidR="0092675C" w:rsidRPr="00346478" w:rsidRDefault="0092675C" w:rsidP="00CA54AA">
            <w:pPr>
              <w:spacing w:after="0" w:line="240" w:lineRule="auto"/>
              <w:rPr>
                <w:rFonts w:eastAsia="Times New Roman" w:cs="Times New Roman"/>
                <w:sz w:val="18"/>
                <w:szCs w:val="18"/>
                <w:lang w:val="en-US" w:eastAsia="de-DE"/>
              </w:rPr>
            </w:pPr>
          </w:p>
        </w:tc>
        <w:tc>
          <w:tcPr>
            <w:tcW w:w="1080" w:type="dxa"/>
            <w:tcBorders>
              <w:top w:val="nil"/>
              <w:left w:val="single" w:sz="8" w:space="0" w:color="auto"/>
              <w:bottom w:val="single" w:sz="8" w:space="0" w:color="auto"/>
              <w:right w:val="single" w:sz="4" w:space="0" w:color="auto"/>
            </w:tcBorders>
            <w:noWrap/>
            <w:vAlign w:val="center"/>
          </w:tcPr>
          <w:p w14:paraId="5204CF53" w14:textId="77777777" w:rsidR="0092675C" w:rsidRPr="00346478" w:rsidRDefault="0092675C" w:rsidP="00CA54AA">
            <w:pPr>
              <w:spacing w:after="0" w:line="240" w:lineRule="auto"/>
              <w:rPr>
                <w:rFonts w:eastAsia="Times New Roman" w:cs="Times New Roman"/>
                <w:sz w:val="18"/>
                <w:szCs w:val="18"/>
                <w:lang w:val="en-US" w:eastAsia="de-DE"/>
              </w:rPr>
            </w:pPr>
          </w:p>
        </w:tc>
        <w:tc>
          <w:tcPr>
            <w:tcW w:w="1080" w:type="dxa"/>
            <w:tcBorders>
              <w:top w:val="nil"/>
              <w:left w:val="single" w:sz="8" w:space="0" w:color="auto"/>
              <w:bottom w:val="single" w:sz="8" w:space="0" w:color="auto"/>
              <w:right w:val="single" w:sz="8" w:space="0" w:color="auto"/>
            </w:tcBorders>
            <w:vAlign w:val="center"/>
          </w:tcPr>
          <w:p w14:paraId="1D9276C6" w14:textId="77777777" w:rsidR="0092675C" w:rsidRPr="00346478" w:rsidRDefault="0092675C" w:rsidP="00CA54AA">
            <w:pPr>
              <w:spacing w:after="0" w:line="240" w:lineRule="auto"/>
              <w:rPr>
                <w:rFonts w:eastAsia="Times New Roman" w:cs="Times New Roman"/>
                <w:sz w:val="18"/>
                <w:szCs w:val="18"/>
                <w:lang w:val="en-US" w:eastAsia="de-DE"/>
              </w:rPr>
            </w:pPr>
            <w:r w:rsidRPr="00346478">
              <w:rPr>
                <w:rFonts w:eastAsia="Times New Roman" w:cs="Times New Roman"/>
                <w:sz w:val="18"/>
                <w:szCs w:val="18"/>
                <w:lang w:val="en-US" w:eastAsia="de-DE"/>
              </w:rPr>
              <w:t>500</w:t>
            </w:r>
            <w:r w:rsidR="00666D10" w:rsidRPr="00346478">
              <w:rPr>
                <w:rFonts w:eastAsia="Times New Roman" w:cs="Times New Roman"/>
                <w:sz w:val="18"/>
                <w:szCs w:val="18"/>
                <w:lang w:val="en-US" w:eastAsia="de-DE"/>
              </w:rPr>
              <w:t xml:space="preserve"> </w:t>
            </w:r>
            <w:r w:rsidRPr="00346478">
              <w:rPr>
                <w:rFonts w:eastAsia="Times New Roman" w:cs="Times New Roman"/>
                <w:sz w:val="18"/>
                <w:szCs w:val="18"/>
                <w:lang w:val="en-US" w:eastAsia="de-DE"/>
              </w:rPr>
              <w:t>ml</w:t>
            </w:r>
          </w:p>
        </w:tc>
      </w:tr>
      <w:tr w:rsidR="0092675C" w:rsidRPr="0092675C" w14:paraId="04EB504F" w14:textId="77777777" w:rsidTr="00CA54AA">
        <w:trPr>
          <w:trHeight w:val="284"/>
          <w:jc w:val="center"/>
        </w:trPr>
        <w:tc>
          <w:tcPr>
            <w:tcW w:w="5595" w:type="dxa"/>
            <w:tcBorders>
              <w:top w:val="nil"/>
              <w:left w:val="single" w:sz="8" w:space="0" w:color="auto"/>
              <w:bottom w:val="single" w:sz="4" w:space="0" w:color="auto"/>
              <w:right w:val="nil"/>
            </w:tcBorders>
            <w:noWrap/>
            <w:vAlign w:val="center"/>
          </w:tcPr>
          <w:p w14:paraId="2ACDE161" w14:textId="77777777" w:rsidR="0092675C" w:rsidRPr="00346478" w:rsidRDefault="0092675C" w:rsidP="00CA54AA">
            <w:pPr>
              <w:spacing w:after="0" w:line="240" w:lineRule="auto"/>
              <w:rPr>
                <w:rFonts w:eastAsia="Times New Roman" w:cs="Times New Roman"/>
                <w:b/>
                <w:bCs/>
                <w:sz w:val="20"/>
                <w:szCs w:val="20"/>
                <w:lang w:eastAsia="de-DE"/>
              </w:rPr>
            </w:pPr>
            <w:r w:rsidRPr="00346478">
              <w:rPr>
                <w:rFonts w:eastAsia="Times New Roman" w:cs="Times New Roman"/>
                <w:b/>
                <w:bCs/>
                <w:sz w:val="20"/>
                <w:szCs w:val="20"/>
                <w:lang w:eastAsia="de-DE"/>
              </w:rPr>
              <w:t>Supplements</w:t>
            </w:r>
          </w:p>
        </w:tc>
        <w:tc>
          <w:tcPr>
            <w:tcW w:w="1145" w:type="dxa"/>
            <w:tcBorders>
              <w:top w:val="nil"/>
              <w:left w:val="single" w:sz="4" w:space="0" w:color="auto"/>
              <w:bottom w:val="single" w:sz="4" w:space="0" w:color="auto"/>
              <w:right w:val="single" w:sz="4" w:space="0" w:color="auto"/>
            </w:tcBorders>
            <w:noWrap/>
            <w:vAlign w:val="center"/>
          </w:tcPr>
          <w:p w14:paraId="374C1BBB" w14:textId="77777777" w:rsidR="0092675C" w:rsidRPr="0092675C" w:rsidRDefault="0092675C" w:rsidP="00CA54AA">
            <w:pPr>
              <w:spacing w:after="0" w:line="240" w:lineRule="auto"/>
              <w:rPr>
                <w:rFonts w:ascii="Arial" w:eastAsia="Times New Roman" w:hAnsi="Arial" w:cs="Arial"/>
                <w:b/>
                <w:bCs/>
                <w:sz w:val="20"/>
                <w:szCs w:val="20"/>
                <w:lang w:eastAsia="de-DE"/>
              </w:rPr>
            </w:pPr>
          </w:p>
        </w:tc>
        <w:tc>
          <w:tcPr>
            <w:tcW w:w="1080" w:type="dxa"/>
            <w:tcBorders>
              <w:top w:val="nil"/>
              <w:left w:val="single" w:sz="8" w:space="0" w:color="auto"/>
              <w:bottom w:val="single" w:sz="4" w:space="0" w:color="auto"/>
              <w:right w:val="single" w:sz="4" w:space="0" w:color="auto"/>
            </w:tcBorders>
            <w:noWrap/>
            <w:vAlign w:val="center"/>
          </w:tcPr>
          <w:p w14:paraId="7DD0B86F" w14:textId="77777777" w:rsidR="0092675C" w:rsidRPr="0092675C" w:rsidRDefault="0092675C" w:rsidP="00CA54AA">
            <w:pPr>
              <w:spacing w:after="0" w:line="240" w:lineRule="auto"/>
              <w:rPr>
                <w:rFonts w:ascii="Arial" w:eastAsia="Times New Roman" w:hAnsi="Arial" w:cs="Arial"/>
                <w:sz w:val="20"/>
                <w:szCs w:val="20"/>
                <w:lang w:eastAsia="de-DE"/>
              </w:rPr>
            </w:pPr>
            <w:r w:rsidRPr="0092675C">
              <w:rPr>
                <w:rFonts w:ascii="Arial" w:eastAsia="Times New Roman" w:hAnsi="Arial" w:cs="Arial"/>
                <w:sz w:val="20"/>
                <w:szCs w:val="20"/>
                <w:lang w:eastAsia="de-DE"/>
              </w:rPr>
              <w:t> </w:t>
            </w:r>
          </w:p>
        </w:tc>
        <w:tc>
          <w:tcPr>
            <w:tcW w:w="1080" w:type="dxa"/>
            <w:tcBorders>
              <w:top w:val="nil"/>
              <w:left w:val="single" w:sz="8" w:space="0" w:color="auto"/>
              <w:bottom w:val="single" w:sz="4" w:space="0" w:color="auto"/>
              <w:right w:val="single" w:sz="8" w:space="0" w:color="auto"/>
            </w:tcBorders>
            <w:vAlign w:val="center"/>
          </w:tcPr>
          <w:p w14:paraId="4B4082EB" w14:textId="77777777" w:rsidR="0092675C" w:rsidRPr="0092675C" w:rsidRDefault="0092675C" w:rsidP="00CA54AA">
            <w:pPr>
              <w:spacing w:after="0" w:line="240" w:lineRule="auto"/>
              <w:rPr>
                <w:rFonts w:ascii="Arial" w:eastAsia="Times New Roman" w:hAnsi="Arial" w:cs="Arial"/>
                <w:sz w:val="20"/>
                <w:szCs w:val="20"/>
                <w:lang w:eastAsia="de-DE"/>
              </w:rPr>
            </w:pPr>
            <w:r w:rsidRPr="0092675C">
              <w:rPr>
                <w:rFonts w:ascii="Arial" w:eastAsia="Times New Roman" w:hAnsi="Arial" w:cs="Arial"/>
                <w:sz w:val="20"/>
                <w:szCs w:val="20"/>
                <w:lang w:eastAsia="de-DE"/>
              </w:rPr>
              <w:t> </w:t>
            </w:r>
          </w:p>
        </w:tc>
      </w:tr>
      <w:tr w:rsidR="0092675C" w:rsidRPr="0092675C" w14:paraId="464A03A2" w14:textId="77777777" w:rsidTr="00CA54AA">
        <w:trPr>
          <w:trHeight w:val="284"/>
          <w:jc w:val="center"/>
        </w:trPr>
        <w:tc>
          <w:tcPr>
            <w:tcW w:w="5595" w:type="dxa"/>
            <w:tcBorders>
              <w:top w:val="nil"/>
              <w:left w:val="single" w:sz="8" w:space="0" w:color="auto"/>
              <w:bottom w:val="single" w:sz="4" w:space="0" w:color="auto"/>
              <w:right w:val="nil"/>
            </w:tcBorders>
            <w:noWrap/>
            <w:vAlign w:val="center"/>
          </w:tcPr>
          <w:p w14:paraId="52749F7E" w14:textId="77777777" w:rsidR="0092675C" w:rsidRPr="00346478" w:rsidRDefault="0092675C" w:rsidP="00CA54AA">
            <w:pPr>
              <w:spacing w:after="0" w:line="240" w:lineRule="auto"/>
              <w:rPr>
                <w:rFonts w:eastAsia="Times New Roman" w:cs="Times New Roman"/>
                <w:sz w:val="18"/>
                <w:szCs w:val="18"/>
                <w:lang w:val="nl-BE" w:eastAsia="de-DE"/>
              </w:rPr>
            </w:pPr>
            <w:r w:rsidRPr="00346478">
              <w:rPr>
                <w:rFonts w:eastAsia="Times New Roman" w:cs="Times New Roman"/>
                <w:sz w:val="18"/>
                <w:szCs w:val="18"/>
                <w:lang w:val="nl-BE" w:eastAsia="de-DE"/>
              </w:rPr>
              <w:t>Pen/Strep 5,000u pen, 5,000</w:t>
            </w:r>
            <w:r w:rsidR="00666D10" w:rsidRPr="00346478">
              <w:rPr>
                <w:rFonts w:eastAsia="Times New Roman" w:cs="Times New Roman"/>
                <w:sz w:val="18"/>
                <w:szCs w:val="18"/>
                <w:lang w:val="nl-BE" w:eastAsia="de-DE"/>
              </w:rPr>
              <w:t xml:space="preserve"> </w:t>
            </w:r>
            <w:r w:rsidRPr="00346478">
              <w:rPr>
                <w:rFonts w:eastAsia="Times New Roman" w:cs="Times New Roman"/>
                <w:sz w:val="18"/>
                <w:szCs w:val="18"/>
                <w:lang w:val="nl-BE" w:eastAsia="de-DE"/>
              </w:rPr>
              <w:t>µg strep/ml (100x) 100</w:t>
            </w:r>
            <w:r w:rsidR="00666D10" w:rsidRPr="00346478">
              <w:rPr>
                <w:rFonts w:eastAsia="Times New Roman" w:cs="Times New Roman"/>
                <w:sz w:val="18"/>
                <w:szCs w:val="18"/>
                <w:lang w:val="nl-BE" w:eastAsia="de-DE"/>
              </w:rPr>
              <w:t xml:space="preserve"> </w:t>
            </w:r>
            <w:r w:rsidRPr="00346478">
              <w:rPr>
                <w:rFonts w:eastAsia="Times New Roman" w:cs="Times New Roman"/>
                <w:sz w:val="18"/>
                <w:szCs w:val="18"/>
                <w:lang w:val="nl-BE" w:eastAsia="de-DE"/>
              </w:rPr>
              <w:t>ml</w:t>
            </w:r>
          </w:p>
        </w:tc>
        <w:tc>
          <w:tcPr>
            <w:tcW w:w="1145" w:type="dxa"/>
            <w:tcBorders>
              <w:top w:val="nil"/>
              <w:left w:val="single" w:sz="4" w:space="0" w:color="auto"/>
              <w:bottom w:val="single" w:sz="4" w:space="0" w:color="auto"/>
              <w:right w:val="single" w:sz="4" w:space="0" w:color="auto"/>
            </w:tcBorders>
            <w:noWrap/>
            <w:vAlign w:val="center"/>
          </w:tcPr>
          <w:p w14:paraId="5F1798D6"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1092595</w:t>
            </w:r>
          </w:p>
        </w:tc>
        <w:tc>
          <w:tcPr>
            <w:tcW w:w="1080" w:type="dxa"/>
            <w:tcBorders>
              <w:top w:val="nil"/>
              <w:left w:val="single" w:sz="8" w:space="0" w:color="auto"/>
              <w:bottom w:val="single" w:sz="4" w:space="0" w:color="auto"/>
              <w:right w:val="single" w:sz="4" w:space="0" w:color="auto"/>
            </w:tcBorders>
            <w:noWrap/>
            <w:vAlign w:val="center"/>
          </w:tcPr>
          <w:p w14:paraId="274F3172"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5</w:t>
            </w:r>
            <w:r w:rsidR="00666D10" w:rsidRPr="00346478">
              <w:rPr>
                <w:rFonts w:eastAsia="Times New Roman" w:cs="Times New Roman"/>
                <w:sz w:val="18"/>
                <w:szCs w:val="18"/>
                <w:lang w:eastAsia="de-DE"/>
              </w:rPr>
              <w:t xml:space="preserve"> </w:t>
            </w:r>
            <w:r w:rsidRPr="00346478">
              <w:rPr>
                <w:rFonts w:eastAsia="Times New Roman" w:cs="Times New Roman"/>
                <w:sz w:val="18"/>
                <w:szCs w:val="18"/>
                <w:lang w:eastAsia="de-DE"/>
              </w:rPr>
              <w:t>ml</w:t>
            </w:r>
          </w:p>
        </w:tc>
        <w:tc>
          <w:tcPr>
            <w:tcW w:w="1080" w:type="dxa"/>
            <w:tcBorders>
              <w:top w:val="nil"/>
              <w:left w:val="single" w:sz="8" w:space="0" w:color="auto"/>
              <w:bottom w:val="single" w:sz="4" w:space="0" w:color="auto"/>
              <w:right w:val="single" w:sz="8" w:space="0" w:color="auto"/>
            </w:tcBorders>
            <w:vAlign w:val="center"/>
          </w:tcPr>
          <w:p w14:paraId="2428A4E1"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5</w:t>
            </w:r>
            <w:r w:rsidR="00666D10" w:rsidRPr="00346478">
              <w:rPr>
                <w:rFonts w:eastAsia="Times New Roman" w:cs="Times New Roman"/>
                <w:sz w:val="18"/>
                <w:szCs w:val="18"/>
                <w:lang w:eastAsia="de-DE"/>
              </w:rPr>
              <w:t xml:space="preserve"> </w:t>
            </w:r>
            <w:r w:rsidRPr="00346478">
              <w:rPr>
                <w:rFonts w:eastAsia="Times New Roman" w:cs="Times New Roman"/>
                <w:sz w:val="18"/>
                <w:szCs w:val="18"/>
                <w:lang w:eastAsia="de-DE"/>
              </w:rPr>
              <w:t>ml</w:t>
            </w:r>
          </w:p>
        </w:tc>
      </w:tr>
      <w:tr w:rsidR="0092675C" w:rsidRPr="0092675C" w14:paraId="653D0A67" w14:textId="77777777" w:rsidTr="00CA54AA">
        <w:trPr>
          <w:trHeight w:val="284"/>
          <w:jc w:val="center"/>
        </w:trPr>
        <w:tc>
          <w:tcPr>
            <w:tcW w:w="5595" w:type="dxa"/>
            <w:tcBorders>
              <w:top w:val="nil"/>
              <w:left w:val="single" w:sz="8" w:space="0" w:color="auto"/>
              <w:bottom w:val="single" w:sz="4" w:space="0" w:color="auto"/>
              <w:right w:val="nil"/>
            </w:tcBorders>
            <w:noWrap/>
            <w:vAlign w:val="center"/>
          </w:tcPr>
          <w:p w14:paraId="207A4B06"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Sodium Pyruvate MEM 100</w:t>
            </w:r>
            <w:r w:rsidR="00666D10" w:rsidRPr="00346478">
              <w:rPr>
                <w:rFonts w:eastAsia="Times New Roman" w:cs="Times New Roman"/>
                <w:sz w:val="18"/>
                <w:szCs w:val="18"/>
                <w:lang w:eastAsia="de-DE"/>
              </w:rPr>
              <w:t xml:space="preserve"> </w:t>
            </w:r>
            <w:r w:rsidRPr="00346478">
              <w:rPr>
                <w:rFonts w:eastAsia="Times New Roman" w:cs="Times New Roman"/>
                <w:sz w:val="18"/>
                <w:szCs w:val="18"/>
                <w:lang w:eastAsia="de-DE"/>
              </w:rPr>
              <w:t>mM (100x) 100</w:t>
            </w:r>
            <w:r w:rsidR="00666D10" w:rsidRPr="00346478">
              <w:rPr>
                <w:rFonts w:eastAsia="Times New Roman" w:cs="Times New Roman"/>
                <w:sz w:val="18"/>
                <w:szCs w:val="18"/>
                <w:lang w:eastAsia="de-DE"/>
              </w:rPr>
              <w:t xml:space="preserve"> </w:t>
            </w:r>
            <w:r w:rsidRPr="00346478">
              <w:rPr>
                <w:rFonts w:eastAsia="Times New Roman" w:cs="Times New Roman"/>
                <w:sz w:val="18"/>
                <w:szCs w:val="18"/>
                <w:lang w:eastAsia="de-DE"/>
              </w:rPr>
              <w:t>ml</w:t>
            </w:r>
          </w:p>
        </w:tc>
        <w:tc>
          <w:tcPr>
            <w:tcW w:w="1145" w:type="dxa"/>
            <w:tcBorders>
              <w:top w:val="nil"/>
              <w:left w:val="single" w:sz="4" w:space="0" w:color="auto"/>
              <w:bottom w:val="single" w:sz="4" w:space="0" w:color="auto"/>
              <w:right w:val="single" w:sz="4" w:space="0" w:color="auto"/>
            </w:tcBorders>
            <w:noWrap/>
            <w:vAlign w:val="center"/>
          </w:tcPr>
          <w:p w14:paraId="0E9CF19C"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898584</w:t>
            </w:r>
          </w:p>
        </w:tc>
        <w:tc>
          <w:tcPr>
            <w:tcW w:w="1080" w:type="dxa"/>
            <w:tcBorders>
              <w:top w:val="nil"/>
              <w:left w:val="single" w:sz="8" w:space="0" w:color="auto"/>
              <w:bottom w:val="single" w:sz="4" w:space="0" w:color="auto"/>
              <w:right w:val="single" w:sz="4" w:space="0" w:color="auto"/>
            </w:tcBorders>
            <w:noWrap/>
            <w:vAlign w:val="center"/>
          </w:tcPr>
          <w:p w14:paraId="35EDABA3"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5</w:t>
            </w:r>
            <w:r w:rsidR="00666D10" w:rsidRPr="00346478">
              <w:rPr>
                <w:rFonts w:eastAsia="Times New Roman" w:cs="Times New Roman"/>
                <w:sz w:val="18"/>
                <w:szCs w:val="18"/>
                <w:lang w:eastAsia="de-DE"/>
              </w:rPr>
              <w:t xml:space="preserve"> </w:t>
            </w:r>
            <w:r w:rsidRPr="00346478">
              <w:rPr>
                <w:rFonts w:eastAsia="Times New Roman" w:cs="Times New Roman"/>
                <w:sz w:val="18"/>
                <w:szCs w:val="18"/>
                <w:lang w:eastAsia="de-DE"/>
              </w:rPr>
              <w:t>ml</w:t>
            </w:r>
          </w:p>
        </w:tc>
        <w:tc>
          <w:tcPr>
            <w:tcW w:w="1080" w:type="dxa"/>
            <w:tcBorders>
              <w:top w:val="nil"/>
              <w:left w:val="single" w:sz="8" w:space="0" w:color="auto"/>
              <w:bottom w:val="single" w:sz="4" w:space="0" w:color="auto"/>
              <w:right w:val="single" w:sz="8" w:space="0" w:color="auto"/>
            </w:tcBorders>
            <w:vAlign w:val="center"/>
          </w:tcPr>
          <w:p w14:paraId="79DE6E5E"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5</w:t>
            </w:r>
            <w:r w:rsidR="00666D10" w:rsidRPr="00346478">
              <w:rPr>
                <w:rFonts w:eastAsia="Times New Roman" w:cs="Times New Roman"/>
                <w:sz w:val="18"/>
                <w:szCs w:val="18"/>
                <w:lang w:eastAsia="de-DE"/>
              </w:rPr>
              <w:t xml:space="preserve"> </w:t>
            </w:r>
            <w:r w:rsidRPr="00346478">
              <w:rPr>
                <w:rFonts w:eastAsia="Times New Roman" w:cs="Times New Roman"/>
                <w:sz w:val="18"/>
                <w:szCs w:val="18"/>
                <w:lang w:eastAsia="de-DE"/>
              </w:rPr>
              <w:t>ml</w:t>
            </w:r>
          </w:p>
        </w:tc>
      </w:tr>
      <w:tr w:rsidR="0092675C" w:rsidRPr="0092675C" w14:paraId="575C8820" w14:textId="77777777" w:rsidTr="00CA54AA">
        <w:trPr>
          <w:trHeight w:val="284"/>
          <w:jc w:val="center"/>
        </w:trPr>
        <w:tc>
          <w:tcPr>
            <w:tcW w:w="5595" w:type="dxa"/>
            <w:tcBorders>
              <w:top w:val="nil"/>
              <w:left w:val="single" w:sz="8" w:space="0" w:color="auto"/>
              <w:bottom w:val="single" w:sz="4" w:space="0" w:color="auto"/>
              <w:right w:val="nil"/>
            </w:tcBorders>
            <w:noWrap/>
            <w:vAlign w:val="center"/>
          </w:tcPr>
          <w:p w14:paraId="71C4EDCD"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FBS (500ml)</w:t>
            </w:r>
          </w:p>
        </w:tc>
        <w:tc>
          <w:tcPr>
            <w:tcW w:w="1145" w:type="dxa"/>
            <w:tcBorders>
              <w:top w:val="nil"/>
              <w:left w:val="single" w:sz="4" w:space="0" w:color="auto"/>
              <w:bottom w:val="single" w:sz="4" w:space="0" w:color="auto"/>
              <w:right w:val="single" w:sz="4" w:space="0" w:color="auto"/>
            </w:tcBorders>
            <w:noWrap/>
            <w:vAlign w:val="center"/>
          </w:tcPr>
          <w:p w14:paraId="2AE3D041"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41A1312K</w:t>
            </w:r>
          </w:p>
        </w:tc>
        <w:tc>
          <w:tcPr>
            <w:tcW w:w="1080" w:type="dxa"/>
            <w:tcBorders>
              <w:top w:val="nil"/>
              <w:left w:val="single" w:sz="8" w:space="0" w:color="auto"/>
              <w:bottom w:val="single" w:sz="4" w:space="0" w:color="auto"/>
              <w:right w:val="single" w:sz="4" w:space="0" w:color="auto"/>
            </w:tcBorders>
            <w:noWrap/>
            <w:vAlign w:val="center"/>
          </w:tcPr>
          <w:p w14:paraId="00B90DFB"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100</w:t>
            </w:r>
            <w:r w:rsidR="00666D10" w:rsidRPr="00346478">
              <w:rPr>
                <w:rFonts w:eastAsia="Times New Roman" w:cs="Times New Roman"/>
                <w:sz w:val="18"/>
                <w:szCs w:val="18"/>
                <w:lang w:eastAsia="de-DE"/>
              </w:rPr>
              <w:t xml:space="preserve"> </w:t>
            </w:r>
            <w:r w:rsidRPr="00346478">
              <w:rPr>
                <w:rFonts w:eastAsia="Times New Roman" w:cs="Times New Roman"/>
                <w:sz w:val="18"/>
                <w:szCs w:val="18"/>
                <w:lang w:eastAsia="de-DE"/>
              </w:rPr>
              <w:t>ml</w:t>
            </w:r>
          </w:p>
        </w:tc>
        <w:tc>
          <w:tcPr>
            <w:tcW w:w="1080" w:type="dxa"/>
            <w:tcBorders>
              <w:top w:val="nil"/>
              <w:left w:val="single" w:sz="8" w:space="0" w:color="auto"/>
              <w:bottom w:val="single" w:sz="4" w:space="0" w:color="auto"/>
              <w:right w:val="single" w:sz="8" w:space="0" w:color="auto"/>
            </w:tcBorders>
            <w:vAlign w:val="center"/>
          </w:tcPr>
          <w:p w14:paraId="565A0AC8"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w:t>
            </w:r>
          </w:p>
        </w:tc>
      </w:tr>
      <w:tr w:rsidR="0092675C" w:rsidRPr="0092675C" w14:paraId="1F9F2365" w14:textId="77777777" w:rsidTr="00CA54AA">
        <w:trPr>
          <w:trHeight w:val="284"/>
          <w:jc w:val="center"/>
        </w:trPr>
        <w:tc>
          <w:tcPr>
            <w:tcW w:w="5595" w:type="dxa"/>
            <w:tcBorders>
              <w:top w:val="nil"/>
              <w:left w:val="single" w:sz="8" w:space="0" w:color="auto"/>
              <w:bottom w:val="single" w:sz="8" w:space="0" w:color="auto"/>
              <w:right w:val="nil"/>
            </w:tcBorders>
            <w:noWrap/>
            <w:vAlign w:val="center"/>
          </w:tcPr>
          <w:p w14:paraId="13DF2764" w14:textId="77777777" w:rsidR="0092675C" w:rsidRPr="00346478" w:rsidRDefault="0092675C" w:rsidP="00CA54AA">
            <w:pPr>
              <w:spacing w:after="0" w:line="240" w:lineRule="auto"/>
              <w:rPr>
                <w:rFonts w:eastAsia="Times New Roman" w:cs="Times New Roman"/>
                <w:sz w:val="18"/>
                <w:szCs w:val="18"/>
                <w:lang w:val="it-IT" w:eastAsia="de-DE"/>
              </w:rPr>
            </w:pPr>
            <w:r w:rsidRPr="00346478">
              <w:rPr>
                <w:rFonts w:eastAsia="Times New Roman" w:cs="Times New Roman"/>
                <w:sz w:val="18"/>
                <w:szCs w:val="18"/>
                <w:lang w:val="it-IT" w:eastAsia="de-DE"/>
              </w:rPr>
              <w:t>NEAA / non-essential amino acids (100x) 100</w:t>
            </w:r>
            <w:r w:rsidR="00666D10" w:rsidRPr="00346478">
              <w:rPr>
                <w:rFonts w:eastAsia="Times New Roman" w:cs="Times New Roman"/>
                <w:sz w:val="18"/>
                <w:szCs w:val="18"/>
                <w:lang w:val="it-IT" w:eastAsia="de-DE"/>
              </w:rPr>
              <w:t xml:space="preserve"> </w:t>
            </w:r>
            <w:r w:rsidRPr="00346478">
              <w:rPr>
                <w:rFonts w:eastAsia="Times New Roman" w:cs="Times New Roman"/>
                <w:sz w:val="18"/>
                <w:szCs w:val="18"/>
                <w:lang w:val="it-IT" w:eastAsia="de-DE"/>
              </w:rPr>
              <w:t>ml</w:t>
            </w:r>
          </w:p>
        </w:tc>
        <w:tc>
          <w:tcPr>
            <w:tcW w:w="1145" w:type="dxa"/>
            <w:tcBorders>
              <w:top w:val="nil"/>
              <w:left w:val="single" w:sz="4" w:space="0" w:color="auto"/>
              <w:bottom w:val="single" w:sz="8" w:space="0" w:color="auto"/>
              <w:right w:val="single" w:sz="4" w:space="0" w:color="auto"/>
            </w:tcBorders>
            <w:noWrap/>
            <w:vAlign w:val="center"/>
          </w:tcPr>
          <w:p w14:paraId="72F6F327"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89856</w:t>
            </w:r>
          </w:p>
        </w:tc>
        <w:tc>
          <w:tcPr>
            <w:tcW w:w="1080" w:type="dxa"/>
            <w:tcBorders>
              <w:top w:val="nil"/>
              <w:left w:val="single" w:sz="8" w:space="0" w:color="auto"/>
              <w:bottom w:val="single" w:sz="8" w:space="0" w:color="auto"/>
              <w:right w:val="single" w:sz="4" w:space="0" w:color="auto"/>
            </w:tcBorders>
            <w:noWrap/>
            <w:vAlign w:val="center"/>
          </w:tcPr>
          <w:p w14:paraId="06DB187B"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5</w:t>
            </w:r>
            <w:r w:rsidR="00666D10" w:rsidRPr="00346478">
              <w:rPr>
                <w:rFonts w:eastAsia="Times New Roman" w:cs="Times New Roman"/>
                <w:sz w:val="18"/>
                <w:szCs w:val="18"/>
                <w:lang w:eastAsia="de-DE"/>
              </w:rPr>
              <w:t xml:space="preserve"> </w:t>
            </w:r>
            <w:r w:rsidRPr="00346478">
              <w:rPr>
                <w:rFonts w:eastAsia="Times New Roman" w:cs="Times New Roman"/>
                <w:sz w:val="18"/>
                <w:szCs w:val="18"/>
                <w:lang w:eastAsia="de-DE"/>
              </w:rPr>
              <w:t>ml</w:t>
            </w:r>
          </w:p>
        </w:tc>
        <w:tc>
          <w:tcPr>
            <w:tcW w:w="1080" w:type="dxa"/>
            <w:tcBorders>
              <w:top w:val="nil"/>
              <w:left w:val="single" w:sz="8" w:space="0" w:color="auto"/>
              <w:bottom w:val="single" w:sz="8" w:space="0" w:color="auto"/>
              <w:right w:val="single" w:sz="8" w:space="0" w:color="auto"/>
            </w:tcBorders>
            <w:vAlign w:val="center"/>
          </w:tcPr>
          <w:p w14:paraId="1E46DD29"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5</w:t>
            </w:r>
            <w:r w:rsidR="00666D10" w:rsidRPr="00346478">
              <w:rPr>
                <w:rFonts w:eastAsia="Times New Roman" w:cs="Times New Roman"/>
                <w:sz w:val="18"/>
                <w:szCs w:val="18"/>
                <w:lang w:eastAsia="de-DE"/>
              </w:rPr>
              <w:t xml:space="preserve"> </w:t>
            </w:r>
            <w:r w:rsidRPr="00346478">
              <w:rPr>
                <w:rFonts w:eastAsia="Times New Roman" w:cs="Times New Roman"/>
                <w:sz w:val="18"/>
                <w:szCs w:val="18"/>
                <w:lang w:eastAsia="de-DE"/>
              </w:rPr>
              <w:t>ml</w:t>
            </w:r>
          </w:p>
        </w:tc>
      </w:tr>
      <w:tr w:rsidR="0092675C" w:rsidRPr="0092675C" w14:paraId="708AAC6D" w14:textId="77777777" w:rsidTr="00CA54AA">
        <w:trPr>
          <w:trHeight w:val="284"/>
          <w:jc w:val="center"/>
        </w:trPr>
        <w:tc>
          <w:tcPr>
            <w:tcW w:w="5595" w:type="dxa"/>
            <w:tcBorders>
              <w:top w:val="nil"/>
              <w:left w:val="single" w:sz="8" w:space="0" w:color="auto"/>
              <w:bottom w:val="single" w:sz="8" w:space="0" w:color="auto"/>
              <w:right w:val="nil"/>
            </w:tcBorders>
            <w:noWrap/>
            <w:vAlign w:val="center"/>
          </w:tcPr>
          <w:p w14:paraId="371DA7B1" w14:textId="77777777" w:rsidR="0092675C" w:rsidRPr="00346478" w:rsidRDefault="0092675C" w:rsidP="00CA54AA">
            <w:pPr>
              <w:spacing w:after="0" w:line="240" w:lineRule="auto"/>
              <w:rPr>
                <w:rFonts w:eastAsia="Times New Roman" w:cs="Times New Roman"/>
                <w:b/>
                <w:bCs/>
                <w:sz w:val="18"/>
                <w:szCs w:val="18"/>
                <w:lang w:val="it-IT" w:eastAsia="de-DE"/>
              </w:rPr>
            </w:pPr>
          </w:p>
        </w:tc>
        <w:tc>
          <w:tcPr>
            <w:tcW w:w="1145" w:type="dxa"/>
            <w:tcBorders>
              <w:top w:val="nil"/>
              <w:left w:val="single" w:sz="4" w:space="0" w:color="auto"/>
              <w:bottom w:val="single" w:sz="8" w:space="0" w:color="auto"/>
              <w:right w:val="single" w:sz="4" w:space="0" w:color="auto"/>
            </w:tcBorders>
            <w:noWrap/>
            <w:vAlign w:val="center"/>
          </w:tcPr>
          <w:p w14:paraId="07B70E84" w14:textId="77777777" w:rsidR="0092675C" w:rsidRPr="00346478" w:rsidRDefault="0092675C" w:rsidP="00CA54AA">
            <w:pPr>
              <w:spacing w:after="0" w:line="240" w:lineRule="auto"/>
              <w:rPr>
                <w:rFonts w:eastAsia="Times New Roman" w:cs="Times New Roman"/>
                <w:sz w:val="18"/>
                <w:szCs w:val="18"/>
                <w:lang w:eastAsia="de-DE"/>
              </w:rPr>
            </w:pPr>
          </w:p>
        </w:tc>
        <w:tc>
          <w:tcPr>
            <w:tcW w:w="1080" w:type="dxa"/>
            <w:tcBorders>
              <w:top w:val="nil"/>
              <w:left w:val="single" w:sz="8" w:space="0" w:color="auto"/>
              <w:bottom w:val="single" w:sz="8" w:space="0" w:color="auto"/>
              <w:right w:val="single" w:sz="4" w:space="0" w:color="auto"/>
            </w:tcBorders>
            <w:noWrap/>
            <w:vAlign w:val="center"/>
          </w:tcPr>
          <w:p w14:paraId="14B48FEF"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 </w:t>
            </w:r>
          </w:p>
        </w:tc>
        <w:tc>
          <w:tcPr>
            <w:tcW w:w="1080" w:type="dxa"/>
            <w:tcBorders>
              <w:top w:val="nil"/>
              <w:left w:val="single" w:sz="8" w:space="0" w:color="auto"/>
              <w:bottom w:val="single" w:sz="8" w:space="0" w:color="auto"/>
              <w:right w:val="single" w:sz="8" w:space="0" w:color="auto"/>
            </w:tcBorders>
            <w:vAlign w:val="center"/>
          </w:tcPr>
          <w:p w14:paraId="6E027D38" w14:textId="77777777" w:rsidR="0092675C" w:rsidRPr="00346478" w:rsidRDefault="0092675C"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 </w:t>
            </w:r>
          </w:p>
        </w:tc>
      </w:tr>
      <w:tr w:rsidR="009C4222" w:rsidRPr="0092675C" w14:paraId="4754B28A" w14:textId="77777777" w:rsidTr="00CA54AA">
        <w:trPr>
          <w:trHeight w:val="284"/>
          <w:jc w:val="center"/>
        </w:trPr>
        <w:tc>
          <w:tcPr>
            <w:tcW w:w="5595" w:type="dxa"/>
            <w:tcBorders>
              <w:top w:val="nil"/>
              <w:left w:val="single" w:sz="8" w:space="0" w:color="auto"/>
              <w:bottom w:val="single" w:sz="8" w:space="0" w:color="auto"/>
              <w:right w:val="nil"/>
            </w:tcBorders>
            <w:noWrap/>
            <w:vAlign w:val="center"/>
          </w:tcPr>
          <w:p w14:paraId="1305BEC5" w14:textId="77777777" w:rsidR="009C4222" w:rsidRPr="00346478" w:rsidRDefault="009C4222" w:rsidP="00CA54AA">
            <w:pPr>
              <w:spacing w:after="0" w:line="240" w:lineRule="auto"/>
              <w:rPr>
                <w:rFonts w:eastAsia="Times New Roman" w:cs="Times New Roman"/>
                <w:bCs/>
                <w:sz w:val="18"/>
                <w:szCs w:val="18"/>
                <w:lang w:eastAsia="de-DE"/>
              </w:rPr>
            </w:pPr>
            <w:r w:rsidRPr="00346478">
              <w:rPr>
                <w:rFonts w:eastAsia="Times New Roman" w:cs="Times New Roman"/>
                <w:bCs/>
                <w:sz w:val="18"/>
                <w:szCs w:val="18"/>
                <w:lang w:eastAsia="de-DE"/>
              </w:rPr>
              <w:t>1 × 10ml CellTiter-Glo® Puffer</w:t>
            </w:r>
          </w:p>
        </w:tc>
        <w:tc>
          <w:tcPr>
            <w:tcW w:w="1145" w:type="dxa"/>
            <w:tcBorders>
              <w:top w:val="nil"/>
              <w:left w:val="single" w:sz="4" w:space="0" w:color="auto"/>
              <w:bottom w:val="single" w:sz="8" w:space="0" w:color="auto"/>
              <w:right w:val="single" w:sz="4" w:space="0" w:color="auto"/>
            </w:tcBorders>
            <w:noWrap/>
            <w:vAlign w:val="center"/>
          </w:tcPr>
          <w:p w14:paraId="5E745811" w14:textId="77777777" w:rsidR="009C4222" w:rsidRPr="00346478" w:rsidRDefault="009C4222" w:rsidP="00CA54AA">
            <w:pPr>
              <w:spacing w:after="0" w:line="240" w:lineRule="auto"/>
              <w:rPr>
                <w:rFonts w:eastAsia="Times New Roman" w:cs="Times New Roman"/>
                <w:sz w:val="18"/>
                <w:szCs w:val="18"/>
                <w:lang w:eastAsia="de-DE"/>
              </w:rPr>
            </w:pPr>
          </w:p>
        </w:tc>
        <w:tc>
          <w:tcPr>
            <w:tcW w:w="1080" w:type="dxa"/>
            <w:tcBorders>
              <w:top w:val="nil"/>
              <w:left w:val="single" w:sz="8" w:space="0" w:color="auto"/>
              <w:bottom w:val="single" w:sz="8" w:space="0" w:color="auto"/>
              <w:right w:val="single" w:sz="4" w:space="0" w:color="auto"/>
            </w:tcBorders>
            <w:noWrap/>
            <w:vAlign w:val="center"/>
          </w:tcPr>
          <w:p w14:paraId="30636F79" w14:textId="77777777" w:rsidR="009C4222" w:rsidRPr="00346478" w:rsidRDefault="009C4222" w:rsidP="00CA54AA">
            <w:pPr>
              <w:spacing w:after="0" w:line="240" w:lineRule="auto"/>
              <w:rPr>
                <w:rFonts w:eastAsia="Times New Roman" w:cs="Times New Roman"/>
                <w:sz w:val="18"/>
                <w:szCs w:val="18"/>
                <w:lang w:eastAsia="de-DE"/>
              </w:rPr>
            </w:pPr>
          </w:p>
        </w:tc>
        <w:tc>
          <w:tcPr>
            <w:tcW w:w="1080" w:type="dxa"/>
            <w:tcBorders>
              <w:top w:val="nil"/>
              <w:left w:val="single" w:sz="8" w:space="0" w:color="auto"/>
              <w:bottom w:val="single" w:sz="8" w:space="0" w:color="auto"/>
              <w:right w:val="single" w:sz="8" w:space="0" w:color="auto"/>
            </w:tcBorders>
            <w:vAlign w:val="center"/>
          </w:tcPr>
          <w:p w14:paraId="71B852FD" w14:textId="77777777" w:rsidR="009C4222" w:rsidRPr="00346478" w:rsidRDefault="009C4222" w:rsidP="00CA54AA">
            <w:pPr>
              <w:spacing w:after="0" w:line="240" w:lineRule="auto"/>
              <w:rPr>
                <w:rFonts w:eastAsia="Times New Roman" w:cs="Times New Roman"/>
                <w:sz w:val="18"/>
                <w:szCs w:val="18"/>
                <w:lang w:eastAsia="de-DE"/>
              </w:rPr>
            </w:pPr>
          </w:p>
        </w:tc>
      </w:tr>
      <w:tr w:rsidR="009C4222" w:rsidRPr="0092675C" w14:paraId="00A0318F" w14:textId="77777777" w:rsidTr="00CA54AA">
        <w:trPr>
          <w:trHeight w:val="284"/>
          <w:jc w:val="center"/>
        </w:trPr>
        <w:tc>
          <w:tcPr>
            <w:tcW w:w="5595" w:type="dxa"/>
            <w:tcBorders>
              <w:top w:val="nil"/>
              <w:left w:val="single" w:sz="8" w:space="0" w:color="auto"/>
              <w:bottom w:val="single" w:sz="8" w:space="0" w:color="auto"/>
              <w:right w:val="nil"/>
            </w:tcBorders>
            <w:noWrap/>
            <w:vAlign w:val="center"/>
          </w:tcPr>
          <w:p w14:paraId="17523113" w14:textId="77777777" w:rsidR="009C4222" w:rsidRPr="00346478" w:rsidRDefault="009C4222" w:rsidP="00CA54AA">
            <w:pPr>
              <w:spacing w:after="0" w:line="240" w:lineRule="auto"/>
              <w:rPr>
                <w:rFonts w:eastAsia="Times New Roman" w:cs="Times New Roman"/>
                <w:bCs/>
                <w:sz w:val="18"/>
                <w:szCs w:val="18"/>
                <w:lang w:eastAsia="de-DE"/>
              </w:rPr>
            </w:pPr>
            <w:r w:rsidRPr="00346478">
              <w:rPr>
                <w:rFonts w:cs="Times New Roman"/>
                <w:sz w:val="18"/>
                <w:szCs w:val="18"/>
                <w:lang w:val="fr-FR"/>
              </w:rPr>
              <w:t>1 vial CellTiter-Glo® Substrat (lyophilisiert)</w:t>
            </w:r>
          </w:p>
        </w:tc>
        <w:tc>
          <w:tcPr>
            <w:tcW w:w="1145" w:type="dxa"/>
            <w:tcBorders>
              <w:top w:val="nil"/>
              <w:left w:val="single" w:sz="4" w:space="0" w:color="auto"/>
              <w:bottom w:val="single" w:sz="8" w:space="0" w:color="auto"/>
              <w:right w:val="single" w:sz="4" w:space="0" w:color="auto"/>
            </w:tcBorders>
            <w:noWrap/>
            <w:vAlign w:val="center"/>
          </w:tcPr>
          <w:p w14:paraId="473170AE" w14:textId="77777777" w:rsidR="009C4222" w:rsidRPr="00346478" w:rsidRDefault="009C4222" w:rsidP="00CA54AA">
            <w:pPr>
              <w:spacing w:after="0" w:line="240" w:lineRule="auto"/>
              <w:rPr>
                <w:rFonts w:eastAsia="Times New Roman" w:cs="Times New Roman"/>
                <w:sz w:val="18"/>
                <w:szCs w:val="18"/>
                <w:lang w:eastAsia="de-DE"/>
              </w:rPr>
            </w:pPr>
          </w:p>
        </w:tc>
        <w:tc>
          <w:tcPr>
            <w:tcW w:w="1080" w:type="dxa"/>
            <w:tcBorders>
              <w:top w:val="nil"/>
              <w:left w:val="single" w:sz="8" w:space="0" w:color="auto"/>
              <w:bottom w:val="single" w:sz="8" w:space="0" w:color="auto"/>
              <w:right w:val="single" w:sz="4" w:space="0" w:color="auto"/>
            </w:tcBorders>
            <w:noWrap/>
            <w:vAlign w:val="center"/>
          </w:tcPr>
          <w:p w14:paraId="4EBCA7B0" w14:textId="77777777" w:rsidR="009C4222" w:rsidRPr="00346478" w:rsidRDefault="009C4222" w:rsidP="00CA54AA">
            <w:pPr>
              <w:spacing w:after="0" w:line="240" w:lineRule="auto"/>
              <w:rPr>
                <w:rFonts w:eastAsia="Times New Roman" w:cs="Times New Roman"/>
                <w:sz w:val="18"/>
                <w:szCs w:val="18"/>
                <w:lang w:eastAsia="de-DE"/>
              </w:rPr>
            </w:pPr>
          </w:p>
        </w:tc>
        <w:tc>
          <w:tcPr>
            <w:tcW w:w="1080" w:type="dxa"/>
            <w:tcBorders>
              <w:top w:val="nil"/>
              <w:left w:val="single" w:sz="8" w:space="0" w:color="auto"/>
              <w:bottom w:val="single" w:sz="8" w:space="0" w:color="auto"/>
              <w:right w:val="single" w:sz="8" w:space="0" w:color="auto"/>
            </w:tcBorders>
            <w:vAlign w:val="center"/>
          </w:tcPr>
          <w:p w14:paraId="3679FB08" w14:textId="77777777" w:rsidR="009C4222" w:rsidRPr="00346478" w:rsidRDefault="009C4222" w:rsidP="00CA54AA">
            <w:pPr>
              <w:spacing w:after="0" w:line="240" w:lineRule="auto"/>
              <w:rPr>
                <w:rFonts w:eastAsia="Times New Roman" w:cs="Times New Roman"/>
                <w:sz w:val="18"/>
                <w:szCs w:val="18"/>
                <w:lang w:eastAsia="de-DE"/>
              </w:rPr>
            </w:pPr>
          </w:p>
        </w:tc>
      </w:tr>
      <w:tr w:rsidR="009C4222" w:rsidRPr="00711AB8" w14:paraId="61490BFC" w14:textId="77777777" w:rsidTr="00CA54AA">
        <w:trPr>
          <w:trHeight w:val="284"/>
          <w:jc w:val="center"/>
        </w:trPr>
        <w:tc>
          <w:tcPr>
            <w:tcW w:w="5595" w:type="dxa"/>
            <w:tcBorders>
              <w:top w:val="nil"/>
              <w:left w:val="single" w:sz="8" w:space="0" w:color="auto"/>
              <w:bottom w:val="single" w:sz="8" w:space="0" w:color="auto"/>
              <w:right w:val="nil"/>
            </w:tcBorders>
            <w:noWrap/>
            <w:vAlign w:val="center"/>
          </w:tcPr>
          <w:p w14:paraId="1C99F1A6" w14:textId="77777777" w:rsidR="009C4222" w:rsidRPr="00346478" w:rsidRDefault="009C4222" w:rsidP="00CA54AA">
            <w:pPr>
              <w:spacing w:after="0" w:line="240" w:lineRule="auto"/>
              <w:rPr>
                <w:rFonts w:cs="Times New Roman"/>
                <w:sz w:val="18"/>
                <w:szCs w:val="18"/>
                <w:lang w:val="fr-FR"/>
              </w:rPr>
            </w:pPr>
            <w:r w:rsidRPr="00346478">
              <w:rPr>
                <w:rFonts w:cs="Times New Roman"/>
                <w:sz w:val="18"/>
                <w:szCs w:val="18"/>
                <w:lang w:val="fr-FR"/>
              </w:rPr>
              <w:t>Testkit Aqueous One Solution MTS, MTS-Lösung</w:t>
            </w:r>
          </w:p>
        </w:tc>
        <w:tc>
          <w:tcPr>
            <w:tcW w:w="1145" w:type="dxa"/>
            <w:tcBorders>
              <w:top w:val="nil"/>
              <w:left w:val="single" w:sz="4" w:space="0" w:color="auto"/>
              <w:bottom w:val="single" w:sz="8" w:space="0" w:color="auto"/>
              <w:right w:val="single" w:sz="4" w:space="0" w:color="auto"/>
            </w:tcBorders>
            <w:noWrap/>
            <w:vAlign w:val="center"/>
          </w:tcPr>
          <w:p w14:paraId="58D837B5" w14:textId="77777777" w:rsidR="009C4222" w:rsidRPr="00346478" w:rsidRDefault="009C4222" w:rsidP="00CA54AA">
            <w:pPr>
              <w:spacing w:after="0" w:line="240" w:lineRule="auto"/>
              <w:rPr>
                <w:rFonts w:eastAsia="Times New Roman" w:cs="Times New Roman"/>
                <w:sz w:val="18"/>
                <w:szCs w:val="18"/>
                <w:lang w:val="en-US" w:eastAsia="de-DE"/>
              </w:rPr>
            </w:pPr>
          </w:p>
        </w:tc>
        <w:tc>
          <w:tcPr>
            <w:tcW w:w="1080" w:type="dxa"/>
            <w:tcBorders>
              <w:top w:val="nil"/>
              <w:left w:val="single" w:sz="8" w:space="0" w:color="auto"/>
              <w:bottom w:val="single" w:sz="8" w:space="0" w:color="auto"/>
              <w:right w:val="single" w:sz="4" w:space="0" w:color="auto"/>
            </w:tcBorders>
            <w:noWrap/>
            <w:vAlign w:val="center"/>
          </w:tcPr>
          <w:p w14:paraId="79DE0E41" w14:textId="77777777" w:rsidR="009C4222" w:rsidRPr="00346478" w:rsidRDefault="009C4222" w:rsidP="00CA54AA">
            <w:pPr>
              <w:spacing w:after="0" w:line="240" w:lineRule="auto"/>
              <w:rPr>
                <w:rFonts w:eastAsia="Times New Roman" w:cs="Times New Roman"/>
                <w:sz w:val="18"/>
                <w:szCs w:val="18"/>
                <w:lang w:val="en-US" w:eastAsia="de-DE"/>
              </w:rPr>
            </w:pPr>
          </w:p>
        </w:tc>
        <w:tc>
          <w:tcPr>
            <w:tcW w:w="1080" w:type="dxa"/>
            <w:tcBorders>
              <w:top w:val="nil"/>
              <w:left w:val="single" w:sz="8" w:space="0" w:color="auto"/>
              <w:bottom w:val="single" w:sz="8" w:space="0" w:color="auto"/>
              <w:right w:val="single" w:sz="8" w:space="0" w:color="auto"/>
            </w:tcBorders>
            <w:vAlign w:val="center"/>
          </w:tcPr>
          <w:p w14:paraId="56D5C08F" w14:textId="77777777" w:rsidR="009C4222" w:rsidRPr="00346478" w:rsidRDefault="009C4222" w:rsidP="00CA54AA">
            <w:pPr>
              <w:spacing w:after="0" w:line="240" w:lineRule="auto"/>
              <w:rPr>
                <w:rFonts w:eastAsia="Times New Roman" w:cs="Times New Roman"/>
                <w:sz w:val="18"/>
                <w:szCs w:val="18"/>
                <w:lang w:val="en-US" w:eastAsia="de-DE"/>
              </w:rPr>
            </w:pPr>
          </w:p>
        </w:tc>
      </w:tr>
      <w:tr w:rsidR="0092675C" w:rsidRPr="0092675C" w14:paraId="7B5B25C5" w14:textId="77777777" w:rsidTr="00CA54AA">
        <w:trPr>
          <w:trHeight w:val="284"/>
          <w:jc w:val="center"/>
        </w:trPr>
        <w:tc>
          <w:tcPr>
            <w:tcW w:w="5595" w:type="dxa"/>
            <w:tcBorders>
              <w:top w:val="nil"/>
              <w:left w:val="single" w:sz="8" w:space="0" w:color="auto"/>
              <w:bottom w:val="single" w:sz="8" w:space="0" w:color="auto"/>
              <w:right w:val="nil"/>
            </w:tcBorders>
            <w:noWrap/>
            <w:vAlign w:val="center"/>
          </w:tcPr>
          <w:p w14:paraId="4A5D9AD0" w14:textId="77777777" w:rsidR="0092675C" w:rsidRPr="00346478" w:rsidRDefault="0092675C" w:rsidP="00CA54AA">
            <w:pPr>
              <w:spacing w:after="0" w:line="240" w:lineRule="auto"/>
              <w:rPr>
                <w:rFonts w:eastAsia="Times New Roman" w:cs="Times New Roman"/>
                <w:bCs/>
                <w:sz w:val="20"/>
                <w:szCs w:val="20"/>
                <w:lang w:eastAsia="de-DE"/>
              </w:rPr>
            </w:pPr>
            <w:r w:rsidRPr="00346478">
              <w:rPr>
                <w:rFonts w:eastAsia="Times New Roman" w:cs="Times New Roman"/>
                <w:b/>
                <w:bCs/>
                <w:sz w:val="20"/>
                <w:szCs w:val="20"/>
                <w:lang w:eastAsia="de-DE"/>
              </w:rPr>
              <w:t>Positiv</w:t>
            </w:r>
            <w:r w:rsidR="00666D10" w:rsidRPr="00346478">
              <w:rPr>
                <w:rFonts w:eastAsia="Times New Roman" w:cs="Times New Roman"/>
                <w:b/>
                <w:bCs/>
                <w:sz w:val="20"/>
                <w:szCs w:val="20"/>
                <w:lang w:eastAsia="de-DE"/>
              </w:rPr>
              <w:t>kontrolle</w:t>
            </w:r>
            <w:r w:rsidR="00666D10" w:rsidRPr="00346478">
              <w:rPr>
                <w:rFonts w:eastAsia="Times New Roman" w:cs="Times New Roman"/>
                <w:bCs/>
                <w:sz w:val="20"/>
                <w:szCs w:val="20"/>
                <w:lang w:eastAsia="de-DE"/>
              </w:rPr>
              <w:t xml:space="preserve"> </w:t>
            </w:r>
          </w:p>
        </w:tc>
        <w:tc>
          <w:tcPr>
            <w:tcW w:w="1145" w:type="dxa"/>
            <w:tcBorders>
              <w:top w:val="nil"/>
              <w:left w:val="single" w:sz="4" w:space="0" w:color="auto"/>
              <w:bottom w:val="single" w:sz="8" w:space="0" w:color="auto"/>
              <w:right w:val="single" w:sz="4" w:space="0" w:color="auto"/>
            </w:tcBorders>
            <w:noWrap/>
            <w:vAlign w:val="center"/>
          </w:tcPr>
          <w:p w14:paraId="0408F65B" w14:textId="77777777" w:rsidR="0092675C" w:rsidRPr="0092675C" w:rsidRDefault="0092675C" w:rsidP="00CA54AA">
            <w:pPr>
              <w:spacing w:after="0" w:line="240" w:lineRule="auto"/>
              <w:rPr>
                <w:rFonts w:ascii="Arial" w:eastAsia="Times New Roman" w:hAnsi="Arial" w:cs="Arial"/>
                <w:sz w:val="20"/>
                <w:szCs w:val="20"/>
                <w:lang w:eastAsia="de-DE"/>
              </w:rPr>
            </w:pPr>
          </w:p>
        </w:tc>
        <w:tc>
          <w:tcPr>
            <w:tcW w:w="1080" w:type="dxa"/>
            <w:tcBorders>
              <w:top w:val="nil"/>
              <w:left w:val="single" w:sz="8" w:space="0" w:color="auto"/>
              <w:bottom w:val="single" w:sz="8" w:space="0" w:color="auto"/>
              <w:right w:val="single" w:sz="4" w:space="0" w:color="auto"/>
            </w:tcBorders>
            <w:noWrap/>
            <w:vAlign w:val="center"/>
          </w:tcPr>
          <w:p w14:paraId="66DFBDE6" w14:textId="77777777" w:rsidR="0092675C" w:rsidRPr="0092675C" w:rsidRDefault="0092675C" w:rsidP="00CA54AA">
            <w:pPr>
              <w:spacing w:after="0" w:line="240" w:lineRule="auto"/>
              <w:rPr>
                <w:rFonts w:ascii="Arial" w:eastAsia="Times New Roman" w:hAnsi="Arial" w:cs="Arial"/>
                <w:sz w:val="20"/>
                <w:szCs w:val="20"/>
                <w:lang w:eastAsia="de-DE"/>
              </w:rPr>
            </w:pPr>
          </w:p>
        </w:tc>
        <w:tc>
          <w:tcPr>
            <w:tcW w:w="1080" w:type="dxa"/>
            <w:tcBorders>
              <w:top w:val="nil"/>
              <w:left w:val="single" w:sz="8" w:space="0" w:color="auto"/>
              <w:bottom w:val="single" w:sz="8" w:space="0" w:color="auto"/>
              <w:right w:val="single" w:sz="8" w:space="0" w:color="auto"/>
            </w:tcBorders>
            <w:vAlign w:val="center"/>
          </w:tcPr>
          <w:p w14:paraId="30850D47" w14:textId="77777777" w:rsidR="0092675C" w:rsidRPr="0092675C" w:rsidRDefault="0092675C" w:rsidP="00CA54AA">
            <w:pPr>
              <w:spacing w:after="0" w:line="240" w:lineRule="auto"/>
              <w:rPr>
                <w:rFonts w:ascii="Arial" w:eastAsia="Times New Roman" w:hAnsi="Arial" w:cs="Arial"/>
                <w:sz w:val="20"/>
                <w:szCs w:val="20"/>
                <w:lang w:eastAsia="de-DE"/>
              </w:rPr>
            </w:pPr>
          </w:p>
        </w:tc>
      </w:tr>
      <w:tr w:rsidR="0092675C" w:rsidRPr="0092675C" w14:paraId="20BA6D21" w14:textId="77777777" w:rsidTr="00CA54AA">
        <w:trPr>
          <w:trHeight w:val="284"/>
          <w:jc w:val="center"/>
        </w:trPr>
        <w:tc>
          <w:tcPr>
            <w:tcW w:w="5595" w:type="dxa"/>
            <w:tcBorders>
              <w:top w:val="nil"/>
              <w:left w:val="single" w:sz="8" w:space="0" w:color="auto"/>
              <w:bottom w:val="single" w:sz="8" w:space="0" w:color="auto"/>
              <w:right w:val="nil"/>
            </w:tcBorders>
            <w:noWrap/>
            <w:vAlign w:val="center"/>
          </w:tcPr>
          <w:p w14:paraId="72C4F39E" w14:textId="77777777" w:rsidR="0092675C" w:rsidRPr="00346478" w:rsidRDefault="00666D10" w:rsidP="00CA54AA">
            <w:pPr>
              <w:spacing w:after="0" w:line="240" w:lineRule="auto"/>
              <w:rPr>
                <w:rFonts w:eastAsia="Times New Roman" w:cs="Times New Roman"/>
                <w:b/>
                <w:bCs/>
                <w:sz w:val="18"/>
                <w:szCs w:val="18"/>
                <w:lang w:eastAsia="de-DE"/>
              </w:rPr>
            </w:pPr>
            <w:r w:rsidRPr="00346478">
              <w:rPr>
                <w:rFonts w:eastAsia="Times New Roman" w:cs="Times New Roman"/>
                <w:bCs/>
                <w:sz w:val="18"/>
                <w:szCs w:val="18"/>
                <w:lang w:eastAsia="de-DE"/>
              </w:rPr>
              <w:t>Digitonin Stammlösung: 30 mg/ml</w:t>
            </w:r>
          </w:p>
        </w:tc>
        <w:tc>
          <w:tcPr>
            <w:tcW w:w="1145" w:type="dxa"/>
            <w:tcBorders>
              <w:top w:val="nil"/>
              <w:left w:val="single" w:sz="4" w:space="0" w:color="auto"/>
              <w:bottom w:val="single" w:sz="8" w:space="0" w:color="auto"/>
              <w:right w:val="single" w:sz="4" w:space="0" w:color="auto"/>
            </w:tcBorders>
            <w:noWrap/>
            <w:vAlign w:val="center"/>
          </w:tcPr>
          <w:p w14:paraId="08C2FAC0" w14:textId="77777777" w:rsidR="0092675C" w:rsidRPr="00346478" w:rsidRDefault="00666D10" w:rsidP="00CA54AA">
            <w:pPr>
              <w:spacing w:after="0" w:line="240" w:lineRule="auto"/>
              <w:rPr>
                <w:rFonts w:eastAsia="Times New Roman" w:cs="Times New Roman"/>
                <w:sz w:val="18"/>
                <w:szCs w:val="18"/>
                <w:lang w:eastAsia="de-DE"/>
              </w:rPr>
            </w:pPr>
            <w:r w:rsidRPr="00346478">
              <w:rPr>
                <w:rFonts w:eastAsia="Times New Roman" w:cs="Times New Roman"/>
                <w:sz w:val="18"/>
                <w:szCs w:val="18"/>
                <w:lang w:eastAsia="de-DE"/>
              </w:rPr>
              <w:t>150 µg/ml</w:t>
            </w:r>
          </w:p>
        </w:tc>
        <w:tc>
          <w:tcPr>
            <w:tcW w:w="1080" w:type="dxa"/>
            <w:tcBorders>
              <w:top w:val="nil"/>
              <w:left w:val="single" w:sz="8" w:space="0" w:color="auto"/>
              <w:bottom w:val="single" w:sz="8" w:space="0" w:color="auto"/>
              <w:right w:val="single" w:sz="4" w:space="0" w:color="auto"/>
            </w:tcBorders>
            <w:noWrap/>
            <w:vAlign w:val="center"/>
          </w:tcPr>
          <w:p w14:paraId="3B1A3F17" w14:textId="77777777" w:rsidR="0092675C" w:rsidRPr="00346478" w:rsidRDefault="0092675C" w:rsidP="00CA54AA">
            <w:pPr>
              <w:spacing w:after="0" w:line="240" w:lineRule="auto"/>
              <w:rPr>
                <w:rFonts w:eastAsia="Times New Roman" w:cs="Times New Roman"/>
                <w:sz w:val="18"/>
                <w:szCs w:val="18"/>
                <w:lang w:eastAsia="de-DE"/>
              </w:rPr>
            </w:pPr>
          </w:p>
        </w:tc>
        <w:tc>
          <w:tcPr>
            <w:tcW w:w="1080" w:type="dxa"/>
            <w:tcBorders>
              <w:top w:val="nil"/>
              <w:left w:val="single" w:sz="8" w:space="0" w:color="auto"/>
              <w:bottom w:val="single" w:sz="8" w:space="0" w:color="auto"/>
              <w:right w:val="single" w:sz="8" w:space="0" w:color="auto"/>
            </w:tcBorders>
            <w:vAlign w:val="center"/>
          </w:tcPr>
          <w:p w14:paraId="78F316B1" w14:textId="77777777" w:rsidR="0092675C" w:rsidRPr="00346478" w:rsidRDefault="0092675C" w:rsidP="00CA54AA">
            <w:pPr>
              <w:spacing w:after="0" w:line="240" w:lineRule="auto"/>
              <w:rPr>
                <w:rFonts w:eastAsia="Times New Roman" w:cs="Times New Roman"/>
                <w:sz w:val="18"/>
                <w:szCs w:val="18"/>
                <w:lang w:eastAsia="de-DE"/>
              </w:rPr>
            </w:pPr>
          </w:p>
        </w:tc>
      </w:tr>
    </w:tbl>
    <w:p w14:paraId="2AF942F6" w14:textId="77777777" w:rsidR="00E47482" w:rsidRDefault="00E47482" w:rsidP="00E47482"/>
    <w:p w14:paraId="378AA525" w14:textId="77777777" w:rsidR="009C4222" w:rsidRPr="009C4222" w:rsidRDefault="009C4222" w:rsidP="009C4222">
      <w:r>
        <w:t xml:space="preserve">Die Caco-2 Zellen wurden am Tag </w:t>
      </w:r>
      <w:r w:rsidRPr="009C4222">
        <w:t xml:space="preserve">vor </w:t>
      </w:r>
      <w:r>
        <w:t xml:space="preserve">Durchführung der Tests </w:t>
      </w:r>
      <w:r w:rsidRPr="009C4222">
        <w:t xml:space="preserve">in </w:t>
      </w:r>
      <w:r>
        <w:t>eine</w:t>
      </w:r>
      <w:r w:rsidRPr="009C4222">
        <w:t xml:space="preserve"> weiße und eine klare 96-well Platte mit 100</w:t>
      </w:r>
      <w:r>
        <w:t xml:space="preserve"> </w:t>
      </w:r>
      <w:r w:rsidRPr="009C4222">
        <w:t xml:space="preserve">µl Medium pro Well </w:t>
      </w:r>
      <w:r>
        <w:t>ausgebracht</w:t>
      </w:r>
      <w:r w:rsidR="008B28AF">
        <w:t>.</w:t>
      </w:r>
    </w:p>
    <w:p w14:paraId="5CEE44BF" w14:textId="77777777" w:rsidR="009C4222" w:rsidRPr="009C4222" w:rsidRDefault="009C4222" w:rsidP="009C4222">
      <w:r w:rsidRPr="009C4222">
        <w:t xml:space="preserve">Als Negativkontrolle </w:t>
      </w:r>
      <w:r>
        <w:t>wu</w:t>
      </w:r>
      <w:r w:rsidRPr="009C4222">
        <w:t>rden Zellen nur mit Medium verwendet</w:t>
      </w:r>
      <w:r>
        <w:t>. Die Proben wurden in Tri</w:t>
      </w:r>
      <w:r w:rsidRPr="009C4222">
        <w:t xml:space="preserve">pletts </w:t>
      </w:r>
      <w:r>
        <w:t>gemessen. Für jede Verdünnung wu</w:t>
      </w:r>
      <w:r w:rsidRPr="009C4222">
        <w:t>rd</w:t>
      </w:r>
      <w:r>
        <w:t>e jeweils ein W</w:t>
      </w:r>
      <w:r w:rsidRPr="009C4222">
        <w:t>ell ohne Zellen als Hintergrund mitgemessen und bei der Auswertung von den Werten abgezogen.</w:t>
      </w:r>
    </w:p>
    <w:p w14:paraId="3BD03817" w14:textId="77777777" w:rsidR="009C4222" w:rsidRPr="009C4222" w:rsidRDefault="009C4222" w:rsidP="009C4222">
      <w:r w:rsidRPr="009C4222">
        <w:t>Nach 2</w:t>
      </w:r>
      <w:r>
        <w:t xml:space="preserve">4 Stunden wurde </w:t>
      </w:r>
      <w:r w:rsidRPr="009C4222">
        <w:t>das Medium ab</w:t>
      </w:r>
      <w:r w:rsidR="007653F6">
        <w:t>gesaugt,</w:t>
      </w:r>
      <w:r>
        <w:t xml:space="preserve"> durch die</w:t>
      </w:r>
      <w:r w:rsidRPr="009C4222">
        <w:t xml:space="preserve"> Testsubstanzen </w:t>
      </w:r>
      <w:r>
        <w:t>ersetzt</w:t>
      </w:r>
      <w:r w:rsidR="007653F6">
        <w:t xml:space="preserve"> und</w:t>
      </w:r>
      <w:r>
        <w:t xml:space="preserve"> </w:t>
      </w:r>
      <w:r w:rsidRPr="009C4222">
        <w:t>für</w:t>
      </w:r>
      <w:r w:rsidR="007653F6">
        <w:t xml:space="preserve"> weitere</w:t>
      </w:r>
      <w:r w:rsidRPr="009C4222">
        <w:t xml:space="preserve"> 24 </w:t>
      </w:r>
      <w:r w:rsidR="007653F6">
        <w:t>Stunden inkubiert</w:t>
      </w:r>
      <w:r w:rsidRPr="009C4222">
        <w:t>.</w:t>
      </w:r>
      <w:r w:rsidR="00A745E1">
        <w:t xml:space="preserve"> </w:t>
      </w:r>
      <w:r>
        <w:t>Die Proben wurden</w:t>
      </w:r>
      <w:r w:rsidRPr="009C4222">
        <w:t xml:space="preserve"> in M</w:t>
      </w:r>
      <w:r>
        <w:t>edium gelöst, sodass sich eine Polymerk</w:t>
      </w:r>
      <w:r w:rsidRPr="009C4222">
        <w:t>onzentration von 2</w:t>
      </w:r>
      <w:r>
        <w:t xml:space="preserve"> </w:t>
      </w:r>
      <w:r w:rsidRPr="009C4222">
        <w:t>mg/ml ergab.</w:t>
      </w:r>
      <w:r>
        <w:t xml:space="preserve"> Neben den Partikelformulierungen wurde reines Polymer und reines Desmopressinacetat getestet.</w:t>
      </w:r>
    </w:p>
    <w:p w14:paraId="3E04A8FE" w14:textId="77777777" w:rsidR="009C4222" w:rsidRPr="009C4222" w:rsidRDefault="007653F6" w:rsidP="009C4222">
      <w:r>
        <w:t xml:space="preserve">Es wurde eine </w:t>
      </w:r>
      <w:r w:rsidR="009C4222" w:rsidRPr="009C4222">
        <w:t xml:space="preserve">Verdünnungsreihe der </w:t>
      </w:r>
      <w:r>
        <w:t>Partikelp</w:t>
      </w:r>
      <w:r w:rsidR="00CA54AA">
        <w:t>roben hergestellt (1:2, 1:10, 1:50)</w:t>
      </w:r>
      <w:r w:rsidR="009C4222" w:rsidRPr="009C4222">
        <w:t>.</w:t>
      </w:r>
    </w:p>
    <w:p w14:paraId="53D3DB8F" w14:textId="77777777" w:rsidR="009C4222" w:rsidRPr="009C4222" w:rsidRDefault="009C4222" w:rsidP="009C4222">
      <w:r w:rsidRPr="009C4222">
        <w:t>Digitonin wu</w:t>
      </w:r>
      <w:r>
        <w:t>rde zum Gebrauch 1:200 verdünnt</w:t>
      </w:r>
      <w:r w:rsidRPr="009C4222">
        <w:t xml:space="preserve"> und erst ca</w:t>
      </w:r>
      <w:r>
        <w:t>. 1 Stunde</w:t>
      </w:r>
      <w:r w:rsidRPr="009C4222">
        <w:t xml:space="preserve"> vor</w:t>
      </w:r>
      <w:r>
        <w:t xml:space="preserve"> Zugabe der Reagenzien hinzugefügt</w:t>
      </w:r>
      <w:r w:rsidRPr="009C4222">
        <w:t>.</w:t>
      </w:r>
    </w:p>
    <w:p w14:paraId="019ADB23" w14:textId="77777777" w:rsidR="009C4222" w:rsidRPr="000E4156" w:rsidRDefault="009C4222" w:rsidP="007D2B29">
      <w:pPr>
        <w:pStyle w:val="berschrift5"/>
        <w:rPr>
          <w:color w:val="000000" w:themeColor="text1"/>
        </w:rPr>
      </w:pPr>
      <w:bookmarkStart w:id="151" w:name="_Toc294380212"/>
      <w:r w:rsidRPr="000E4156">
        <w:rPr>
          <w:color w:val="000000" w:themeColor="text1"/>
        </w:rPr>
        <w:t>MTT-Assay</w:t>
      </w:r>
      <w:bookmarkEnd w:id="151"/>
    </w:p>
    <w:p w14:paraId="2CD58D8E" w14:textId="77777777" w:rsidR="009C4222" w:rsidRPr="009C4222" w:rsidRDefault="009C4222" w:rsidP="00E43F2B">
      <w:pPr>
        <w:numPr>
          <w:ilvl w:val="0"/>
          <w:numId w:val="31"/>
        </w:numPr>
        <w:spacing w:after="0"/>
        <w:ind w:left="714" w:hanging="357"/>
      </w:pPr>
      <w:r w:rsidRPr="009C4222">
        <w:t>Das Medium bzw. die Testlösung aus den Wells absaugen</w:t>
      </w:r>
      <w:r>
        <w:t>.</w:t>
      </w:r>
    </w:p>
    <w:p w14:paraId="17A45123" w14:textId="77777777" w:rsidR="009C4222" w:rsidRPr="009C4222" w:rsidRDefault="009C4222" w:rsidP="00E43F2B">
      <w:pPr>
        <w:numPr>
          <w:ilvl w:val="0"/>
          <w:numId w:val="31"/>
        </w:numPr>
        <w:spacing w:after="0"/>
        <w:ind w:left="714" w:hanging="357"/>
      </w:pPr>
      <w:r w:rsidRPr="009C4222">
        <w:t>Anschließend durch 100</w:t>
      </w:r>
      <w:r>
        <w:t xml:space="preserve"> </w:t>
      </w:r>
      <w:r w:rsidRPr="009C4222">
        <w:t>µl einer Mischung aus 5 Volumenanteilen Medium MTT zu 1 Volumenanteil MTS-Reagenz das Medium ersetzen (MTS-Reagenz Cell Titer 96 Aequeous One Solution Cell Proliferation Assay; Master Mix ansetzen aus 100</w:t>
      </w:r>
      <w:r w:rsidR="00690288">
        <w:t xml:space="preserve"> </w:t>
      </w:r>
      <w:r w:rsidRPr="009C4222">
        <w:t>µl Medium und 20</w:t>
      </w:r>
      <w:r w:rsidR="00690288">
        <w:t xml:space="preserve"> µl MTS-Reagenz pro Well).</w:t>
      </w:r>
    </w:p>
    <w:p w14:paraId="15C974CF" w14:textId="77777777" w:rsidR="009C4222" w:rsidRPr="009C4222" w:rsidRDefault="009C4222" w:rsidP="00E43F2B">
      <w:pPr>
        <w:numPr>
          <w:ilvl w:val="0"/>
          <w:numId w:val="31"/>
        </w:numPr>
        <w:spacing w:after="0"/>
        <w:ind w:left="714" w:hanging="357"/>
      </w:pPr>
      <w:r w:rsidRPr="009C4222">
        <w:t>Inkubation für max. 120</w:t>
      </w:r>
      <w:r w:rsidR="00690288">
        <w:t xml:space="preserve"> </w:t>
      </w:r>
      <w:r w:rsidRPr="009C4222">
        <w:t>min bei 37</w:t>
      </w:r>
      <w:r w:rsidR="00A426B8">
        <w:t xml:space="preserve"> </w:t>
      </w:r>
      <w:r w:rsidRPr="009C4222">
        <w:t>°C und 5% CO</w:t>
      </w:r>
      <w:r w:rsidRPr="009C4222">
        <w:rPr>
          <w:vertAlign w:val="subscript"/>
        </w:rPr>
        <w:t>2</w:t>
      </w:r>
      <w:r w:rsidRPr="009C4222">
        <w:t>.</w:t>
      </w:r>
    </w:p>
    <w:p w14:paraId="6C92F729" w14:textId="77777777" w:rsidR="009C4222" w:rsidRPr="009C4222" w:rsidRDefault="009C4222" w:rsidP="009C4222">
      <w:pPr>
        <w:numPr>
          <w:ilvl w:val="0"/>
          <w:numId w:val="31"/>
        </w:numPr>
        <w:spacing w:after="0"/>
        <w:ind w:left="714" w:hanging="357"/>
      </w:pPr>
      <w:r w:rsidRPr="009C4222">
        <w:t>Die resultierende Farbreaktion anschließend am Multiplattenreader durch Messung der Absorption bei 492</w:t>
      </w:r>
      <w:r w:rsidR="00690288">
        <w:t xml:space="preserve"> </w:t>
      </w:r>
      <w:r w:rsidRPr="009C4222">
        <w:t>nm auslesen.</w:t>
      </w:r>
    </w:p>
    <w:p w14:paraId="5D20CCCD" w14:textId="77777777" w:rsidR="009C4222" w:rsidRPr="000E4156" w:rsidRDefault="009C4222" w:rsidP="007D2B29">
      <w:pPr>
        <w:pStyle w:val="berschrift5"/>
        <w:rPr>
          <w:color w:val="000000" w:themeColor="text1"/>
        </w:rPr>
      </w:pPr>
      <w:bookmarkStart w:id="152" w:name="_Toc294380213"/>
      <w:r w:rsidRPr="000E4156">
        <w:rPr>
          <w:color w:val="000000" w:themeColor="text1"/>
        </w:rPr>
        <w:lastRenderedPageBreak/>
        <w:t>CellTiter-Glo</w:t>
      </w:r>
      <w:r w:rsidR="00690288" w:rsidRPr="000E4156">
        <w:rPr>
          <w:color w:val="000000" w:themeColor="text1"/>
        </w:rPr>
        <w:t>-Assay</w:t>
      </w:r>
      <w:bookmarkEnd w:id="152"/>
    </w:p>
    <w:p w14:paraId="4E5DC218" w14:textId="77777777" w:rsidR="009C4222" w:rsidRPr="009C4222" w:rsidRDefault="009C4222" w:rsidP="00E43F2B">
      <w:pPr>
        <w:numPr>
          <w:ilvl w:val="0"/>
          <w:numId w:val="30"/>
        </w:numPr>
        <w:spacing w:after="0"/>
        <w:ind w:left="714" w:hanging="357"/>
      </w:pPr>
      <w:r w:rsidRPr="009C4222">
        <w:t>CellTiter-Glo Substrat und CellTiter-Glo Puffer auftauen und bei Raumtemperatur equilibrieren.</w:t>
      </w:r>
    </w:p>
    <w:p w14:paraId="7DEBE297" w14:textId="77777777" w:rsidR="009C4222" w:rsidRPr="009C4222" w:rsidRDefault="00690288" w:rsidP="00E43F2B">
      <w:pPr>
        <w:numPr>
          <w:ilvl w:val="0"/>
          <w:numId w:val="30"/>
        </w:numPr>
        <w:spacing w:after="0"/>
        <w:ind w:left="714" w:hanging="357"/>
      </w:pPr>
      <w:r>
        <w:t>Den Puffer zum</w:t>
      </w:r>
      <w:r w:rsidR="009C4222" w:rsidRPr="009C4222">
        <w:t xml:space="preserve"> Su</w:t>
      </w:r>
      <w:r w:rsidR="00E11D6B">
        <w:t>bstrat geben und mischen durch I</w:t>
      </w:r>
      <w:r w:rsidR="009C4222" w:rsidRPr="009C4222">
        <w:t>nvertieren oder vorsichtig vortexen = CellTiter-Glo Reagenz (stabil bei -20</w:t>
      </w:r>
      <w:r w:rsidR="00A426B8">
        <w:t xml:space="preserve"> </w:t>
      </w:r>
      <w:r w:rsidR="009C4222" w:rsidRPr="009C4222">
        <w:t>°C für max. 3 Wochen)</w:t>
      </w:r>
    </w:p>
    <w:p w14:paraId="5D60ACD2" w14:textId="77777777" w:rsidR="009C4222" w:rsidRPr="009C4222" w:rsidRDefault="00690288" w:rsidP="00E43F2B">
      <w:pPr>
        <w:numPr>
          <w:ilvl w:val="0"/>
          <w:numId w:val="30"/>
        </w:numPr>
        <w:spacing w:after="0"/>
        <w:ind w:left="714" w:hanging="357"/>
      </w:pPr>
      <w:r>
        <w:t>96-W</w:t>
      </w:r>
      <w:r w:rsidR="009C4222" w:rsidRPr="009C4222">
        <w:t>ell-Platte 30 Min bei Raumtemperatur equilibrieren.</w:t>
      </w:r>
    </w:p>
    <w:p w14:paraId="60D2D8C4" w14:textId="77777777" w:rsidR="009C4222" w:rsidRPr="009C4222" w:rsidRDefault="009C4222" w:rsidP="00E43F2B">
      <w:pPr>
        <w:numPr>
          <w:ilvl w:val="0"/>
          <w:numId w:val="30"/>
        </w:numPr>
        <w:spacing w:after="0"/>
        <w:ind w:left="714" w:hanging="357"/>
      </w:pPr>
      <w:r w:rsidRPr="009C4222">
        <w:t>CellTiter-Glo Reagenz in gleichen Volumenanteilen zu dem ausgebrachten Medium in die Wells dazugeben (z.B. bei 100µl Medium=100µl Re</w:t>
      </w:r>
      <w:r w:rsidR="00E11D6B">
        <w:t>agenz) und 2 m</w:t>
      </w:r>
      <w:r w:rsidR="00690288">
        <w:t>in im Multiplattenreader</w:t>
      </w:r>
      <w:r w:rsidRPr="009C4222">
        <w:t xml:space="preserve"> orbital mischen.</w:t>
      </w:r>
    </w:p>
    <w:p w14:paraId="13D2C74D" w14:textId="77777777" w:rsidR="009C4222" w:rsidRPr="009C4222" w:rsidRDefault="00CA54AA" w:rsidP="00E43F2B">
      <w:pPr>
        <w:numPr>
          <w:ilvl w:val="0"/>
          <w:numId w:val="30"/>
        </w:numPr>
        <w:spacing w:after="0"/>
        <w:ind w:left="714" w:hanging="357"/>
      </w:pPr>
      <w:r>
        <w:t>10 m</w:t>
      </w:r>
      <w:r w:rsidR="009C4222" w:rsidRPr="009C4222">
        <w:t>in bei Raumtemperatur stehen lassen, bis das Lumineszenzsignal stabil ist.</w:t>
      </w:r>
    </w:p>
    <w:p w14:paraId="18347E43" w14:textId="77777777" w:rsidR="009C4222" w:rsidRPr="00E47482" w:rsidRDefault="009C4222" w:rsidP="00E43F2B">
      <w:pPr>
        <w:numPr>
          <w:ilvl w:val="0"/>
          <w:numId w:val="30"/>
        </w:numPr>
        <w:spacing w:after="0"/>
        <w:ind w:left="714" w:hanging="357"/>
      </w:pPr>
      <w:r w:rsidRPr="009C4222">
        <w:t>Messung</w:t>
      </w:r>
      <w:r w:rsidR="00690288">
        <w:t xml:space="preserve"> der Lumineszenz im Multiplattenreader</w:t>
      </w:r>
      <w:r w:rsidRPr="009C4222">
        <w:t xml:space="preserve"> (Integrat</w:t>
      </w:r>
      <w:r w:rsidR="00542EC6">
        <w:t>ionszeit 0.25-0,1 s/W</w:t>
      </w:r>
      <w:r w:rsidRPr="009C4222">
        <w:t>ell)</w:t>
      </w:r>
      <w:r w:rsidR="00542EC6">
        <w:t>.</w:t>
      </w:r>
    </w:p>
    <w:p w14:paraId="30DC870A" w14:textId="77777777" w:rsidR="007021C3" w:rsidRDefault="004851F1" w:rsidP="00E71524">
      <w:pPr>
        <w:pStyle w:val="berschrift4"/>
      </w:pPr>
      <w:bookmarkStart w:id="153" w:name="_Toc294380214"/>
      <w:r w:rsidRPr="004851F1">
        <w:t>Partikelaufnahme</w:t>
      </w:r>
      <w:r w:rsidR="00F71178">
        <w:t xml:space="preserve"> in HeLa und Cac</w:t>
      </w:r>
      <w:r>
        <w:t>o-2 Zellen</w:t>
      </w:r>
      <w:bookmarkEnd w:id="153"/>
    </w:p>
    <w:p w14:paraId="1735550A" w14:textId="77777777" w:rsidR="00C120D4" w:rsidRPr="00C120D4" w:rsidRDefault="00C120D4" w:rsidP="00C120D4">
      <w:r>
        <w:t>Die Aufnahme der formulier</w:t>
      </w:r>
      <w:r w:rsidR="00F71178">
        <w:t>ten Nanopartikel in HeLa und Cac</w:t>
      </w:r>
      <w:r>
        <w:t>o-2 Zellen wurde von unterschiedlichen Partnern des PeTrA Konsor</w:t>
      </w:r>
      <w:r w:rsidR="00985AD0">
        <w:t>tiums untersucht. Daher</w:t>
      </w:r>
      <w:r>
        <w:t xml:space="preserve"> werden die Testsysteme in der vorliegenden Arbeit nur zusammenfassend und unmittelbar mit der Darstellung der Ergebnisse in Kapitel </w:t>
      </w:r>
      <w:r w:rsidR="00D16240">
        <w:fldChar w:fldCharType="begin"/>
      </w:r>
      <w:r>
        <w:instrText xml:space="preserve"> REF _Ref278752273 \n \h </w:instrText>
      </w:r>
      <w:r w:rsidR="00D16240">
        <w:fldChar w:fldCharType="separate"/>
      </w:r>
      <w:r w:rsidR="00711AB8">
        <w:t>4.7.1</w:t>
      </w:r>
      <w:r w:rsidR="00D16240">
        <w:fldChar w:fldCharType="end"/>
      </w:r>
      <w:r>
        <w:t xml:space="preserve"> beschrieben.</w:t>
      </w:r>
    </w:p>
    <w:p w14:paraId="740C2244" w14:textId="77777777" w:rsidR="007021C3" w:rsidRDefault="006F53FF" w:rsidP="00E71524">
      <w:pPr>
        <w:pStyle w:val="berschrift4"/>
      </w:pPr>
      <w:bookmarkStart w:id="154" w:name="_Toc294380215"/>
      <w:r>
        <w:t>Resorptionsstudien an</w:t>
      </w:r>
      <w:r w:rsidR="00F71178">
        <w:t xml:space="preserve"> Cac</w:t>
      </w:r>
      <w:r w:rsidR="00252861">
        <w:t>o-2-Zellmodell</w:t>
      </w:r>
      <w:r>
        <w:t>en</w:t>
      </w:r>
      <w:bookmarkEnd w:id="154"/>
    </w:p>
    <w:p w14:paraId="108B8F68" w14:textId="77777777" w:rsidR="00C120D4" w:rsidRPr="00C120D4" w:rsidRDefault="00C120D4" w:rsidP="00C120D4">
      <w:r>
        <w:t>Für die Resorptionsstud</w:t>
      </w:r>
      <w:r w:rsidR="004D0E23">
        <w:t>ien gilt das Gleiche wie</w:t>
      </w:r>
      <w:r>
        <w:t xml:space="preserve"> für die Par</w:t>
      </w:r>
      <w:r w:rsidR="004D0E23">
        <w:t>tikelaufnahmetests.</w:t>
      </w:r>
      <w:r>
        <w:t xml:space="preserve"> Die zusammenfassende B</w:t>
      </w:r>
      <w:r w:rsidR="004D0E23">
        <w:t>eschreibung des Testsystems</w:t>
      </w:r>
      <w:r>
        <w:t xml:space="preserve"> erfolgt in Kapitel </w:t>
      </w:r>
      <w:r w:rsidR="00D16240">
        <w:fldChar w:fldCharType="begin"/>
      </w:r>
      <w:r>
        <w:instrText xml:space="preserve"> REF _Ref278752376 \n \h </w:instrText>
      </w:r>
      <w:r w:rsidR="00D16240">
        <w:fldChar w:fldCharType="separate"/>
      </w:r>
      <w:r w:rsidR="00711AB8">
        <w:t>4.7.1</w:t>
      </w:r>
      <w:r w:rsidR="00D16240">
        <w:fldChar w:fldCharType="end"/>
      </w:r>
      <w:r w:rsidR="004D0E23">
        <w:t xml:space="preserve"> unmittelbar vor der Darstellung der Ergebnisse</w:t>
      </w:r>
      <w:r>
        <w:t>.</w:t>
      </w:r>
    </w:p>
    <w:p w14:paraId="55093044" w14:textId="77777777" w:rsidR="004D0E23" w:rsidRDefault="00996F38" w:rsidP="004D0E23">
      <w:pPr>
        <w:pStyle w:val="berschrift3"/>
      </w:pPr>
      <w:bookmarkStart w:id="155" w:name="_Ref273305458"/>
      <w:bookmarkStart w:id="156" w:name="_Toc294380216"/>
      <w:r w:rsidRPr="006F53FF">
        <w:rPr>
          <w:i/>
        </w:rPr>
        <w:t>I</w:t>
      </w:r>
      <w:r w:rsidR="00DC7462" w:rsidRPr="006F53FF">
        <w:rPr>
          <w:i/>
        </w:rPr>
        <w:t>n vivo</w:t>
      </w:r>
      <w:r w:rsidR="00DC7462">
        <w:t>-Charakterisierung</w:t>
      </w:r>
      <w:r w:rsidR="006F53FF">
        <w:t xml:space="preserve"> der Formulierungen</w:t>
      </w:r>
      <w:bookmarkEnd w:id="155"/>
      <w:bookmarkEnd w:id="156"/>
    </w:p>
    <w:p w14:paraId="5C8D9657" w14:textId="77777777" w:rsidR="004D0E23" w:rsidRPr="00D16724" w:rsidRDefault="00985AD0" w:rsidP="004D0E23">
      <w:pPr>
        <w:rPr>
          <w:rFonts w:cs="Times New Roman"/>
        </w:rPr>
      </w:pPr>
      <w:r>
        <w:rPr>
          <w:rFonts w:eastAsiaTheme="majorEastAsia" w:cs="Times New Roman"/>
          <w:bCs/>
        </w:rPr>
        <w:t xml:space="preserve">Die </w:t>
      </w:r>
      <w:r>
        <w:rPr>
          <w:rFonts w:eastAsiaTheme="majorEastAsia" w:cs="Times New Roman"/>
          <w:bCs/>
          <w:i/>
        </w:rPr>
        <w:t>in vivo</w:t>
      </w:r>
      <w:r>
        <w:rPr>
          <w:rFonts w:eastAsiaTheme="majorEastAsia" w:cs="Times New Roman"/>
          <w:bCs/>
        </w:rPr>
        <w:t xml:space="preserve">-Untersuchung der </w:t>
      </w:r>
      <w:r w:rsidR="004D0E23">
        <w:rPr>
          <w:rFonts w:eastAsiaTheme="majorEastAsia" w:cs="Times New Roman"/>
          <w:bCs/>
        </w:rPr>
        <w:t>Bioverfügbarkeit der De</w:t>
      </w:r>
      <w:r>
        <w:rPr>
          <w:rFonts w:eastAsiaTheme="majorEastAsia" w:cs="Times New Roman"/>
          <w:bCs/>
        </w:rPr>
        <w:t>smopressin Formulierungen wurde</w:t>
      </w:r>
      <w:r w:rsidR="004D0E23">
        <w:rPr>
          <w:rFonts w:eastAsiaTheme="majorEastAsia" w:cs="Times New Roman"/>
          <w:bCs/>
        </w:rPr>
        <w:t xml:space="preserve"> am Helmholtz Zentrum für Infektionsforschun</w:t>
      </w:r>
      <w:r w:rsidR="008E7DD3">
        <w:rPr>
          <w:rFonts w:eastAsiaTheme="majorEastAsia" w:cs="Times New Roman"/>
          <w:bCs/>
        </w:rPr>
        <w:t>g in Braunschweig durchgeführt. Für die Untersuchungen wurden schwarze Mäuse des Stammes C57BL/6 verwendet.</w:t>
      </w:r>
    </w:p>
    <w:p w14:paraId="3ECD6830" w14:textId="77777777" w:rsidR="004D0E23" w:rsidRDefault="0030578C" w:rsidP="004D0E23">
      <w:pPr>
        <w:pStyle w:val="berschrift4"/>
      </w:pPr>
      <w:bookmarkStart w:id="157" w:name="_Toc294380217"/>
      <w:r>
        <w:t>I</w:t>
      </w:r>
      <w:r w:rsidR="00DC7462">
        <w:t xml:space="preserve">n </w:t>
      </w:r>
      <w:r w:rsidR="0091750B">
        <w:t>vivo-</w:t>
      </w:r>
      <w:r w:rsidR="00DC7462" w:rsidRPr="00DC7462">
        <w:t>Untersuchung der Bioverfügbarkeit</w:t>
      </w:r>
      <w:bookmarkEnd w:id="157"/>
    </w:p>
    <w:p w14:paraId="6922D872" w14:textId="77777777" w:rsidR="004D0E23" w:rsidRDefault="008E7DD3" w:rsidP="004D0E23">
      <w:r>
        <w:t>Untersucht wurde die Bioverfügbarkeit von Desmopressin sowohl für die orale als auch für die rektale Gabe der Desmopressin Partikelformulierungen mit PEA Cystein, PLGA mit hLF-Beschichtung und PLGA ohne hLF-Beschichtung.</w:t>
      </w:r>
    </w:p>
    <w:p w14:paraId="78D6738A" w14:textId="77777777" w:rsidR="008E7DD3" w:rsidRDefault="00F81961" w:rsidP="004D0E23">
      <w:r>
        <w:t>Um später anhand der Ergebnisse</w:t>
      </w:r>
      <w:r w:rsidR="00B1014D">
        <w:t xml:space="preserve"> die</w:t>
      </w:r>
      <w:r>
        <w:t xml:space="preserve"> absolute Bioverfügbarkeit der Formulierungen</w:t>
      </w:r>
      <w:r w:rsidR="008E7DD3">
        <w:t xml:space="preserve"> </w:t>
      </w:r>
      <w:r w:rsidR="00B1014D">
        <w:t xml:space="preserve">bestimmen zu können, </w:t>
      </w:r>
      <w:r w:rsidR="008E7DD3">
        <w:t>wurde</w:t>
      </w:r>
      <w:r w:rsidR="00B1014D">
        <w:t>n zunächst 200 µl einer Lösung</w:t>
      </w:r>
      <w:r w:rsidR="008E7DD3">
        <w:t xml:space="preserve"> von 20</w:t>
      </w:r>
      <w:r w:rsidR="00B1014D">
        <w:t xml:space="preserve"> µg Desmopressinacetat in Wasser für Injektionszwecke intravenös injiziert. Die Blutentnahme zur Bestimmung des </w:t>
      </w:r>
      <w:r w:rsidR="00B1014D">
        <w:lastRenderedPageBreak/>
        <w:t>Plasmaspiegels von Desmopressin mittels HPLC Methode erfolgte nach 0,5h, 1h, 2h und 4h.</w:t>
      </w:r>
      <w:r w:rsidR="008C6CE9">
        <w:t xml:space="preserve"> Für jeden Zeitpunkt wurden jeweils 3 Tiere verwendet (n=3).</w:t>
      </w:r>
    </w:p>
    <w:p w14:paraId="561B6513" w14:textId="77777777" w:rsidR="008C6CE9" w:rsidRDefault="008C6CE9" w:rsidP="004D0E23">
      <w:r>
        <w:t xml:space="preserve">Zur oralen und rektalen Verabreichung wurde jeweils eine genau gewogene Menge der Partikelformulierungen in Wasser suspendiert, sodass 250 µl dieser Suspension 15 µg Desmopressinacetat enthielten. Die </w:t>
      </w:r>
      <w:r w:rsidR="004B27C6">
        <w:t xml:space="preserve">resultierende </w:t>
      </w:r>
      <w:r>
        <w:t>Partikelkonzentration der jeweils peroral bzw. rektal applizierten</w:t>
      </w:r>
      <w:r w:rsidR="004B27C6">
        <w:t xml:space="preserve"> Suspensionen lag je nach Formulierung zwischen 2 und 3 mg/ml. Es wurden jeweils 250 µl der Suspension, das heißt 15 µg Desmopressin pro Dosis, oral bzw. rektal verabreicht. Die Applikation erfolgte jeweils mithilfe einer Knopfkanüle. Für die perorale Gabe wurde die Kanüle bis in den oberen Teil der Speiseröhre eingeführt, sodass die Maus weitgehend selbstständig durch den ausgelösten Schluckreflex die Probe aufnimmt. Die rektale Gabe erfolgte durch Einführen der Knopfkanüle in den Anus.</w:t>
      </w:r>
    </w:p>
    <w:p w14:paraId="74017220" w14:textId="77777777" w:rsidR="00884763" w:rsidRPr="004D0E23" w:rsidRDefault="00884763" w:rsidP="004D0E23">
      <w:r>
        <w:t>Für alle getesteten Partikelformulierungen wurden zur Ermittlung der Plasmasiegelkurven jeweils nach peroraler und</w:t>
      </w:r>
      <w:r w:rsidR="007D712C">
        <w:t xml:space="preserve"> rektaler Gabe Proben nach 0,5h, 1h,</w:t>
      </w:r>
      <w:r>
        <w:t xml:space="preserve"> 2h und 4h genommen. Bei der peroralen Applikation der Formulierung von Desmopr</w:t>
      </w:r>
      <w:r w:rsidR="007D712C">
        <w:t>essin mit PEA Cystein wurde eine zusätzliche Probe nach 8h</w:t>
      </w:r>
      <w:r>
        <w:t xml:space="preserve"> entnommen. Für jeden Probenzeitpunkt wurden jeweils drei Tiere verwendet (n=3).</w:t>
      </w:r>
    </w:p>
    <w:p w14:paraId="768428DD" w14:textId="77777777" w:rsidR="00EC4F72" w:rsidRDefault="004851F1" w:rsidP="00584A0D">
      <w:pPr>
        <w:pStyle w:val="berschrift2"/>
      </w:pPr>
      <w:r w:rsidRPr="003B37C5">
        <w:tab/>
      </w:r>
      <w:bookmarkStart w:id="158" w:name="_Ref272957759"/>
      <w:bookmarkStart w:id="159" w:name="_Toc294380218"/>
      <w:r w:rsidRPr="003B37C5">
        <w:t>Evaluation der Doppelemulsionsmethode</w:t>
      </w:r>
      <w:bookmarkEnd w:id="158"/>
      <w:bookmarkEnd w:id="159"/>
    </w:p>
    <w:p w14:paraId="47208E36" w14:textId="77777777" w:rsidR="00EE30D0" w:rsidRDefault="00606365" w:rsidP="00EE30D0">
      <w:r>
        <w:t xml:space="preserve">Dass die Doppelemulsionsmethode sehr gut zur Verkapselung von hydrophilen Wirkstoffen in eher lipophile Materialien wie beispielsweise PLGA geeignet ist, wurde </w:t>
      </w:r>
      <w:r w:rsidR="00650787">
        <w:t xml:space="preserve">in der Vergangenheit </w:t>
      </w:r>
      <w:r>
        <w:t>bereits mehrfach gezeigt</w:t>
      </w:r>
      <w:r w:rsidR="00D16240">
        <w:fldChar w:fldCharType="begin"/>
      </w:r>
      <w:r>
        <w:instrText xml:space="preserve"> NOTEREF _Ref272175758 \f \h </w:instrText>
      </w:r>
      <w:r w:rsidR="00D16240">
        <w:fldChar w:fldCharType="separate"/>
      </w:r>
      <w:r w:rsidR="00711AB8" w:rsidRPr="00711AB8">
        <w:rPr>
          <w:rStyle w:val="Endnotenzeichen"/>
        </w:rPr>
        <w:t>121</w:t>
      </w:r>
      <w:r w:rsidR="00D16240">
        <w:fldChar w:fldCharType="end"/>
      </w:r>
      <w:r>
        <w:rPr>
          <w:vertAlign w:val="superscript"/>
        </w:rPr>
        <w:t>,</w:t>
      </w:r>
      <w:r w:rsidR="00D16240">
        <w:fldChar w:fldCharType="begin"/>
      </w:r>
      <w:r>
        <w:rPr>
          <w:vertAlign w:val="superscript"/>
        </w:rPr>
        <w:instrText xml:space="preserve"> NOTEREF _Ref273057109 \f \h </w:instrText>
      </w:r>
      <w:r w:rsidR="00D16240">
        <w:fldChar w:fldCharType="separate"/>
      </w:r>
      <w:r w:rsidR="00711AB8" w:rsidRPr="00711AB8">
        <w:rPr>
          <w:rStyle w:val="Endnotenzeichen"/>
        </w:rPr>
        <w:t>122</w:t>
      </w:r>
      <w:r w:rsidR="00D16240">
        <w:fldChar w:fldCharType="end"/>
      </w:r>
      <w:r>
        <w:t>. Jang et al. optimierten die</w:t>
      </w:r>
      <w:r w:rsidR="00041FCE">
        <w:t>se</w:t>
      </w:r>
      <w:r>
        <w:t xml:space="preserve"> Methode im Hinblick auf die Verkapselungseffizienz von Wirkstoffen der BCS Klasse III</w:t>
      </w:r>
      <w:r w:rsidR="00D16240">
        <w:fldChar w:fldCharType="begin"/>
      </w:r>
      <w:r>
        <w:instrText xml:space="preserve"> NOTEREF _Ref273057109 \f \h </w:instrText>
      </w:r>
      <w:r w:rsidR="00D16240">
        <w:fldChar w:fldCharType="separate"/>
      </w:r>
      <w:r w:rsidR="00711AB8" w:rsidRPr="00711AB8">
        <w:rPr>
          <w:rStyle w:val="Endnotenzeichen"/>
        </w:rPr>
        <w:t>122</w:t>
      </w:r>
      <w:r w:rsidR="00D16240">
        <w:fldChar w:fldCharType="end"/>
      </w:r>
      <w:r w:rsidR="001759B7">
        <w:t>. E</w:t>
      </w:r>
      <w:r w:rsidR="00650787">
        <w:t>ine exakt vorhersagbare und gut reproduzierbare Einstellung der Partikelgröße bei sehr niedrigem Polydispersitätsindex</w:t>
      </w:r>
      <w:r w:rsidR="001759B7">
        <w:t xml:space="preserve"> der Partikelgrößenverteilung</w:t>
      </w:r>
      <w:r w:rsidR="00650A75">
        <w:t xml:space="preserve"> (</w:t>
      </w:r>
      <w:r w:rsidR="0037693D">
        <w:t>PDI) von weniger als 0,05</w:t>
      </w:r>
      <w:r w:rsidR="00650787">
        <w:t xml:space="preserve"> sowie die Bereitstel</w:t>
      </w:r>
      <w:r w:rsidR="00801D91">
        <w:t xml:space="preserve">lung eines lagerstabilen Produktes </w:t>
      </w:r>
      <w:r w:rsidR="001759B7">
        <w:t xml:space="preserve">stellen </w:t>
      </w:r>
      <w:r w:rsidR="00BC4FA7">
        <w:t xml:space="preserve">jedoch </w:t>
      </w:r>
      <w:r w:rsidR="00801D91">
        <w:t xml:space="preserve">nach wie vor eine </w:t>
      </w:r>
      <w:r w:rsidR="001759B7">
        <w:t>große Herausforderung dar</w:t>
      </w:r>
      <w:r w:rsidR="00801D91">
        <w:t>.</w:t>
      </w:r>
    </w:p>
    <w:p w14:paraId="46FC850F" w14:textId="77777777" w:rsidR="00801D91" w:rsidRDefault="00871C10" w:rsidP="00EE30D0">
      <w:pPr>
        <w:rPr>
          <w:szCs w:val="24"/>
        </w:rPr>
      </w:pPr>
      <w:r>
        <w:t>In den folgenden Abschnitten dieses</w:t>
      </w:r>
      <w:r w:rsidR="00801D91">
        <w:t xml:space="preserve"> Kapitels wird beschrieben, </w:t>
      </w:r>
      <w:r w:rsidR="00431B90">
        <w:t xml:space="preserve">wie der Prozess der </w:t>
      </w:r>
      <w:r w:rsidR="00041FCE">
        <w:t>Doppelemulsionsmethode gesteuert</w:t>
      </w:r>
      <w:r w:rsidR="00431B90">
        <w:t xml:space="preserve"> werden kann, um </w:t>
      </w:r>
      <w:r w:rsidR="00AC1BE0">
        <w:t>die Größe von Polymerpartikeln aus Resomer</w:t>
      </w:r>
      <w:r w:rsidR="001856C4" w:rsidRPr="00902C2E">
        <w:rPr>
          <w:vertAlign w:val="superscript"/>
        </w:rPr>
        <w:t>®</w:t>
      </w:r>
      <w:r w:rsidR="00DF4E84">
        <w:rPr>
          <w:szCs w:val="24"/>
        </w:rPr>
        <w:t> RG </w:t>
      </w:r>
      <w:r w:rsidR="009B572E">
        <w:rPr>
          <w:szCs w:val="24"/>
        </w:rPr>
        <w:t>503 H</w:t>
      </w:r>
      <w:r>
        <w:rPr>
          <w:szCs w:val="24"/>
        </w:rPr>
        <w:t xml:space="preserve"> reproduzierbar innerhalb enger Grenzen einzustellen und wie durch Trocknung der Nanosuspension ein vollständig redispergierbares und lagerstabiles Produkt gewonnen werden kann.</w:t>
      </w:r>
    </w:p>
    <w:p w14:paraId="60896950" w14:textId="77777777" w:rsidR="001A3588" w:rsidRPr="00871C10" w:rsidRDefault="001A3588" w:rsidP="00EE30D0">
      <w:pPr>
        <w:rPr>
          <w:szCs w:val="24"/>
        </w:rPr>
      </w:pPr>
      <w:r>
        <w:rPr>
          <w:szCs w:val="24"/>
        </w:rPr>
        <w:t>Abschließend erfolgt eine kurze Bewertung der Verfahren bezüglich ihrer Verwertbarkeit für eine industrielle Produktion von Polymernanopartikeln.</w:t>
      </w:r>
    </w:p>
    <w:p w14:paraId="129A0C3D" w14:textId="77777777" w:rsidR="00DC7462" w:rsidRDefault="00B25E89" w:rsidP="00996F38">
      <w:pPr>
        <w:pStyle w:val="berschrift3"/>
      </w:pPr>
      <w:bookmarkStart w:id="160" w:name="_Ref273054956"/>
      <w:bookmarkStart w:id="161" w:name="_Toc294380219"/>
      <w:r w:rsidRPr="0091750B">
        <w:lastRenderedPageBreak/>
        <w:t>Theorie und Grundlagen</w:t>
      </w:r>
      <w:r w:rsidR="000E325E">
        <w:t xml:space="preserve"> der Hochdruckhomogeni</w:t>
      </w:r>
      <w:r w:rsidR="00551197">
        <w:t>sation</w:t>
      </w:r>
      <w:bookmarkEnd w:id="160"/>
      <w:bookmarkEnd w:id="161"/>
    </w:p>
    <w:p w14:paraId="3AD44266" w14:textId="77777777" w:rsidR="00C00F73" w:rsidRDefault="004B5B8E" w:rsidP="00DC56EA">
      <w:r>
        <w:t xml:space="preserve">Da in Kapitel </w:t>
      </w:r>
      <w:r w:rsidR="00D16240">
        <w:fldChar w:fldCharType="begin"/>
      </w:r>
      <w:r>
        <w:instrText xml:space="preserve"> REF _Ref272957759 \n \h </w:instrText>
      </w:r>
      <w:r w:rsidR="00D16240">
        <w:fldChar w:fldCharType="separate"/>
      </w:r>
      <w:r w:rsidR="00711AB8">
        <w:t>4.2</w:t>
      </w:r>
      <w:r w:rsidR="00D16240">
        <w:fldChar w:fldCharType="end"/>
      </w:r>
      <w:r>
        <w:t xml:space="preserve"> die Doppelemulsionsmethode schwerpunktmäßig im Hinblick auf </w:t>
      </w:r>
      <w:r w:rsidR="00732D42">
        <w:t xml:space="preserve">die Verwendung eines Hochdruckhomogenisators untersucht werden soll, folgt zunächst eine kurze Einführung </w:t>
      </w:r>
      <w:r w:rsidR="00E50563">
        <w:t>in die Grundlagen dieser Homogenisierungsmethode</w:t>
      </w:r>
      <w:r>
        <w:t xml:space="preserve">. </w:t>
      </w:r>
    </w:p>
    <w:p w14:paraId="7C040C68" w14:textId="77777777" w:rsidR="00E50563" w:rsidRDefault="00732D42" w:rsidP="00DC56EA">
      <w:r>
        <w:t>Die Hochdruckhomogenisation ist ein Verfahren zur Herstellung besonders feiner Dispersionen mit hoher Stabilität. Sie ei</w:t>
      </w:r>
      <w:r w:rsidR="00CD58D7">
        <w:t>gnet sich zur Homogenisierung von Suspensionen (disperse Phase ist fest und kontinuierliche</w:t>
      </w:r>
      <w:r>
        <w:t xml:space="preserve"> Phase</w:t>
      </w:r>
      <w:r w:rsidR="00CD58D7">
        <w:t xml:space="preserve"> ist flüssig) und Emulsionen (disperse Phase und kontinuierliche Phase sind flüssig aber nicht</w:t>
      </w:r>
      <w:r w:rsidR="00E50563">
        <w:t xml:space="preserve"> miteinander</w:t>
      </w:r>
      <w:r w:rsidR="00CD58D7">
        <w:t xml:space="preserve"> mischbar).</w:t>
      </w:r>
      <w:r>
        <w:t xml:space="preserve"> </w:t>
      </w:r>
      <w:r w:rsidR="00CD58D7">
        <w:t xml:space="preserve">Das Verfahren wurde erstmals auf der Pariser Weltausstellung in 1900 zur Verarbeitung von Milch vorgestellt. </w:t>
      </w:r>
      <w:r w:rsidR="00E50563">
        <w:t>Heute wird es</w:t>
      </w:r>
      <w:r w:rsidR="00F976EC">
        <w:t xml:space="preserve"> in der Lebensmittelindustrie im Großmaßstab eingesetzt, um das Aufrahmen der Fettphase in der Milch zu verhindern. In der pharmazeutischen Industrie wird das Verfahren beispielsweise zur Herstellung von Fettemulsionen für die</w:t>
      </w:r>
      <w:r w:rsidR="00E50563">
        <w:t xml:space="preserve"> parenterale Ernährung genutzt</w:t>
      </w:r>
      <w:r w:rsidR="00F976EC">
        <w:rPr>
          <w:rStyle w:val="Endnotenzeichen"/>
        </w:rPr>
        <w:endnoteReference w:id="130"/>
      </w:r>
      <w:r w:rsidR="00C00F73">
        <w:t>.</w:t>
      </w:r>
    </w:p>
    <w:p w14:paraId="425CEB51" w14:textId="77777777" w:rsidR="009D0036" w:rsidRDefault="009D0036" w:rsidP="00DC56EA">
      <w:r>
        <w:t xml:space="preserve">Bei der Hochdruckhomogenisation wird eine vorgemischte Dispersion mit hohem Druck durch einen schmalen Spalt oder einen engen Kanal gepresst, wodurch hohe Scherkräfte entstehen, die zur Zerkleinerung der inneren Phase führen. </w:t>
      </w:r>
      <w:r w:rsidR="007437AC">
        <w:t>Außerdem kommt es aufgrund des verengten Leitungsdurchmessers zur Erhöhung der Strömung</w:t>
      </w:r>
      <w:r w:rsidR="004C1D05">
        <w:t>sgeschwindigkeit der Dispersion</w:t>
      </w:r>
      <w:r w:rsidR="006558DD">
        <w:t>,</w:t>
      </w:r>
      <w:r w:rsidR="004C1D05">
        <w:t xml:space="preserve"> wodurch</w:t>
      </w:r>
      <w:r w:rsidR="007437AC">
        <w:t xml:space="preserve"> </w:t>
      </w:r>
      <w:r w:rsidR="004C1D05">
        <w:t>der dynamische Druck</w:t>
      </w:r>
      <w:r w:rsidR="007437AC">
        <w:t xml:space="preserve"> in diesem Bereich stark an</w:t>
      </w:r>
      <w:r w:rsidR="004C1D05">
        <w:t>steigt</w:t>
      </w:r>
      <w:r w:rsidR="007437AC">
        <w:t xml:space="preserve">. Da die Summe aus statischem und dynamischem Druck nach Bernoulli konstant ist, führt dies zu einem </w:t>
      </w:r>
      <w:r w:rsidR="004C1D05">
        <w:t xml:space="preserve">enormen </w:t>
      </w:r>
      <w:r w:rsidR="007437AC">
        <w:t xml:space="preserve">Absinken des statischen Drucks. Unterschreitet dieser dabei den Dampfdruck der kontinuierlichen Phase, </w:t>
      </w:r>
      <w:r w:rsidR="004C1D05">
        <w:t xml:space="preserve">so </w:t>
      </w:r>
      <w:r w:rsidR="007437AC">
        <w:t>bilde</w:t>
      </w:r>
      <w:r w:rsidR="004C1D05">
        <w:t>n sich Gasblasen. Im Anschluss an die Interaktionskammer nimmt der Leitungsquerschnitt wieder zu und es kommt zu einem Anstieg des statischen Drucks. Dabei kommt es zur Implosion der Gasblasen, was zu einer weiteren Zerkleinerung der inneren Phase führt. Dieses Phänomen wird auch als Kavitation bezeichnet.</w:t>
      </w:r>
    </w:p>
    <w:p w14:paraId="01BC4DE2" w14:textId="77777777" w:rsidR="00D56B47" w:rsidRDefault="00E50563" w:rsidP="005B6B14">
      <w:r>
        <w:t xml:space="preserve">In der vorliegenden Arbeit wurde mit einem Microfluidizer </w:t>
      </w:r>
      <w:r w:rsidR="00135B84">
        <w:t xml:space="preserve">der Firma Microfluidics International Corp. </w:t>
      </w:r>
      <w:r>
        <w:t xml:space="preserve">gearbeitet. </w:t>
      </w:r>
      <w:r w:rsidR="0068562C">
        <w:t>Der Aufbau dieses</w:t>
      </w:r>
      <w:r w:rsidR="00D56B47">
        <w:t xml:space="preserve"> Gerätes wird schematisch in </w:t>
      </w:r>
      <w:r w:rsidR="00D16240">
        <w:fldChar w:fldCharType="begin"/>
      </w:r>
      <w:r w:rsidR="00D56B47">
        <w:instrText xml:space="preserve"> REF _Ref273560809 \h </w:instrText>
      </w:r>
      <w:r w:rsidR="00D16240">
        <w:fldChar w:fldCharType="separate"/>
      </w:r>
      <w:r w:rsidR="00711AB8" w:rsidRPr="00D56B47">
        <w:t xml:space="preserve">Abbildung </w:t>
      </w:r>
      <w:r w:rsidR="00711AB8">
        <w:rPr>
          <w:noProof/>
        </w:rPr>
        <w:t>12</w:t>
      </w:r>
      <w:r w:rsidR="00D16240">
        <w:fldChar w:fldCharType="end"/>
      </w:r>
      <w:r w:rsidR="00D56B47">
        <w:t xml:space="preserve"> links dargestellt. Das Gerät besteht aus einem Probenvorratsbehälter am Produkteinlass, einer Hochdruckko</w:t>
      </w:r>
      <w:r w:rsidR="00D13632">
        <w:t>lbenpumpe, die Drücke bis zu 275</w:t>
      </w:r>
      <w:r w:rsidR="00D56B47">
        <w:t>0 bar erzeugen kann, einem Manometer zur Druckkontrolle, einer Interakt</w:t>
      </w:r>
      <w:r w:rsidR="005B6B14">
        <w:t>ionskammer bzw. Homogenisierungszone, einer Kühlspirale, die in ein Wasserbad eingebettet ist</w:t>
      </w:r>
      <w:r w:rsidR="00D13632">
        <w:t>,</w:t>
      </w:r>
      <w:r w:rsidR="005B6B14">
        <w:t xml:space="preserve"> und einem Produktauslass.</w:t>
      </w:r>
    </w:p>
    <w:p w14:paraId="30048735" w14:textId="77777777" w:rsidR="00E50563" w:rsidRDefault="00E50563" w:rsidP="001856C4">
      <w:pPr>
        <w:spacing w:after="120"/>
      </w:pPr>
      <w:r>
        <w:t>Der Hersteller bezeichnet dieses Gerät nicht als „high pressure homogenizer</w:t>
      </w:r>
      <w:r w:rsidR="005B6B14">
        <w:t>“</w:t>
      </w:r>
      <w:r w:rsidR="00135B84">
        <w:t xml:space="preserve"> (</w:t>
      </w:r>
      <w:r w:rsidR="0068562C">
        <w:t>zu Deutsch</w:t>
      </w:r>
      <w:r w:rsidR="00DF4E84">
        <w:t xml:space="preserve">: </w:t>
      </w:r>
      <w:r w:rsidR="00135B84">
        <w:t>Hochdruckhomogenisator)</w:t>
      </w:r>
      <w:r>
        <w:t xml:space="preserve"> sondern vielmehr als „high shea</w:t>
      </w:r>
      <w:r w:rsidR="00624E07">
        <w:t>r fluid processor“, um eine Abgrenzung zu herkömmlichen Hochdruckhomogenisatoren deutlich zu mac</w:t>
      </w:r>
      <w:r w:rsidR="00135B84">
        <w:t>hen. Diese Abgrenzung wird damit</w:t>
      </w:r>
      <w:r w:rsidR="00624E07">
        <w:t xml:space="preserve"> begründet, dass der Microfluidizer mit einer ganz speziellen Int</w:t>
      </w:r>
      <w:r w:rsidR="006558DD">
        <w:t>eraktionskammer ausgestattet sei</w:t>
      </w:r>
      <w:r w:rsidR="00624E07">
        <w:t>, die eine besonders enge Parti</w:t>
      </w:r>
      <w:r w:rsidR="00135B84">
        <w:t xml:space="preserve">kelgrößenverteilung der </w:t>
      </w:r>
      <w:r w:rsidR="00135B84">
        <w:lastRenderedPageBreak/>
        <w:t>h</w:t>
      </w:r>
      <w:r w:rsidR="006558DD">
        <w:t>ergestellten Partikel ermögliche</w:t>
      </w:r>
      <w:r w:rsidR="00624E07">
        <w:t xml:space="preserve">. Dies wird </w:t>
      </w:r>
      <w:r w:rsidR="0068562C">
        <w:t xml:space="preserve">laut Herstellerangaben </w:t>
      </w:r>
      <w:r w:rsidR="00624E07">
        <w:t xml:space="preserve">dadurch erreicht, dass die Homogenisierung </w:t>
      </w:r>
      <w:r w:rsidR="00135B84">
        <w:t xml:space="preserve">in der Kammer </w:t>
      </w:r>
      <w:r w:rsidR="00624E07">
        <w:t>bei ko</w:t>
      </w:r>
      <w:r w:rsidR="00135B84">
        <w:t>nstantem Druck abläuft und nicht den üblichen periodischen Schwanku</w:t>
      </w:r>
      <w:r w:rsidR="00D13632">
        <w:t>ngen unterliegt. Die verwendete</w:t>
      </w:r>
      <w:r w:rsidR="00135B84">
        <w:t xml:space="preserve"> Z-Typ Interaktio</w:t>
      </w:r>
      <w:r w:rsidR="00D56B47">
        <w:t xml:space="preserve">nskammer aus Diamant wird in </w:t>
      </w:r>
      <w:r w:rsidR="00D16240">
        <w:fldChar w:fldCharType="begin"/>
      </w:r>
      <w:r w:rsidR="00D56B47">
        <w:instrText xml:space="preserve"> REF _Ref273560809 \h </w:instrText>
      </w:r>
      <w:r w:rsidR="00D16240">
        <w:fldChar w:fldCharType="separate"/>
      </w:r>
      <w:r w:rsidR="00711AB8" w:rsidRPr="00D56B47">
        <w:t xml:space="preserve">Abbildung </w:t>
      </w:r>
      <w:r w:rsidR="00711AB8">
        <w:rPr>
          <w:noProof/>
        </w:rPr>
        <w:t>12</w:t>
      </w:r>
      <w:r w:rsidR="00D16240">
        <w:fldChar w:fldCharType="end"/>
      </w:r>
      <w:r w:rsidR="00D56B47">
        <w:t xml:space="preserve"> rechts</w:t>
      </w:r>
      <w:r w:rsidR="00135B84">
        <w:t xml:space="preserve"> schematisch dargestellt.</w:t>
      </w:r>
    </w:p>
    <w:p w14:paraId="38C3C743" w14:textId="77777777" w:rsidR="00D56B47" w:rsidRDefault="00D56B47" w:rsidP="00D56B47">
      <w:pPr>
        <w:spacing w:after="0"/>
      </w:pPr>
    </w:p>
    <w:p w14:paraId="49C01900" w14:textId="77777777" w:rsidR="00135B84" w:rsidRDefault="00A85191" w:rsidP="007653F6">
      <w:pPr>
        <w:spacing w:after="120"/>
      </w:pPr>
      <w:r>
        <w:rPr>
          <w:noProof/>
          <w:lang w:eastAsia="de-DE"/>
        </w:rPr>
        <w:drawing>
          <wp:inline distT="0" distB="0" distL="0" distR="0" wp14:anchorId="74732CAC" wp14:editId="0185B787">
            <wp:extent cx="3742769" cy="1977825"/>
            <wp:effectExtent l="0" t="0" r="0" b="3810"/>
            <wp:docPr id="17520" name="Bild 1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fluidizer.png"/>
                    <pic:cNvPicPr/>
                  </pic:nvPicPr>
                  <pic:blipFill>
                    <a:blip r:embed="rId25">
                      <a:alphaModFix/>
                      <a:grayscl/>
                      <a:extLst>
                        <a:ext uri="{28A0092B-C50C-407E-A947-70E740481C1C}">
                          <a14:useLocalDpi xmlns:a14="http://schemas.microsoft.com/office/drawing/2010/main" val="0"/>
                        </a:ext>
                      </a:extLst>
                    </a:blip>
                    <a:stretch>
                      <a:fillRect/>
                    </a:stretch>
                  </pic:blipFill>
                  <pic:spPr>
                    <a:xfrm>
                      <a:off x="0" y="0"/>
                      <a:ext cx="3746095" cy="1979583"/>
                    </a:xfrm>
                    <a:prstGeom prst="rect">
                      <a:avLst/>
                    </a:prstGeom>
                    <a:ln w="6350">
                      <a:noFill/>
                    </a:ln>
                  </pic:spPr>
                </pic:pic>
              </a:graphicData>
            </a:graphic>
          </wp:inline>
        </w:drawing>
      </w:r>
      <w:r w:rsidR="00F206D4">
        <w:t xml:space="preserve"> </w:t>
      </w:r>
      <w:r w:rsidR="00616B61">
        <w:t xml:space="preserve"> </w:t>
      </w:r>
      <w:r w:rsidR="00F206D4">
        <w:t xml:space="preserve"> </w:t>
      </w:r>
      <w:r w:rsidR="006D0CF6">
        <w:t xml:space="preserve"> </w:t>
      </w:r>
      <w:r w:rsidR="00F206D4">
        <w:t xml:space="preserve">  </w:t>
      </w:r>
      <w:r w:rsidR="00F206D4" w:rsidRPr="00A85191">
        <w:rPr>
          <w:noProof/>
          <w:lang w:eastAsia="de-DE"/>
        </w:rPr>
        <w:drawing>
          <wp:inline distT="0" distB="0" distL="0" distR="0" wp14:anchorId="01DE5F08" wp14:editId="4AF07718">
            <wp:extent cx="1705170" cy="1884948"/>
            <wp:effectExtent l="0" t="0" r="0" b="0"/>
            <wp:docPr id="8663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320" name="Picture 16"/>
                    <pic:cNvPicPr>
                      <a:picLocks noChangeAspect="1" noChangeArrowheads="1"/>
                    </pic:cNvPicPr>
                  </pic:nvPicPr>
                  <pic:blipFill rotWithShape="1">
                    <a:blip r:embed="rId26">
                      <a:grayscl/>
                      <a:lum bright="-6000" contrast="22000"/>
                      <a:extLst>
                        <a:ext uri="{28A0092B-C50C-407E-A947-70E740481C1C}">
                          <a14:useLocalDpi xmlns:a14="http://schemas.microsoft.com/office/drawing/2010/main" val="0"/>
                        </a:ext>
                      </a:extLst>
                    </a:blip>
                    <a:srcRect l="2671" t="7592" r="4451" b="1831"/>
                    <a:stretch/>
                  </pic:blipFill>
                  <pic:spPr bwMode="auto">
                    <a:xfrm>
                      <a:off x="0" y="0"/>
                      <a:ext cx="1705170" cy="1884948"/>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698BEFA9" w14:textId="77777777" w:rsidR="00D56B47" w:rsidRPr="00D56B47" w:rsidRDefault="00D56B47" w:rsidP="001856C4">
      <w:pPr>
        <w:pStyle w:val="Beschriftung"/>
        <w:ind w:firstLine="0"/>
        <w:rPr>
          <w:b w:val="0"/>
        </w:rPr>
      </w:pPr>
      <w:bookmarkStart w:id="162" w:name="_Ref273560809"/>
      <w:r w:rsidRPr="00D56B47">
        <w:t xml:space="preserve">Abbildung </w:t>
      </w:r>
      <w:fldSimple w:instr=" SEQ Abbildung \* ARABIC ">
        <w:r w:rsidR="00711AB8">
          <w:rPr>
            <w:noProof/>
          </w:rPr>
          <w:t>12</w:t>
        </w:r>
      </w:fldSimple>
      <w:bookmarkEnd w:id="162"/>
      <w:r>
        <w:t xml:space="preserve"> </w:t>
      </w:r>
      <w:r w:rsidR="00D13632">
        <w:rPr>
          <w:b w:val="0"/>
        </w:rPr>
        <w:t>L</w:t>
      </w:r>
      <w:r>
        <w:rPr>
          <w:b w:val="0"/>
        </w:rPr>
        <w:t>inks: Schematische Darstellung des Microfluidizers, © Adams Industrievertretungen;                              rechts: Schematische Darstellung der Z-Typ Interaktionskammer, © Microfluidics International Corp.</w:t>
      </w:r>
    </w:p>
    <w:p w14:paraId="38761E5B" w14:textId="77777777" w:rsidR="00D56B47" w:rsidRDefault="00D56B47" w:rsidP="00D56B47">
      <w:pPr>
        <w:spacing w:after="0"/>
      </w:pPr>
    </w:p>
    <w:p w14:paraId="26775B7B" w14:textId="77777777" w:rsidR="00491B58" w:rsidRPr="00040533" w:rsidRDefault="00DC56EA" w:rsidP="00DC56EA">
      <w:r>
        <w:t xml:space="preserve">Die Größe der im Prozess erzeugten Emulsionstropfen ist abhängig von der in der Interaktionskammer eingesetzten Leistungsdichte. Diese setzt sich zusammen aus dem Energieeintrag durch die Kolbenpumpe, der </w:t>
      </w:r>
      <w:r w:rsidR="00DD09A6">
        <w:t xml:space="preserve">wiederum </w:t>
      </w:r>
      <w:r>
        <w:t>vom Arbeitsdruck abhängig ist, und der Homogenisierungszeit bzw. der Anzahl der Durchläufe. Sie wird bei Hochdruck</w:t>
      </w:r>
      <w:r w:rsidR="0087260C">
        <w:t>-</w:t>
      </w:r>
      <w:r>
        <w:t>homogenisatoren in der Regel auf das Volumen bezogen und trägt die Einheit W/m</w:t>
      </w:r>
      <w:r>
        <w:rPr>
          <w:vertAlign w:val="superscript"/>
        </w:rPr>
        <w:t>3</w:t>
      </w:r>
      <w:r>
        <w:t>. Beim Microfluidizer lässt sich also durch Variation des Arbeitsdruckes oder der Anzahl der Durchläufe die volumenbezogene Leistungsdichte und dam</w:t>
      </w:r>
      <w:r w:rsidR="002D2E01">
        <w:t>it die Tropfengröße einstellen.</w:t>
      </w:r>
    </w:p>
    <w:p w14:paraId="4BFD5008" w14:textId="77777777" w:rsidR="00AB6882" w:rsidRPr="00AB6882" w:rsidRDefault="006558DD" w:rsidP="00DC56EA">
      <w:r>
        <w:t xml:space="preserve">Die </w:t>
      </w:r>
      <w:r w:rsidR="00DC56EA">
        <w:t xml:space="preserve">immense Vergrößerung der Oberfläche der dispersen Phase </w:t>
      </w:r>
      <w:r>
        <w:t xml:space="preserve">durch die Homogenisierung </w:t>
      </w:r>
      <w:r w:rsidR="00DC56EA">
        <w:t>führt zu einem drastischen Anstieg der Oberflächenenergie. Um eine Koagulation der Emulsionstropfen zu verhindern, müssen Stabilisatoren zur Verringerung der Oberflächenspannung eingesetzt werden.</w:t>
      </w:r>
      <w:r w:rsidR="00BF2BFE">
        <w:t xml:space="preserve"> </w:t>
      </w:r>
      <w:r w:rsidR="004C1D05">
        <w:t>Die Oberfläche wird bereits beim ersten Durchlauf so enorm v</w:t>
      </w:r>
      <w:r w:rsidR="00EB5277">
        <w:t xml:space="preserve">ergrößert, dass die an der Grenzfläche angereicherten </w:t>
      </w:r>
      <w:r w:rsidR="004C1D05">
        <w:t>Tensidmoleküle nicht</w:t>
      </w:r>
      <w:r w:rsidR="00EB5277">
        <w:t xml:space="preserve"> ausreichen, um die neu entstandenen Emulsionstropf</w:t>
      </w:r>
      <w:r w:rsidR="004C1D05">
        <w:t xml:space="preserve">en zu </w:t>
      </w:r>
      <w:r w:rsidR="00EB5277">
        <w:t>stabilisieren. Weitere Tensidmoleküle aus der kontinuierlichen Phase können nicht schnell genug</w:t>
      </w:r>
      <w:r w:rsidR="00522C35">
        <w:t xml:space="preserve"> in die Phasengrenzfläche</w:t>
      </w:r>
      <w:r w:rsidR="00EB5277">
        <w:t xml:space="preserve"> nachwandern, um ein Zusammenfließen einiger Emulsionstropfen bzw. eine Aggregation von Partikeln</w:t>
      </w:r>
      <w:r w:rsidR="00522C35">
        <w:t xml:space="preserve"> zu verhindern. Um eine optimale Verteilung und Anreicherung des Stabilisators in der Phasengrenzfläche zu erreichen,</w:t>
      </w:r>
      <w:r w:rsidR="00EB5277">
        <w:t xml:space="preserve"> sind </w:t>
      </w:r>
      <w:r w:rsidR="00522C35">
        <w:t xml:space="preserve">aus diesem Grund </w:t>
      </w:r>
      <w:r w:rsidR="00EB5277">
        <w:t xml:space="preserve">stets mehrere Durchläufe der Dispersion </w:t>
      </w:r>
      <w:r>
        <w:t>durch das Gerät</w:t>
      </w:r>
      <w:r w:rsidR="00EB5277">
        <w:t xml:space="preserve"> notwendig.</w:t>
      </w:r>
    </w:p>
    <w:p w14:paraId="4FF40E49" w14:textId="77777777" w:rsidR="00E0609F" w:rsidRDefault="00B816D3" w:rsidP="00E0609F">
      <w:pPr>
        <w:pStyle w:val="berschrift3"/>
      </w:pPr>
      <w:bookmarkStart w:id="163" w:name="_Toc294380220"/>
      <w:r>
        <w:lastRenderedPageBreak/>
        <w:t>Steuerung der Partikelgröße bei der Doppelemulsionsmethode</w:t>
      </w:r>
      <w:bookmarkEnd w:id="163"/>
    </w:p>
    <w:p w14:paraId="60D4D604" w14:textId="77777777" w:rsidR="00313237" w:rsidRDefault="000B7996" w:rsidP="00DC56EA">
      <w:r>
        <w:t xml:space="preserve">Aus der Einleitung zu Kapitel </w:t>
      </w:r>
      <w:r w:rsidR="00D16240">
        <w:fldChar w:fldCharType="begin"/>
      </w:r>
      <w:r>
        <w:instrText xml:space="preserve"> REF _Ref272961474 \n \h </w:instrText>
      </w:r>
      <w:r w:rsidR="00D16240">
        <w:fldChar w:fldCharType="separate"/>
      </w:r>
      <w:r w:rsidR="00711AB8">
        <w:t>4</w:t>
      </w:r>
      <w:r w:rsidR="00D16240">
        <w:fldChar w:fldCharType="end"/>
      </w:r>
      <w:r w:rsidR="00522C35">
        <w:t xml:space="preserve"> geht klar hervor, dass </w:t>
      </w:r>
      <w:r>
        <w:t>eine exakte und reproduzierbare Einstel</w:t>
      </w:r>
      <w:r w:rsidR="00130DCC">
        <w:t>lung der Partikelgröße bei möglichst schmaler Partikelgrößenverteilung eine</w:t>
      </w:r>
      <w:r w:rsidR="00522C35">
        <w:t xml:space="preserve"> wesentl</w:t>
      </w:r>
      <w:r w:rsidR="00130DCC">
        <w:t>ich</w:t>
      </w:r>
      <w:r w:rsidR="00D13632">
        <w:t>e</w:t>
      </w:r>
      <w:r w:rsidR="00130DCC">
        <w:t xml:space="preserve"> Anforderung an die Herstellungsmethode</w:t>
      </w:r>
      <w:r w:rsidR="00522C35">
        <w:t xml:space="preserve"> von Nanopartikeln für</w:t>
      </w:r>
      <w:r w:rsidR="00130DCC">
        <w:t xml:space="preserve"> pharmazeutische Anwendungen darstellt</w:t>
      </w:r>
      <w:r w:rsidR="00313237">
        <w:t>. Im folgenden Abschnitt wurde</w:t>
      </w:r>
      <w:r>
        <w:t xml:space="preserve"> daher genauer untersucht, wie bei der Doppelemulsionsmethode die Partikelgröß</w:t>
      </w:r>
      <w:r w:rsidR="00B16C9E">
        <w:t>e zuverlässig eingestellt</w:t>
      </w:r>
      <w:r w:rsidR="00313237">
        <w:t xml:space="preserve"> werden kann.</w:t>
      </w:r>
    </w:p>
    <w:p w14:paraId="60234CF0" w14:textId="77777777" w:rsidR="00041C0E" w:rsidRDefault="00313237" w:rsidP="00DC56EA">
      <w:r>
        <w:t>Die resultierende Größe der fe</w:t>
      </w:r>
      <w:r w:rsidR="00EB5277">
        <w:t>sten Polymerpartikel ist bereits</w:t>
      </w:r>
      <w:r>
        <w:t xml:space="preserve"> durch die Tropfengröße der dispersen polymerhaltigen organischen Phase determiniert. Diese kann wiederum unmittelbar durch Auswahl</w:t>
      </w:r>
      <w:r w:rsidR="002D2E01">
        <w:t xml:space="preserve"> der Homogenisierungsmethode und</w:t>
      </w:r>
      <w:r>
        <w:t xml:space="preserve"> durch Variation der Prozessparameter bei der Homogenisierung</w:t>
      </w:r>
      <w:r w:rsidR="00721EE1">
        <w:t xml:space="preserve"> beeinflusst werden. </w:t>
      </w:r>
      <w:r w:rsidR="002D2E01">
        <w:t xml:space="preserve">Beim Microfluidizer sind dies der Arbeitsdruck und die Anzahl der Durchläufe. Da der Arbeitsdruck eine kontinuierliche Regelgröße darstellt, sollte dieser Faktor bei der Einstellung der Partikelgröße gegenüber der Variation der Durchläufe, die eine diskrete Regelgröße darstellt, vorgezogen werden. </w:t>
      </w:r>
      <w:r w:rsidR="00041C0E">
        <w:t xml:space="preserve">Außerdem dient das Durchlaufen mehrerer Zyklen wie bereits oben beschrieben dazu, dass die </w:t>
      </w:r>
      <w:r w:rsidR="0005011F">
        <w:t xml:space="preserve">zur Stabilisierung der Grenzfläche </w:t>
      </w:r>
      <w:r w:rsidR="00686346">
        <w:t>benötigten Tensidmoleküle</w:t>
      </w:r>
      <w:r w:rsidR="00041C0E">
        <w:t xml:space="preserve"> aus der kontinuierlic</w:t>
      </w:r>
      <w:r w:rsidR="0005011F">
        <w:t xml:space="preserve">hen Phase </w:t>
      </w:r>
      <w:r w:rsidR="00041C0E">
        <w:t>in di</w:t>
      </w:r>
      <w:r w:rsidR="00522C35">
        <w:t>e Grenzfläche einwandern und sich optimal verteilen können</w:t>
      </w:r>
      <w:r w:rsidR="00041C0E">
        <w:t xml:space="preserve">. Eine zu geringe Anzahl an Zyklen führt zu einer teilweisen </w:t>
      </w:r>
      <w:r w:rsidR="00522C35">
        <w:t>Koagulation oder Aggregation der dispersen Phase</w:t>
      </w:r>
      <w:r w:rsidR="00041C0E">
        <w:t xml:space="preserve"> und damit</w:t>
      </w:r>
      <w:r w:rsidR="00522C35">
        <w:t xml:space="preserve"> zu einem größeren mittleren Partikeldurchmesser</w:t>
      </w:r>
      <w:r w:rsidR="00D16240">
        <w:fldChar w:fldCharType="begin"/>
      </w:r>
      <w:r w:rsidR="00B5151F">
        <w:instrText xml:space="preserve"> NOTEREF _Ref282636364 \f \h </w:instrText>
      </w:r>
      <w:r w:rsidR="00D16240">
        <w:fldChar w:fldCharType="separate"/>
      </w:r>
      <w:r w:rsidR="00711AB8" w:rsidRPr="00711AB8">
        <w:rPr>
          <w:rStyle w:val="Endnotenzeichen"/>
        </w:rPr>
        <w:t>131</w:t>
      </w:r>
      <w:r w:rsidR="00D16240">
        <w:fldChar w:fldCharType="end"/>
      </w:r>
      <w:r w:rsidR="00522C35">
        <w:t>. Eine anteilige Aggregation von Partikeln geht jedoch stets auch mit einer</w:t>
      </w:r>
      <w:r w:rsidR="00041C0E">
        <w:t xml:space="preserve"> Erhöhung der Polydispersität</w:t>
      </w:r>
      <w:r w:rsidR="00522C35">
        <w:t xml:space="preserve"> einher, was nicht gewünscht ist.</w:t>
      </w:r>
      <w:r w:rsidR="00041C0E">
        <w:t xml:space="preserve"> </w:t>
      </w:r>
      <w:r w:rsidR="001D1029">
        <w:t>Aus diesem Grund stellt der Arbeitsdruck zweifelsfrei</w:t>
      </w:r>
      <w:r w:rsidR="00B16C9E">
        <w:t xml:space="preserve"> di</w:t>
      </w:r>
      <w:r w:rsidR="001D1029">
        <w:t>e optimale Regelgröße</w:t>
      </w:r>
      <w:r w:rsidR="00B16C9E">
        <w:t xml:space="preserve"> zur Steuer</w:t>
      </w:r>
      <w:r w:rsidR="001D1029">
        <w:t>ung der Partikelgröße mit dem Microfluidizer dar</w:t>
      </w:r>
      <w:r w:rsidR="00B16C9E">
        <w:t xml:space="preserve"> und eine Variation der </w:t>
      </w:r>
      <w:r w:rsidR="001D1029">
        <w:t xml:space="preserve">Anzahl an </w:t>
      </w:r>
      <w:r w:rsidR="00B16C9E">
        <w:t>Zyklen ist nicht</w:t>
      </w:r>
      <w:r w:rsidR="005A786D">
        <w:t xml:space="preserve"> empfehlenswer</w:t>
      </w:r>
      <w:r w:rsidR="00404053">
        <w:t>t. In der Fachliteratur schwankt die empfohlene Anzahl der Durchläufe zur</w:t>
      </w:r>
      <w:r w:rsidR="005A786D">
        <w:t xml:space="preserve"> Herstellung von PLGA Par</w:t>
      </w:r>
      <w:r w:rsidR="00404053">
        <w:t>tikeln mit einem Microfluidizer zwischen</w:t>
      </w:r>
      <w:r w:rsidR="00B16C9E">
        <w:t xml:space="preserve"> 3</w:t>
      </w:r>
      <w:bookmarkStart w:id="164" w:name="_Ref282636364"/>
      <w:r w:rsidR="00B16C9E">
        <w:rPr>
          <w:rStyle w:val="Endnotenzeichen"/>
        </w:rPr>
        <w:endnoteReference w:id="131"/>
      </w:r>
      <w:bookmarkEnd w:id="164"/>
      <w:r w:rsidR="00404053">
        <w:t xml:space="preserve"> </w:t>
      </w:r>
      <w:r w:rsidR="00B16C9E">
        <w:t xml:space="preserve">und </w:t>
      </w:r>
      <w:r w:rsidR="00404053">
        <w:t>25</w:t>
      </w:r>
      <w:r w:rsidR="00404053">
        <w:rPr>
          <w:rStyle w:val="Endnotenzeichen"/>
        </w:rPr>
        <w:endnoteReference w:id="132"/>
      </w:r>
      <w:r w:rsidR="00404053">
        <w:t>.</w:t>
      </w:r>
      <w:r w:rsidR="00B16C9E">
        <w:t xml:space="preserve"> Nach genauerem Studium der Literatur wurde die Anzahl der Zyklen auf 5 festgelegt und bei allen durchgeführten Versuchen konstant gehalten.</w:t>
      </w:r>
    </w:p>
    <w:p w14:paraId="454B8C32" w14:textId="77777777" w:rsidR="00721EE1" w:rsidRDefault="002D2E01" w:rsidP="00DC56EA">
      <w:r>
        <w:t>B</w:t>
      </w:r>
      <w:r w:rsidR="00721EE1">
        <w:t>eim Ultra-Turrax können Rotordrehzahl und Dispergierzeit variiert werden</w:t>
      </w:r>
      <w:r w:rsidR="00BC4FA7">
        <w:t>, um die Tropfengröße zu beeinflussen</w:t>
      </w:r>
      <w:r w:rsidR="00721EE1">
        <w:t>.</w:t>
      </w:r>
    </w:p>
    <w:p w14:paraId="7E4E4169" w14:textId="77777777" w:rsidR="00313237" w:rsidRDefault="0005011F" w:rsidP="00DC56EA">
      <w:r>
        <w:t xml:space="preserve">Die resultierende Partikelgröße wird außerdem durch die </w:t>
      </w:r>
      <w:r w:rsidR="00010BEE">
        <w:t>Stabilität der Emulsion</w:t>
      </w:r>
      <w:r w:rsidR="00313237">
        <w:t xml:space="preserve"> im direkten A</w:t>
      </w:r>
      <w:r>
        <w:t xml:space="preserve">nschluss an die Homogenisierung beeinflusst. Da diese unter anderem von der Konzentration der Stabilisatoren abhängt, ist davon auszugehen, dass </w:t>
      </w:r>
      <w:r w:rsidR="00686346">
        <w:t xml:space="preserve">die </w:t>
      </w:r>
      <w:r>
        <w:t>eingesetzte Menge an Stabilisator ebenfalls einen Einfluss auf die Partikelgröße hat</w:t>
      </w:r>
      <w:r w:rsidR="00313237">
        <w:t>.</w:t>
      </w:r>
      <w:r w:rsidR="00DD09A6">
        <w:t xml:space="preserve"> Der Einfluss dieses Parameters wurde bei beiden Homogenisierungsmethoden untersucht.</w:t>
      </w:r>
    </w:p>
    <w:p w14:paraId="1B3064E3" w14:textId="77777777" w:rsidR="00DC56EA" w:rsidRPr="00DC56EA" w:rsidRDefault="00313237" w:rsidP="00DC56EA">
      <w:r>
        <w:t xml:space="preserve">In Bezug auf die spätere Anwendung der Formulierung sind alle Bemühungen um eine exakte Einstellung der Partikelgröße jedoch nur dann zielführend, wenn bei weiteren Herstellungsschritten eine Aggregation der Primärpartikel oder eine anderweitig geschuldete </w:t>
      </w:r>
      <w:r>
        <w:lastRenderedPageBreak/>
        <w:t>Veränderung der Partikelgröße ausges</w:t>
      </w:r>
      <w:r w:rsidR="008C4B08">
        <w:t xml:space="preserve">chlossen wird. Daher wurden </w:t>
      </w:r>
      <w:r w:rsidR="00010BEE">
        <w:t xml:space="preserve">auch </w:t>
      </w:r>
      <w:r w:rsidR="008C4B08">
        <w:t>alle anschließenden</w:t>
      </w:r>
      <w:r w:rsidR="000B7996">
        <w:t xml:space="preserve"> Herstellungsschritte</w:t>
      </w:r>
      <w:r w:rsidR="008C4B08">
        <w:t xml:space="preserve"> hinsichtlich ihres Einflusses auf die Partikelgröße untersucht und optimiert.</w:t>
      </w:r>
    </w:p>
    <w:p w14:paraId="2A9B292A" w14:textId="77777777" w:rsidR="005C629B" w:rsidRDefault="005C629B" w:rsidP="005C629B">
      <w:pPr>
        <w:pStyle w:val="berschrift4"/>
      </w:pPr>
      <w:bookmarkStart w:id="165" w:name="_Toc294380221"/>
      <w:r>
        <w:t>Homogenis</w:t>
      </w:r>
      <w:r w:rsidR="000F6861">
        <w:t>ation</w:t>
      </w:r>
      <w:bookmarkEnd w:id="165"/>
    </w:p>
    <w:p w14:paraId="1D86FBCA" w14:textId="77777777" w:rsidR="00010BEE" w:rsidRPr="00AF0528" w:rsidRDefault="00CD3979" w:rsidP="00AF0528">
      <w:r>
        <w:t>Im folgenden Abs</w:t>
      </w:r>
      <w:r w:rsidR="006C1E1A">
        <w:t>chnitt wurde genauer untersucht,</w:t>
      </w:r>
      <w:r>
        <w:t xml:space="preserve"> wie durch Variation von</w:t>
      </w:r>
      <w:r w:rsidR="00DD09A6">
        <w:t xml:space="preserve"> ausgewählten</w:t>
      </w:r>
      <w:r>
        <w:t xml:space="preserve"> Prozesspa</w:t>
      </w:r>
      <w:r w:rsidR="000F6861">
        <w:t>rametern bei der Homogenisation</w:t>
      </w:r>
      <w:r>
        <w:t xml:space="preserve"> die Partikelgröße gezielt eingestellt werden kann. </w:t>
      </w:r>
      <w:r w:rsidR="00DD09A6">
        <w:t xml:space="preserve">Die </w:t>
      </w:r>
      <w:r w:rsidR="00010BEE">
        <w:t>Hoch</w:t>
      </w:r>
      <w:r w:rsidR="00721EE1">
        <w:t>druckhomogenisation</w:t>
      </w:r>
      <w:r w:rsidR="00DD09A6">
        <w:t xml:space="preserve"> wurde</w:t>
      </w:r>
      <w:r w:rsidR="00010BEE">
        <w:t xml:space="preserve"> </w:t>
      </w:r>
      <w:r w:rsidR="00491B58">
        <w:t xml:space="preserve">anschließend </w:t>
      </w:r>
      <w:r w:rsidR="00010BEE">
        <w:t xml:space="preserve">mit </w:t>
      </w:r>
      <w:r w:rsidR="00DD09A6">
        <w:t>der</w:t>
      </w:r>
      <w:r w:rsidR="00721EE1">
        <w:t xml:space="preserve"> </w:t>
      </w:r>
      <w:r w:rsidR="00DD09A6">
        <w:t>Rotor-Stator Homogenisierung als Standardmethode verglichen</w:t>
      </w:r>
      <w:r w:rsidR="00721EE1">
        <w:t>.</w:t>
      </w:r>
    </w:p>
    <w:p w14:paraId="5E762B74" w14:textId="77777777" w:rsidR="00C52C8B" w:rsidRPr="00DC56EA" w:rsidRDefault="00702BE5" w:rsidP="00C52C8B">
      <w:pPr>
        <w:pStyle w:val="berschrift5"/>
        <w:ind w:left="142"/>
        <w:rPr>
          <w:rFonts w:ascii="Times New Roman" w:hAnsi="Times New Roman" w:cs="Times New Roman"/>
          <w:color w:val="auto"/>
        </w:rPr>
      </w:pPr>
      <w:bookmarkStart w:id="166" w:name="_Toc294380222"/>
      <w:r w:rsidRPr="00DC56EA">
        <w:rPr>
          <w:rFonts w:ascii="Times New Roman" w:hAnsi="Times New Roman" w:cs="Times New Roman"/>
          <w:color w:val="auto"/>
        </w:rPr>
        <w:t>Hochdruckhomogenisation</w:t>
      </w:r>
      <w:r w:rsidR="005C629B" w:rsidRPr="00DC56EA">
        <w:rPr>
          <w:rFonts w:ascii="Times New Roman" w:hAnsi="Times New Roman" w:cs="Times New Roman"/>
          <w:color w:val="auto"/>
        </w:rPr>
        <w:t xml:space="preserve"> mit Microfluidizer</w:t>
      </w:r>
      <w:bookmarkEnd w:id="166"/>
    </w:p>
    <w:p w14:paraId="766DEE62" w14:textId="77777777" w:rsidR="00702BE5" w:rsidRDefault="00AF0528" w:rsidP="008701EF">
      <w:pPr>
        <w:pStyle w:val="Listenabsatz"/>
        <w:contextualSpacing w:val="0"/>
      </w:pPr>
      <w:r>
        <w:t>Nanopartikel aus Resomer</w:t>
      </w:r>
      <w:r w:rsidR="00702BE5" w:rsidRPr="00351F84">
        <w:rPr>
          <w:szCs w:val="24"/>
          <w:vertAlign w:val="superscript"/>
        </w:rPr>
        <w:sym w:font="Symbol" w:char="F0D2"/>
      </w:r>
      <w:r>
        <w:t xml:space="preserve"> RG 503 H wurden wie in Kapitel </w:t>
      </w:r>
      <w:r w:rsidR="00D16240">
        <w:fldChar w:fldCharType="begin"/>
      </w:r>
      <w:r>
        <w:instrText xml:space="preserve"> REF _Ref272427995 \n \h </w:instrText>
      </w:r>
      <w:r w:rsidR="00D16240">
        <w:fldChar w:fldCharType="separate"/>
      </w:r>
      <w:r w:rsidR="00711AB8">
        <w:t>4.1.1</w:t>
      </w:r>
      <w:r w:rsidR="00D16240">
        <w:fldChar w:fldCharType="end"/>
      </w:r>
      <w:r w:rsidR="00702BE5">
        <w:t xml:space="preserve"> </w:t>
      </w:r>
      <w:r w:rsidR="00407942">
        <w:t>im Abschnitt</w:t>
      </w:r>
      <w:r w:rsidR="00871935">
        <w:t xml:space="preserve"> </w:t>
      </w:r>
      <w:r w:rsidR="00871935" w:rsidRPr="00871935">
        <w:rPr>
          <w:i/>
        </w:rPr>
        <w:t>Doppelemulsionsmethode</w:t>
      </w:r>
      <w:r w:rsidR="00407942">
        <w:t xml:space="preserve"> beschrieben unter</w:t>
      </w:r>
      <w:r w:rsidR="00702BE5">
        <w:t xml:space="preserve"> Verwendung des</w:t>
      </w:r>
      <w:r>
        <w:t xml:space="preserve"> Microfluidizer</w:t>
      </w:r>
      <w:r w:rsidR="00702BE5">
        <w:t>s</w:t>
      </w:r>
      <w:r w:rsidR="0008253F">
        <w:t xml:space="preserve"> </w:t>
      </w:r>
      <w:r w:rsidR="008701EF">
        <w:t>hergestellt. Der Einfluss des Arbeitsdruckes und der PVA Konzentration auf die Partikelgröße wurde durch Variation dieser beiden Parameter untersucht. Dazu</w:t>
      </w:r>
      <w:r w:rsidR="00351F84">
        <w:t xml:space="preserve"> wurden 5 unterschiedliche</w:t>
      </w:r>
      <w:r w:rsidR="00C52C8B">
        <w:t xml:space="preserve"> PVA </w:t>
      </w:r>
      <w:r w:rsidR="00702BE5">
        <w:t>Konzentration</w:t>
      </w:r>
      <w:r w:rsidR="008701EF">
        <w:t>en</w:t>
      </w:r>
      <w:r w:rsidR="00702BE5">
        <w:t xml:space="preserve"> </w:t>
      </w:r>
      <w:r w:rsidR="00121746">
        <w:t xml:space="preserve">bei </w:t>
      </w:r>
      <w:r w:rsidR="00C813B8">
        <w:t>jeweils gleichem</w:t>
      </w:r>
      <w:r w:rsidR="00351F84">
        <w:t xml:space="preserve"> Arbeitsdruck von 1.000 bar </w:t>
      </w:r>
      <w:r w:rsidR="00C813B8">
        <w:t>und weitere 5</w:t>
      </w:r>
      <w:r w:rsidR="00121746">
        <w:t xml:space="preserve"> unterschiedliche Arbeitsdrücke bei </w:t>
      </w:r>
      <w:r w:rsidR="00C813B8">
        <w:t xml:space="preserve">jeweils </w:t>
      </w:r>
      <w:r w:rsidR="00121746">
        <w:t>konstanter P</w:t>
      </w:r>
      <w:r w:rsidR="00FC647B">
        <w:t xml:space="preserve">VA Konzentration von 0,8% </w:t>
      </w:r>
      <w:r w:rsidR="00351F84">
        <w:t xml:space="preserve">getestet. </w:t>
      </w:r>
      <w:r w:rsidR="008701EF">
        <w:t>Als Ergebnis wird der</w:t>
      </w:r>
      <w:r w:rsidR="00160F18">
        <w:t xml:space="preserve"> Mittelwert</w:t>
      </w:r>
      <w:r w:rsidR="008701EF">
        <w:t xml:space="preserve"> des mittleren Partikeldurchmessers</w:t>
      </w:r>
      <w:r w:rsidR="00160F18">
        <w:t xml:space="preserve"> aus </w:t>
      </w:r>
      <w:r w:rsidR="00CE012A">
        <w:t xml:space="preserve">je </w:t>
      </w:r>
      <w:r w:rsidR="00160F18">
        <w:t xml:space="preserve">drei </w:t>
      </w:r>
      <w:r w:rsidR="00CE012A">
        <w:t>Wiederholungen</w:t>
      </w:r>
      <w:r w:rsidR="00160F18">
        <w:t xml:space="preserve"> angegeben</w:t>
      </w:r>
      <w:r w:rsidR="00CE012A">
        <w:t xml:space="preserve"> (n=3)</w:t>
      </w:r>
      <w:r w:rsidR="00160F18">
        <w:t xml:space="preserve">. </w:t>
      </w:r>
      <w:r w:rsidR="00CE012A">
        <w:t>Die Partikelgrößenmessung erfolgte jeweils</w:t>
      </w:r>
      <w:r w:rsidR="008701EF">
        <w:t xml:space="preserve"> nach dem Abziehen des Lösungsmittels</w:t>
      </w:r>
      <w:r w:rsidR="00D13063">
        <w:t xml:space="preserve"> und dem Verdünnen mit destilliertem</w:t>
      </w:r>
      <w:r w:rsidR="00694612">
        <w:t xml:space="preserve"> Wasser</w:t>
      </w:r>
      <w:r w:rsidR="00CE012A">
        <w:t>.</w:t>
      </w:r>
      <w:r w:rsidR="008701EF">
        <w:t xml:space="preserve"> </w:t>
      </w:r>
      <w:r w:rsidR="00702BE5">
        <w:t xml:space="preserve">Die Ergebnisse wurden in </w:t>
      </w:r>
      <w:r w:rsidR="00D16240">
        <w:fldChar w:fldCharType="begin"/>
      </w:r>
      <w:r w:rsidR="00702BE5">
        <w:instrText xml:space="preserve"> REF _Ref272429592 \h </w:instrText>
      </w:r>
      <w:r w:rsidR="00D16240">
        <w:fldChar w:fldCharType="separate"/>
      </w:r>
      <w:r w:rsidR="00711AB8" w:rsidRPr="00E0609F">
        <w:t xml:space="preserve">Tabelle </w:t>
      </w:r>
      <w:r w:rsidR="00711AB8">
        <w:rPr>
          <w:noProof/>
        </w:rPr>
        <w:t>10</w:t>
      </w:r>
      <w:r w:rsidR="00D16240">
        <w:fldChar w:fldCharType="end"/>
      </w:r>
      <w:r w:rsidR="00FC19C7">
        <w:t xml:space="preserve"> </w:t>
      </w:r>
      <w:r w:rsidR="00702BE5">
        <w:t>zusammengefasst</w:t>
      </w:r>
      <w:r w:rsidR="00FC19C7">
        <w:t xml:space="preserve"> und in</w:t>
      </w:r>
      <w:r w:rsidR="00DB756E">
        <w:t xml:space="preserve"> den</w:t>
      </w:r>
      <w:r w:rsidR="00FC19C7">
        <w:t xml:space="preserve"> </w:t>
      </w:r>
      <w:r w:rsidR="00D16240">
        <w:fldChar w:fldCharType="begin"/>
      </w:r>
      <w:r w:rsidR="00FC19C7">
        <w:instrText xml:space="preserve"> REF _Ref272430162 \h </w:instrText>
      </w:r>
      <w:r w:rsidR="00D16240">
        <w:fldChar w:fldCharType="separate"/>
      </w:r>
      <w:r w:rsidR="00711AB8" w:rsidRPr="00D96B89">
        <w:t xml:space="preserve">Abbildung </w:t>
      </w:r>
      <w:r w:rsidR="00711AB8">
        <w:rPr>
          <w:noProof/>
        </w:rPr>
        <w:t>13</w:t>
      </w:r>
      <w:r w:rsidR="00D16240">
        <w:fldChar w:fldCharType="end"/>
      </w:r>
      <w:r w:rsidR="00121746">
        <w:t xml:space="preserve"> und </w:t>
      </w:r>
      <w:r w:rsidR="00D16240">
        <w:fldChar w:fldCharType="begin"/>
      </w:r>
      <w:r w:rsidR="00121746">
        <w:instrText xml:space="preserve"> REF _Ref398724381 \h </w:instrText>
      </w:r>
      <w:r w:rsidR="00D16240">
        <w:fldChar w:fldCharType="separate"/>
      </w:r>
      <w:r w:rsidR="00711AB8" w:rsidRPr="006A62BF">
        <w:t xml:space="preserve">Abbildung </w:t>
      </w:r>
      <w:r w:rsidR="00711AB8">
        <w:rPr>
          <w:noProof/>
        </w:rPr>
        <w:t>14</w:t>
      </w:r>
      <w:r w:rsidR="00D16240">
        <w:fldChar w:fldCharType="end"/>
      </w:r>
      <w:r w:rsidR="00FC19C7">
        <w:t xml:space="preserve"> grafisch aufgetragen</w:t>
      </w:r>
      <w:r w:rsidR="00702BE5">
        <w:t>.</w:t>
      </w:r>
      <w:r w:rsidR="00FC647B">
        <w:t xml:space="preserve"> Die Konzentrationsangaben für den Stabilisator in Prozent beziehen sich auf den Massenanteil von PVA an der Gesamtmasse der wässrigen </w:t>
      </w:r>
      <w:r w:rsidR="00407942" w:rsidRPr="00407942">
        <w:t>W</w:t>
      </w:r>
      <w:r w:rsidR="00407942" w:rsidRPr="00407942">
        <w:rPr>
          <w:vertAlign w:val="subscript"/>
        </w:rPr>
        <w:t>2</w:t>
      </w:r>
      <w:r w:rsidR="00407942">
        <w:t>-</w:t>
      </w:r>
      <w:r w:rsidR="00FC647B" w:rsidRPr="00407942">
        <w:t>Phase</w:t>
      </w:r>
      <w:r w:rsidR="00FC647B">
        <w:t>.</w:t>
      </w:r>
    </w:p>
    <w:p w14:paraId="725F1F5B" w14:textId="77777777" w:rsidR="00137F91" w:rsidRDefault="00137F91" w:rsidP="00137F91">
      <w:pPr>
        <w:pStyle w:val="Listenabsatz"/>
        <w:spacing w:after="0"/>
        <w:contextualSpacing w:val="0"/>
      </w:pPr>
    </w:p>
    <w:p w14:paraId="4642ECB4" w14:textId="77777777" w:rsidR="00A43F16" w:rsidRDefault="00A43F16" w:rsidP="00137F91">
      <w:pPr>
        <w:pStyle w:val="Listenabsatz"/>
        <w:spacing w:after="0"/>
        <w:contextualSpacing w:val="0"/>
      </w:pPr>
    </w:p>
    <w:p w14:paraId="107F9EF8" w14:textId="77777777" w:rsidR="00A43F16" w:rsidRDefault="00A43F16" w:rsidP="00137F91">
      <w:pPr>
        <w:pStyle w:val="Listenabsatz"/>
        <w:spacing w:after="0"/>
        <w:contextualSpacing w:val="0"/>
      </w:pPr>
    </w:p>
    <w:p w14:paraId="0B0240F3" w14:textId="77777777" w:rsidR="00A43F16" w:rsidRDefault="00A43F16" w:rsidP="00137F91">
      <w:pPr>
        <w:pStyle w:val="Listenabsatz"/>
        <w:spacing w:after="0"/>
        <w:contextualSpacing w:val="0"/>
      </w:pPr>
    </w:p>
    <w:p w14:paraId="70826E3C" w14:textId="77777777" w:rsidR="00A43F16" w:rsidRDefault="00A43F16" w:rsidP="00137F91">
      <w:pPr>
        <w:pStyle w:val="Listenabsatz"/>
        <w:spacing w:after="0"/>
        <w:contextualSpacing w:val="0"/>
      </w:pPr>
    </w:p>
    <w:p w14:paraId="56CBEA55" w14:textId="77777777" w:rsidR="00A43F16" w:rsidRDefault="00A43F16" w:rsidP="00C17D11">
      <w:pPr>
        <w:spacing w:after="0"/>
      </w:pPr>
    </w:p>
    <w:p w14:paraId="67E9A681" w14:textId="77777777" w:rsidR="00C17D11" w:rsidRDefault="00C17D11" w:rsidP="00C17D11">
      <w:pPr>
        <w:spacing w:after="0"/>
      </w:pPr>
    </w:p>
    <w:p w14:paraId="09A584B9" w14:textId="77777777" w:rsidR="00C17D11" w:rsidRDefault="00C17D11" w:rsidP="00C17D11">
      <w:pPr>
        <w:spacing w:after="0"/>
      </w:pPr>
    </w:p>
    <w:p w14:paraId="2DE1693A" w14:textId="77777777" w:rsidR="00C17D11" w:rsidRDefault="00C17D11" w:rsidP="00C17D11">
      <w:pPr>
        <w:spacing w:after="0"/>
      </w:pPr>
    </w:p>
    <w:p w14:paraId="3B8E9C81" w14:textId="77777777" w:rsidR="00C17D11" w:rsidRDefault="00C17D11" w:rsidP="00C17D11">
      <w:pPr>
        <w:spacing w:after="0"/>
      </w:pPr>
    </w:p>
    <w:p w14:paraId="6916D0CF" w14:textId="77777777" w:rsidR="00C17D11" w:rsidRDefault="00C17D11" w:rsidP="00C17D11">
      <w:pPr>
        <w:spacing w:after="0"/>
      </w:pPr>
    </w:p>
    <w:p w14:paraId="2B558E23" w14:textId="77777777" w:rsidR="00A43F16" w:rsidRPr="00FC647B" w:rsidRDefault="00A43F16" w:rsidP="00137F91">
      <w:pPr>
        <w:pStyle w:val="Listenabsatz"/>
        <w:spacing w:after="0"/>
        <w:contextualSpacing w:val="0"/>
      </w:pPr>
    </w:p>
    <w:p w14:paraId="0C3A8EA3" w14:textId="77777777" w:rsidR="00E0609F" w:rsidRPr="00E0609F" w:rsidRDefault="00E0609F" w:rsidP="001856C4">
      <w:pPr>
        <w:pStyle w:val="Beschriftung"/>
        <w:spacing w:after="120"/>
        <w:ind w:left="709" w:firstLine="0"/>
        <w:contextualSpacing/>
        <w:rPr>
          <w:b w:val="0"/>
        </w:rPr>
      </w:pPr>
      <w:bookmarkStart w:id="167" w:name="_Ref272429592"/>
      <w:r w:rsidRPr="00E0609F">
        <w:lastRenderedPageBreak/>
        <w:t xml:space="preserve">Tabelle </w:t>
      </w:r>
      <w:fldSimple w:instr=" SEQ Tabelle \* ARABIC ">
        <w:r w:rsidR="00711AB8">
          <w:rPr>
            <w:noProof/>
          </w:rPr>
          <w:t>10</w:t>
        </w:r>
      </w:fldSimple>
      <w:bookmarkEnd w:id="167"/>
      <w:r>
        <w:t xml:space="preserve"> </w:t>
      </w:r>
      <w:r w:rsidRPr="00E0609F">
        <w:rPr>
          <w:b w:val="0"/>
        </w:rPr>
        <w:t>Homo</w:t>
      </w:r>
      <w:r>
        <w:rPr>
          <w:b w:val="0"/>
        </w:rPr>
        <w:t>genisierung mit</w:t>
      </w:r>
      <w:r w:rsidR="00CE012A">
        <w:rPr>
          <w:b w:val="0"/>
        </w:rPr>
        <w:t xml:space="preserve"> dem</w:t>
      </w:r>
      <w:r>
        <w:rPr>
          <w:b w:val="0"/>
        </w:rPr>
        <w:t xml:space="preserve"> Microfluidiz</w:t>
      </w:r>
      <w:r w:rsidR="007305A6">
        <w:rPr>
          <w:b w:val="0"/>
        </w:rPr>
        <w:t>er; DLS Partikelgrößenmessungen:</w:t>
      </w:r>
      <w:r>
        <w:rPr>
          <w:b w:val="0"/>
        </w:rPr>
        <w:t xml:space="preserve"> Mittlerer Partikeldurchmesser i</w:t>
      </w:r>
      <w:r w:rsidR="006B7349">
        <w:rPr>
          <w:b w:val="0"/>
        </w:rPr>
        <w:t>n Abhängigkeit von</w:t>
      </w:r>
      <w:r>
        <w:rPr>
          <w:b w:val="0"/>
        </w:rPr>
        <w:t xml:space="preserve"> </w:t>
      </w:r>
      <w:r w:rsidR="006B7349">
        <w:rPr>
          <w:b w:val="0"/>
        </w:rPr>
        <w:t xml:space="preserve">Arbeitsdruck und PVA </w:t>
      </w:r>
      <w:r w:rsidR="00351F84">
        <w:rPr>
          <w:b w:val="0"/>
        </w:rPr>
        <w:t>Konzentration</w:t>
      </w:r>
      <w:r w:rsidR="00AF0528">
        <w:rPr>
          <w:b w:val="0"/>
        </w:rPr>
        <w:t>;</w:t>
      </w:r>
      <w:r w:rsidR="006A62BF">
        <w:rPr>
          <w:b w:val="0"/>
        </w:rPr>
        <w:t xml:space="preserve"> Mittelwert</w:t>
      </w:r>
      <w:r w:rsidR="005C629B">
        <w:rPr>
          <w:b w:val="0"/>
        </w:rPr>
        <w:t xml:space="preserve"> aus drei unabhängigen Versuchen (n=3)</w:t>
      </w:r>
      <w:r w:rsidR="00146597">
        <w:rPr>
          <w:b w:val="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2" w:type="dxa"/>
          <w:right w:w="142" w:type="dxa"/>
        </w:tblCellMar>
        <w:tblLook w:val="01E0" w:firstRow="1" w:lastRow="1" w:firstColumn="1" w:lastColumn="1" w:noHBand="0" w:noVBand="0"/>
      </w:tblPr>
      <w:tblGrid>
        <w:gridCol w:w="1797"/>
        <w:gridCol w:w="2337"/>
        <w:gridCol w:w="3679"/>
      </w:tblGrid>
      <w:tr w:rsidR="00E0609F" w:rsidRPr="00E0609F" w14:paraId="19918F70" w14:textId="77777777" w:rsidTr="00C17D11">
        <w:trPr>
          <w:trHeight w:val="567"/>
          <w:jc w:val="center"/>
        </w:trPr>
        <w:tc>
          <w:tcPr>
            <w:tcW w:w="1797" w:type="dxa"/>
            <w:tcBorders>
              <w:top w:val="single" w:sz="8" w:space="0" w:color="auto"/>
              <w:left w:val="single" w:sz="8" w:space="0" w:color="auto"/>
              <w:bottom w:val="single" w:sz="8" w:space="0" w:color="auto"/>
              <w:right w:val="single" w:sz="8" w:space="0" w:color="auto"/>
            </w:tcBorders>
            <w:shd w:val="clear" w:color="auto" w:fill="E6E6E6"/>
            <w:vAlign w:val="center"/>
          </w:tcPr>
          <w:p w14:paraId="3D7EC65A" w14:textId="77777777" w:rsidR="00E0609F" w:rsidRPr="00E13043" w:rsidRDefault="00E0609F" w:rsidP="00491B58">
            <w:pPr>
              <w:spacing w:after="0" w:line="276" w:lineRule="auto"/>
              <w:jc w:val="center"/>
              <w:rPr>
                <w:rFonts w:cs="Times New Roman"/>
                <w:b/>
                <w:sz w:val="20"/>
                <w:szCs w:val="20"/>
              </w:rPr>
            </w:pPr>
            <w:r w:rsidRPr="00E13043">
              <w:rPr>
                <w:rFonts w:cs="Times New Roman"/>
                <w:b/>
                <w:sz w:val="20"/>
                <w:szCs w:val="20"/>
              </w:rPr>
              <w:t>PVA Konz. [%]</w:t>
            </w:r>
          </w:p>
        </w:tc>
        <w:tc>
          <w:tcPr>
            <w:tcW w:w="2337" w:type="dxa"/>
            <w:tcBorders>
              <w:top w:val="single" w:sz="8" w:space="0" w:color="auto"/>
              <w:left w:val="single" w:sz="8" w:space="0" w:color="auto"/>
              <w:bottom w:val="single" w:sz="8" w:space="0" w:color="auto"/>
              <w:right w:val="single" w:sz="8" w:space="0" w:color="auto"/>
            </w:tcBorders>
            <w:shd w:val="clear" w:color="auto" w:fill="E6E6E6"/>
            <w:vAlign w:val="center"/>
          </w:tcPr>
          <w:p w14:paraId="438C3AF2" w14:textId="77777777" w:rsidR="00E0609F" w:rsidRPr="00E13043" w:rsidRDefault="00E0609F" w:rsidP="00491B58">
            <w:pPr>
              <w:spacing w:after="0" w:line="276" w:lineRule="auto"/>
              <w:jc w:val="center"/>
              <w:rPr>
                <w:rFonts w:cs="Times New Roman"/>
                <w:b/>
                <w:sz w:val="20"/>
                <w:szCs w:val="20"/>
              </w:rPr>
            </w:pPr>
            <w:r w:rsidRPr="00E13043">
              <w:rPr>
                <w:rFonts w:cs="Times New Roman"/>
                <w:b/>
                <w:sz w:val="20"/>
                <w:szCs w:val="20"/>
              </w:rPr>
              <w:t>Arbeitsdruck [bar]</w:t>
            </w:r>
          </w:p>
        </w:tc>
        <w:tc>
          <w:tcPr>
            <w:tcW w:w="3679" w:type="dxa"/>
            <w:tcBorders>
              <w:top w:val="single" w:sz="8" w:space="0" w:color="auto"/>
              <w:left w:val="single" w:sz="8" w:space="0" w:color="auto"/>
              <w:bottom w:val="single" w:sz="8" w:space="0" w:color="auto"/>
              <w:right w:val="single" w:sz="8" w:space="0" w:color="auto"/>
            </w:tcBorders>
            <w:shd w:val="clear" w:color="auto" w:fill="E6E6E6"/>
            <w:vAlign w:val="center"/>
          </w:tcPr>
          <w:p w14:paraId="75BE1DFE" w14:textId="77777777" w:rsidR="00E0609F" w:rsidRPr="00E13043" w:rsidRDefault="00E0609F" w:rsidP="00491B58">
            <w:pPr>
              <w:spacing w:after="0" w:line="276" w:lineRule="auto"/>
              <w:jc w:val="center"/>
              <w:rPr>
                <w:rFonts w:cs="Times New Roman"/>
                <w:b/>
                <w:sz w:val="20"/>
                <w:szCs w:val="20"/>
              </w:rPr>
            </w:pPr>
            <w:r w:rsidRPr="00E13043">
              <w:rPr>
                <w:rFonts w:cs="Times New Roman"/>
                <w:b/>
                <w:sz w:val="20"/>
                <w:szCs w:val="20"/>
              </w:rPr>
              <w:t>Mittlere</w:t>
            </w:r>
            <w:r w:rsidR="00BE0E04">
              <w:rPr>
                <w:rFonts w:cs="Times New Roman"/>
                <w:b/>
                <w:sz w:val="20"/>
                <w:szCs w:val="20"/>
              </w:rPr>
              <w:t>r Partikeldurchmesser [nm] (Standardabweichung [nm]</w:t>
            </w:r>
            <w:r w:rsidRPr="00E13043">
              <w:rPr>
                <w:rFonts w:cs="Times New Roman"/>
                <w:b/>
                <w:sz w:val="20"/>
                <w:szCs w:val="20"/>
              </w:rPr>
              <w:t>)</w:t>
            </w:r>
          </w:p>
        </w:tc>
      </w:tr>
      <w:tr w:rsidR="00E0609F" w:rsidRPr="00E0609F" w14:paraId="7C4E546C" w14:textId="77777777" w:rsidTr="007D2B29">
        <w:trPr>
          <w:trHeight w:val="340"/>
          <w:jc w:val="center"/>
        </w:trPr>
        <w:tc>
          <w:tcPr>
            <w:tcW w:w="1797" w:type="dxa"/>
            <w:tcBorders>
              <w:top w:val="single" w:sz="8" w:space="0" w:color="auto"/>
              <w:left w:val="single" w:sz="8" w:space="0" w:color="auto"/>
            </w:tcBorders>
            <w:shd w:val="clear" w:color="auto" w:fill="auto"/>
            <w:vAlign w:val="center"/>
          </w:tcPr>
          <w:p w14:paraId="00388067" w14:textId="77777777" w:rsidR="00E0609F" w:rsidRPr="00E13043" w:rsidRDefault="00E0609F" w:rsidP="00491B58">
            <w:pPr>
              <w:spacing w:after="0" w:line="276" w:lineRule="auto"/>
              <w:jc w:val="center"/>
              <w:rPr>
                <w:rFonts w:cs="Times New Roman"/>
                <w:sz w:val="18"/>
                <w:szCs w:val="18"/>
              </w:rPr>
            </w:pPr>
            <w:r w:rsidRPr="00E13043">
              <w:rPr>
                <w:rFonts w:cs="Times New Roman"/>
                <w:sz w:val="18"/>
                <w:szCs w:val="18"/>
              </w:rPr>
              <w:t>2,5</w:t>
            </w:r>
          </w:p>
        </w:tc>
        <w:tc>
          <w:tcPr>
            <w:tcW w:w="2337" w:type="dxa"/>
            <w:tcBorders>
              <w:top w:val="single" w:sz="8" w:space="0" w:color="auto"/>
            </w:tcBorders>
            <w:shd w:val="clear" w:color="auto" w:fill="auto"/>
            <w:vAlign w:val="center"/>
          </w:tcPr>
          <w:p w14:paraId="12A29230" w14:textId="77777777" w:rsidR="00E0609F" w:rsidRPr="00E13043" w:rsidRDefault="00E0609F" w:rsidP="00491B58">
            <w:pPr>
              <w:spacing w:after="0" w:line="276" w:lineRule="auto"/>
              <w:jc w:val="center"/>
              <w:rPr>
                <w:rFonts w:cs="Times New Roman"/>
                <w:sz w:val="18"/>
                <w:szCs w:val="18"/>
              </w:rPr>
            </w:pPr>
            <w:r w:rsidRPr="00E13043">
              <w:rPr>
                <w:rFonts w:cs="Times New Roman"/>
                <w:sz w:val="18"/>
                <w:szCs w:val="18"/>
              </w:rPr>
              <w:t>1000</w:t>
            </w:r>
          </w:p>
        </w:tc>
        <w:tc>
          <w:tcPr>
            <w:tcW w:w="3679" w:type="dxa"/>
            <w:tcBorders>
              <w:top w:val="single" w:sz="8" w:space="0" w:color="auto"/>
              <w:right w:val="single" w:sz="8" w:space="0" w:color="auto"/>
            </w:tcBorders>
            <w:shd w:val="clear" w:color="auto" w:fill="auto"/>
            <w:vAlign w:val="center"/>
          </w:tcPr>
          <w:p w14:paraId="01CEF9B5" w14:textId="77777777" w:rsidR="00E0609F" w:rsidRPr="00E13043" w:rsidRDefault="00E0609F" w:rsidP="00491B58">
            <w:pPr>
              <w:spacing w:after="0" w:line="276" w:lineRule="auto"/>
              <w:jc w:val="center"/>
              <w:rPr>
                <w:rFonts w:cs="Times New Roman"/>
                <w:sz w:val="18"/>
                <w:szCs w:val="18"/>
              </w:rPr>
            </w:pPr>
            <w:r w:rsidRPr="00E13043">
              <w:rPr>
                <w:rFonts w:cs="Times New Roman"/>
                <w:sz w:val="18"/>
                <w:szCs w:val="18"/>
              </w:rPr>
              <w:t>125 (8,3)</w:t>
            </w:r>
          </w:p>
        </w:tc>
      </w:tr>
      <w:tr w:rsidR="00E0609F" w:rsidRPr="00E0609F" w14:paraId="18F08614" w14:textId="77777777" w:rsidTr="007D2B29">
        <w:trPr>
          <w:trHeight w:val="340"/>
          <w:jc w:val="center"/>
        </w:trPr>
        <w:tc>
          <w:tcPr>
            <w:tcW w:w="1797" w:type="dxa"/>
            <w:tcBorders>
              <w:left w:val="single" w:sz="8" w:space="0" w:color="auto"/>
            </w:tcBorders>
            <w:shd w:val="clear" w:color="auto" w:fill="auto"/>
            <w:vAlign w:val="center"/>
          </w:tcPr>
          <w:p w14:paraId="6409A40F" w14:textId="77777777" w:rsidR="00E0609F" w:rsidRPr="00E13043" w:rsidRDefault="00E0609F" w:rsidP="00491B58">
            <w:pPr>
              <w:spacing w:after="0" w:line="276" w:lineRule="auto"/>
              <w:jc w:val="center"/>
              <w:rPr>
                <w:rFonts w:cs="Times New Roman"/>
                <w:sz w:val="18"/>
                <w:szCs w:val="18"/>
              </w:rPr>
            </w:pPr>
            <w:r w:rsidRPr="00E13043">
              <w:rPr>
                <w:rFonts w:cs="Times New Roman"/>
                <w:sz w:val="18"/>
                <w:szCs w:val="18"/>
              </w:rPr>
              <w:t>0,8</w:t>
            </w:r>
          </w:p>
        </w:tc>
        <w:tc>
          <w:tcPr>
            <w:tcW w:w="2337" w:type="dxa"/>
            <w:shd w:val="clear" w:color="auto" w:fill="auto"/>
            <w:vAlign w:val="center"/>
          </w:tcPr>
          <w:p w14:paraId="60E7BAEC" w14:textId="77777777" w:rsidR="00E0609F" w:rsidRPr="00E13043" w:rsidRDefault="00E0609F" w:rsidP="00491B58">
            <w:pPr>
              <w:spacing w:after="0" w:line="276" w:lineRule="auto"/>
              <w:jc w:val="center"/>
              <w:rPr>
                <w:rFonts w:cs="Times New Roman"/>
                <w:sz w:val="18"/>
                <w:szCs w:val="18"/>
              </w:rPr>
            </w:pPr>
            <w:r w:rsidRPr="00E13043">
              <w:rPr>
                <w:rFonts w:cs="Times New Roman"/>
                <w:sz w:val="18"/>
                <w:szCs w:val="18"/>
              </w:rPr>
              <w:t>1000</w:t>
            </w:r>
          </w:p>
        </w:tc>
        <w:tc>
          <w:tcPr>
            <w:tcW w:w="3679" w:type="dxa"/>
            <w:tcBorders>
              <w:right w:val="single" w:sz="8" w:space="0" w:color="auto"/>
            </w:tcBorders>
            <w:shd w:val="clear" w:color="auto" w:fill="auto"/>
            <w:vAlign w:val="center"/>
          </w:tcPr>
          <w:p w14:paraId="34FAEA05" w14:textId="77777777" w:rsidR="00E0609F" w:rsidRPr="00E13043" w:rsidRDefault="00E0609F" w:rsidP="00491B58">
            <w:pPr>
              <w:spacing w:after="0" w:line="276" w:lineRule="auto"/>
              <w:jc w:val="center"/>
              <w:rPr>
                <w:rFonts w:cs="Times New Roman"/>
                <w:sz w:val="18"/>
                <w:szCs w:val="18"/>
              </w:rPr>
            </w:pPr>
            <w:r w:rsidRPr="00E13043">
              <w:rPr>
                <w:rFonts w:cs="Times New Roman"/>
                <w:sz w:val="18"/>
                <w:szCs w:val="18"/>
              </w:rPr>
              <w:t>126 (11,3)</w:t>
            </w:r>
          </w:p>
        </w:tc>
      </w:tr>
      <w:tr w:rsidR="00E0609F" w:rsidRPr="00E0609F" w14:paraId="5F71B095" w14:textId="77777777" w:rsidTr="007D2B29">
        <w:trPr>
          <w:trHeight w:val="340"/>
          <w:jc w:val="center"/>
        </w:trPr>
        <w:tc>
          <w:tcPr>
            <w:tcW w:w="1797" w:type="dxa"/>
            <w:tcBorders>
              <w:left w:val="single" w:sz="8" w:space="0" w:color="auto"/>
            </w:tcBorders>
            <w:shd w:val="clear" w:color="auto" w:fill="auto"/>
            <w:vAlign w:val="center"/>
          </w:tcPr>
          <w:p w14:paraId="5E5472F3" w14:textId="77777777" w:rsidR="00E0609F" w:rsidRPr="00E13043" w:rsidRDefault="00E0609F" w:rsidP="00491B58">
            <w:pPr>
              <w:spacing w:after="0" w:line="276" w:lineRule="auto"/>
              <w:jc w:val="center"/>
              <w:rPr>
                <w:rFonts w:cs="Times New Roman"/>
                <w:sz w:val="18"/>
                <w:szCs w:val="18"/>
              </w:rPr>
            </w:pPr>
            <w:r w:rsidRPr="00E13043">
              <w:rPr>
                <w:rFonts w:cs="Times New Roman"/>
                <w:sz w:val="18"/>
                <w:szCs w:val="18"/>
              </w:rPr>
              <w:t>0,5</w:t>
            </w:r>
          </w:p>
        </w:tc>
        <w:tc>
          <w:tcPr>
            <w:tcW w:w="2337" w:type="dxa"/>
            <w:shd w:val="clear" w:color="auto" w:fill="auto"/>
            <w:vAlign w:val="center"/>
          </w:tcPr>
          <w:p w14:paraId="68CAAB44" w14:textId="77777777" w:rsidR="00E0609F" w:rsidRPr="00E13043" w:rsidRDefault="00E0609F" w:rsidP="00491B58">
            <w:pPr>
              <w:spacing w:after="0" w:line="276" w:lineRule="auto"/>
              <w:jc w:val="center"/>
              <w:rPr>
                <w:rFonts w:cs="Times New Roman"/>
                <w:sz w:val="18"/>
                <w:szCs w:val="18"/>
              </w:rPr>
            </w:pPr>
            <w:r w:rsidRPr="00E13043">
              <w:rPr>
                <w:rFonts w:cs="Times New Roman"/>
                <w:sz w:val="18"/>
                <w:szCs w:val="18"/>
              </w:rPr>
              <w:t>1000</w:t>
            </w:r>
          </w:p>
        </w:tc>
        <w:tc>
          <w:tcPr>
            <w:tcW w:w="3679" w:type="dxa"/>
            <w:tcBorders>
              <w:right w:val="single" w:sz="8" w:space="0" w:color="auto"/>
            </w:tcBorders>
            <w:shd w:val="clear" w:color="auto" w:fill="auto"/>
            <w:vAlign w:val="center"/>
          </w:tcPr>
          <w:p w14:paraId="42194B7C" w14:textId="77777777" w:rsidR="00E0609F" w:rsidRPr="00E13043" w:rsidRDefault="00E0609F" w:rsidP="00491B58">
            <w:pPr>
              <w:spacing w:after="0" w:line="276" w:lineRule="auto"/>
              <w:jc w:val="center"/>
              <w:rPr>
                <w:rFonts w:cs="Times New Roman"/>
                <w:sz w:val="18"/>
                <w:szCs w:val="18"/>
              </w:rPr>
            </w:pPr>
            <w:r w:rsidRPr="00E13043">
              <w:rPr>
                <w:rFonts w:cs="Times New Roman"/>
                <w:sz w:val="18"/>
                <w:szCs w:val="18"/>
              </w:rPr>
              <w:t>176 (18,6)</w:t>
            </w:r>
          </w:p>
        </w:tc>
      </w:tr>
      <w:tr w:rsidR="00E0609F" w:rsidRPr="00E0609F" w14:paraId="2D97E34F" w14:textId="77777777" w:rsidTr="007D2B29">
        <w:trPr>
          <w:trHeight w:val="340"/>
          <w:jc w:val="center"/>
        </w:trPr>
        <w:tc>
          <w:tcPr>
            <w:tcW w:w="1797" w:type="dxa"/>
            <w:tcBorders>
              <w:left w:val="single" w:sz="8" w:space="0" w:color="auto"/>
            </w:tcBorders>
            <w:shd w:val="clear" w:color="auto" w:fill="auto"/>
            <w:vAlign w:val="center"/>
          </w:tcPr>
          <w:p w14:paraId="27902A7C" w14:textId="77777777" w:rsidR="00E0609F" w:rsidRPr="00E13043" w:rsidRDefault="00E0609F" w:rsidP="00491B58">
            <w:pPr>
              <w:spacing w:after="0" w:line="276" w:lineRule="auto"/>
              <w:jc w:val="center"/>
              <w:rPr>
                <w:rFonts w:cs="Times New Roman"/>
                <w:sz w:val="18"/>
                <w:szCs w:val="18"/>
              </w:rPr>
            </w:pPr>
            <w:r w:rsidRPr="00E13043">
              <w:rPr>
                <w:rFonts w:cs="Times New Roman"/>
                <w:sz w:val="18"/>
                <w:szCs w:val="18"/>
              </w:rPr>
              <w:t>0,3</w:t>
            </w:r>
          </w:p>
        </w:tc>
        <w:tc>
          <w:tcPr>
            <w:tcW w:w="2337" w:type="dxa"/>
            <w:shd w:val="clear" w:color="auto" w:fill="auto"/>
            <w:vAlign w:val="center"/>
          </w:tcPr>
          <w:p w14:paraId="60BA8F2B" w14:textId="77777777" w:rsidR="00E0609F" w:rsidRPr="00E13043" w:rsidRDefault="00E0609F" w:rsidP="00491B58">
            <w:pPr>
              <w:spacing w:after="0" w:line="276" w:lineRule="auto"/>
              <w:jc w:val="center"/>
              <w:rPr>
                <w:rFonts w:cs="Times New Roman"/>
                <w:sz w:val="18"/>
                <w:szCs w:val="18"/>
              </w:rPr>
            </w:pPr>
            <w:r w:rsidRPr="00E13043">
              <w:rPr>
                <w:rFonts w:cs="Times New Roman"/>
                <w:sz w:val="18"/>
                <w:szCs w:val="18"/>
              </w:rPr>
              <w:t>1000</w:t>
            </w:r>
          </w:p>
        </w:tc>
        <w:tc>
          <w:tcPr>
            <w:tcW w:w="3679" w:type="dxa"/>
            <w:tcBorders>
              <w:right w:val="single" w:sz="8" w:space="0" w:color="auto"/>
            </w:tcBorders>
            <w:shd w:val="clear" w:color="auto" w:fill="auto"/>
            <w:vAlign w:val="center"/>
          </w:tcPr>
          <w:p w14:paraId="70134055" w14:textId="77777777" w:rsidR="00E0609F" w:rsidRPr="00E13043" w:rsidRDefault="00E0609F" w:rsidP="00491B58">
            <w:pPr>
              <w:spacing w:after="0" w:line="276" w:lineRule="auto"/>
              <w:jc w:val="center"/>
              <w:rPr>
                <w:rFonts w:cs="Times New Roman"/>
                <w:sz w:val="18"/>
                <w:szCs w:val="18"/>
              </w:rPr>
            </w:pPr>
            <w:r w:rsidRPr="00E13043">
              <w:rPr>
                <w:rFonts w:cs="Times New Roman"/>
                <w:sz w:val="18"/>
                <w:szCs w:val="18"/>
              </w:rPr>
              <w:t>230</w:t>
            </w:r>
            <w:r w:rsidR="00B064B3" w:rsidRPr="00E13043">
              <w:rPr>
                <w:rFonts w:cs="Times New Roman"/>
                <w:sz w:val="18"/>
                <w:szCs w:val="18"/>
              </w:rPr>
              <w:t xml:space="preserve"> (20,4</w:t>
            </w:r>
            <w:r w:rsidRPr="00E13043">
              <w:rPr>
                <w:rFonts w:cs="Times New Roman"/>
                <w:sz w:val="18"/>
                <w:szCs w:val="18"/>
              </w:rPr>
              <w:t>)</w:t>
            </w:r>
          </w:p>
        </w:tc>
      </w:tr>
      <w:tr w:rsidR="00E0609F" w:rsidRPr="00E0609F" w14:paraId="4088491C" w14:textId="77777777" w:rsidTr="007D2B29">
        <w:trPr>
          <w:trHeight w:val="340"/>
          <w:jc w:val="center"/>
        </w:trPr>
        <w:tc>
          <w:tcPr>
            <w:tcW w:w="1797" w:type="dxa"/>
            <w:tcBorders>
              <w:left w:val="single" w:sz="8" w:space="0" w:color="auto"/>
            </w:tcBorders>
            <w:shd w:val="clear" w:color="auto" w:fill="auto"/>
            <w:vAlign w:val="center"/>
          </w:tcPr>
          <w:p w14:paraId="36F80CDD" w14:textId="77777777" w:rsidR="00E0609F" w:rsidRPr="00E13043" w:rsidRDefault="00E0609F" w:rsidP="00491B58">
            <w:pPr>
              <w:spacing w:after="0" w:line="276" w:lineRule="auto"/>
              <w:jc w:val="center"/>
              <w:rPr>
                <w:rFonts w:cs="Times New Roman"/>
                <w:sz w:val="18"/>
                <w:szCs w:val="18"/>
              </w:rPr>
            </w:pPr>
            <w:r w:rsidRPr="00E13043">
              <w:rPr>
                <w:rFonts w:cs="Times New Roman"/>
                <w:sz w:val="18"/>
                <w:szCs w:val="18"/>
              </w:rPr>
              <w:t>0,1</w:t>
            </w:r>
          </w:p>
        </w:tc>
        <w:tc>
          <w:tcPr>
            <w:tcW w:w="2337" w:type="dxa"/>
            <w:shd w:val="clear" w:color="auto" w:fill="auto"/>
            <w:vAlign w:val="center"/>
          </w:tcPr>
          <w:p w14:paraId="651258D8" w14:textId="77777777" w:rsidR="00E0609F" w:rsidRPr="00E13043" w:rsidRDefault="00E0609F" w:rsidP="00491B58">
            <w:pPr>
              <w:spacing w:after="0" w:line="276" w:lineRule="auto"/>
              <w:jc w:val="center"/>
              <w:rPr>
                <w:rFonts w:cs="Times New Roman"/>
                <w:sz w:val="18"/>
                <w:szCs w:val="18"/>
              </w:rPr>
            </w:pPr>
            <w:r w:rsidRPr="00E13043">
              <w:rPr>
                <w:rFonts w:cs="Times New Roman"/>
                <w:sz w:val="18"/>
                <w:szCs w:val="18"/>
              </w:rPr>
              <w:t>1000</w:t>
            </w:r>
          </w:p>
        </w:tc>
        <w:tc>
          <w:tcPr>
            <w:tcW w:w="3679" w:type="dxa"/>
            <w:tcBorders>
              <w:right w:val="single" w:sz="8" w:space="0" w:color="auto"/>
            </w:tcBorders>
            <w:shd w:val="clear" w:color="auto" w:fill="auto"/>
            <w:vAlign w:val="center"/>
          </w:tcPr>
          <w:p w14:paraId="0BE73927" w14:textId="77777777" w:rsidR="00E0609F" w:rsidRPr="00E13043" w:rsidRDefault="00E0609F" w:rsidP="00491B58">
            <w:pPr>
              <w:spacing w:after="0" w:line="276" w:lineRule="auto"/>
              <w:jc w:val="center"/>
              <w:rPr>
                <w:rFonts w:cs="Times New Roman"/>
                <w:sz w:val="18"/>
                <w:szCs w:val="18"/>
              </w:rPr>
            </w:pPr>
            <w:r w:rsidRPr="00E13043">
              <w:rPr>
                <w:rFonts w:cs="Times New Roman"/>
                <w:sz w:val="18"/>
                <w:szCs w:val="18"/>
              </w:rPr>
              <w:t>430</w:t>
            </w:r>
            <w:r w:rsidR="009336B3" w:rsidRPr="00E13043">
              <w:rPr>
                <w:rFonts w:cs="Times New Roman"/>
                <w:sz w:val="18"/>
                <w:szCs w:val="18"/>
              </w:rPr>
              <w:t xml:space="preserve"> (14</w:t>
            </w:r>
            <w:r w:rsidRPr="00E13043">
              <w:rPr>
                <w:rFonts w:cs="Times New Roman"/>
                <w:sz w:val="18"/>
                <w:szCs w:val="18"/>
              </w:rPr>
              <w:t>,</w:t>
            </w:r>
            <w:r w:rsidR="00B064B3" w:rsidRPr="00E13043">
              <w:rPr>
                <w:rFonts w:cs="Times New Roman"/>
                <w:sz w:val="18"/>
                <w:szCs w:val="18"/>
              </w:rPr>
              <w:t>6</w:t>
            </w:r>
            <w:r w:rsidRPr="00E13043">
              <w:rPr>
                <w:rFonts w:cs="Times New Roman"/>
                <w:sz w:val="18"/>
                <w:szCs w:val="18"/>
              </w:rPr>
              <w:t>)</w:t>
            </w:r>
          </w:p>
        </w:tc>
      </w:tr>
      <w:tr w:rsidR="006B7349" w:rsidRPr="00E0609F" w14:paraId="6DB28919" w14:textId="77777777" w:rsidTr="007D2B29">
        <w:trPr>
          <w:trHeight w:val="340"/>
          <w:jc w:val="center"/>
        </w:trPr>
        <w:tc>
          <w:tcPr>
            <w:tcW w:w="1797" w:type="dxa"/>
            <w:tcBorders>
              <w:left w:val="single" w:sz="8" w:space="0" w:color="auto"/>
            </w:tcBorders>
            <w:shd w:val="clear" w:color="auto" w:fill="auto"/>
            <w:vAlign w:val="center"/>
          </w:tcPr>
          <w:p w14:paraId="47699D00" w14:textId="77777777" w:rsidR="006B7349" w:rsidRPr="00E13043" w:rsidRDefault="006B7349" w:rsidP="00491B58">
            <w:pPr>
              <w:spacing w:after="0" w:line="276" w:lineRule="auto"/>
              <w:jc w:val="center"/>
              <w:rPr>
                <w:rFonts w:cs="Times New Roman"/>
                <w:sz w:val="18"/>
                <w:szCs w:val="18"/>
              </w:rPr>
            </w:pPr>
            <w:r w:rsidRPr="00E13043">
              <w:rPr>
                <w:sz w:val="18"/>
                <w:szCs w:val="18"/>
                <w:lang w:val="en-US"/>
              </w:rPr>
              <w:t>0,8</w:t>
            </w:r>
          </w:p>
        </w:tc>
        <w:tc>
          <w:tcPr>
            <w:tcW w:w="2337" w:type="dxa"/>
            <w:shd w:val="clear" w:color="auto" w:fill="auto"/>
            <w:vAlign w:val="center"/>
          </w:tcPr>
          <w:p w14:paraId="39B8DD12" w14:textId="77777777" w:rsidR="006B7349" w:rsidRPr="00E13043" w:rsidRDefault="006B7349" w:rsidP="00491B58">
            <w:pPr>
              <w:spacing w:after="0" w:line="276" w:lineRule="auto"/>
              <w:jc w:val="center"/>
              <w:rPr>
                <w:rFonts w:cs="Times New Roman"/>
                <w:sz w:val="18"/>
                <w:szCs w:val="18"/>
              </w:rPr>
            </w:pPr>
            <w:r w:rsidRPr="00E13043">
              <w:rPr>
                <w:sz w:val="18"/>
                <w:szCs w:val="18"/>
                <w:lang w:val="en-US"/>
              </w:rPr>
              <w:t>250</w:t>
            </w:r>
          </w:p>
        </w:tc>
        <w:tc>
          <w:tcPr>
            <w:tcW w:w="3679" w:type="dxa"/>
            <w:tcBorders>
              <w:right w:val="single" w:sz="8" w:space="0" w:color="auto"/>
            </w:tcBorders>
            <w:shd w:val="clear" w:color="auto" w:fill="auto"/>
            <w:vAlign w:val="center"/>
          </w:tcPr>
          <w:p w14:paraId="0405CDBD" w14:textId="77777777" w:rsidR="006B7349" w:rsidRPr="00E13043" w:rsidRDefault="006B7349" w:rsidP="00491B58">
            <w:pPr>
              <w:spacing w:after="0" w:line="276" w:lineRule="auto"/>
              <w:jc w:val="center"/>
              <w:rPr>
                <w:rFonts w:cs="Times New Roman"/>
                <w:sz w:val="18"/>
                <w:szCs w:val="18"/>
              </w:rPr>
            </w:pPr>
            <w:r w:rsidRPr="00E13043">
              <w:rPr>
                <w:sz w:val="18"/>
                <w:szCs w:val="18"/>
                <w:lang w:val="en-US"/>
              </w:rPr>
              <w:t>171 (16,</w:t>
            </w:r>
            <w:r w:rsidR="009336B3" w:rsidRPr="00E13043">
              <w:rPr>
                <w:sz w:val="18"/>
                <w:szCs w:val="18"/>
                <w:lang w:val="en-US"/>
              </w:rPr>
              <w:t>7</w:t>
            </w:r>
            <w:r w:rsidRPr="00E13043">
              <w:rPr>
                <w:sz w:val="18"/>
                <w:szCs w:val="18"/>
                <w:lang w:val="en-US"/>
              </w:rPr>
              <w:t>)</w:t>
            </w:r>
          </w:p>
        </w:tc>
      </w:tr>
      <w:tr w:rsidR="006B7349" w:rsidRPr="00E0609F" w14:paraId="1DEE5D1D" w14:textId="77777777" w:rsidTr="007D2B29">
        <w:trPr>
          <w:trHeight w:val="340"/>
          <w:jc w:val="center"/>
        </w:trPr>
        <w:tc>
          <w:tcPr>
            <w:tcW w:w="1797" w:type="dxa"/>
            <w:tcBorders>
              <w:left w:val="single" w:sz="8" w:space="0" w:color="auto"/>
            </w:tcBorders>
            <w:shd w:val="clear" w:color="auto" w:fill="auto"/>
            <w:vAlign w:val="center"/>
          </w:tcPr>
          <w:p w14:paraId="7542822F" w14:textId="77777777" w:rsidR="006B7349" w:rsidRPr="00E13043" w:rsidRDefault="006B7349" w:rsidP="00491B58">
            <w:pPr>
              <w:spacing w:after="0" w:line="276" w:lineRule="auto"/>
              <w:jc w:val="center"/>
              <w:rPr>
                <w:rFonts w:cs="Times New Roman"/>
                <w:sz w:val="18"/>
                <w:szCs w:val="18"/>
              </w:rPr>
            </w:pPr>
            <w:r w:rsidRPr="00E13043">
              <w:rPr>
                <w:sz w:val="18"/>
                <w:szCs w:val="18"/>
                <w:lang w:val="en-US"/>
              </w:rPr>
              <w:t>0,8</w:t>
            </w:r>
          </w:p>
        </w:tc>
        <w:tc>
          <w:tcPr>
            <w:tcW w:w="2337" w:type="dxa"/>
            <w:shd w:val="clear" w:color="auto" w:fill="auto"/>
            <w:vAlign w:val="center"/>
          </w:tcPr>
          <w:p w14:paraId="138939E4" w14:textId="77777777" w:rsidR="006B7349" w:rsidRPr="00E13043" w:rsidRDefault="006B7349" w:rsidP="00491B58">
            <w:pPr>
              <w:spacing w:after="0" w:line="276" w:lineRule="auto"/>
              <w:jc w:val="center"/>
              <w:rPr>
                <w:rFonts w:cs="Times New Roman"/>
                <w:sz w:val="18"/>
                <w:szCs w:val="18"/>
              </w:rPr>
            </w:pPr>
            <w:r w:rsidRPr="00E13043">
              <w:rPr>
                <w:sz w:val="18"/>
                <w:szCs w:val="18"/>
                <w:lang w:val="en-US"/>
              </w:rPr>
              <w:t>500</w:t>
            </w:r>
          </w:p>
        </w:tc>
        <w:tc>
          <w:tcPr>
            <w:tcW w:w="3679" w:type="dxa"/>
            <w:tcBorders>
              <w:right w:val="single" w:sz="8" w:space="0" w:color="auto"/>
            </w:tcBorders>
            <w:shd w:val="clear" w:color="auto" w:fill="auto"/>
            <w:vAlign w:val="center"/>
          </w:tcPr>
          <w:p w14:paraId="127E9A33" w14:textId="77777777" w:rsidR="006B7349" w:rsidRPr="00E13043" w:rsidRDefault="006B7349" w:rsidP="00491B58">
            <w:pPr>
              <w:spacing w:after="0" w:line="276" w:lineRule="auto"/>
              <w:jc w:val="center"/>
              <w:rPr>
                <w:rFonts w:cs="Times New Roman"/>
                <w:sz w:val="18"/>
                <w:szCs w:val="18"/>
              </w:rPr>
            </w:pPr>
            <w:r w:rsidRPr="00E13043">
              <w:rPr>
                <w:sz w:val="18"/>
                <w:szCs w:val="18"/>
                <w:lang w:val="en-US"/>
              </w:rPr>
              <w:t>148 (12,8)</w:t>
            </w:r>
          </w:p>
        </w:tc>
      </w:tr>
      <w:tr w:rsidR="006B7349" w:rsidRPr="00E0609F" w14:paraId="627BA79B" w14:textId="77777777" w:rsidTr="007D2B29">
        <w:trPr>
          <w:trHeight w:val="340"/>
          <w:jc w:val="center"/>
        </w:trPr>
        <w:tc>
          <w:tcPr>
            <w:tcW w:w="1797" w:type="dxa"/>
            <w:tcBorders>
              <w:left w:val="single" w:sz="8" w:space="0" w:color="auto"/>
            </w:tcBorders>
            <w:shd w:val="clear" w:color="auto" w:fill="auto"/>
            <w:vAlign w:val="center"/>
          </w:tcPr>
          <w:p w14:paraId="5C76D90E" w14:textId="77777777" w:rsidR="006B7349" w:rsidRPr="00E13043" w:rsidRDefault="006B7349" w:rsidP="00491B58">
            <w:pPr>
              <w:spacing w:after="0" w:line="276" w:lineRule="auto"/>
              <w:jc w:val="center"/>
              <w:rPr>
                <w:rFonts w:cs="Times New Roman"/>
                <w:sz w:val="18"/>
                <w:szCs w:val="18"/>
              </w:rPr>
            </w:pPr>
            <w:r w:rsidRPr="00E13043">
              <w:rPr>
                <w:sz w:val="18"/>
                <w:szCs w:val="18"/>
                <w:lang w:val="en-US"/>
              </w:rPr>
              <w:t>0,8</w:t>
            </w:r>
          </w:p>
        </w:tc>
        <w:tc>
          <w:tcPr>
            <w:tcW w:w="2337" w:type="dxa"/>
            <w:shd w:val="clear" w:color="auto" w:fill="auto"/>
            <w:vAlign w:val="center"/>
          </w:tcPr>
          <w:p w14:paraId="5671DEC7" w14:textId="77777777" w:rsidR="006B7349" w:rsidRPr="00E13043" w:rsidRDefault="006B7349" w:rsidP="00491B58">
            <w:pPr>
              <w:spacing w:after="0" w:line="276" w:lineRule="auto"/>
              <w:jc w:val="center"/>
              <w:rPr>
                <w:rFonts w:cs="Times New Roman"/>
                <w:sz w:val="18"/>
                <w:szCs w:val="18"/>
              </w:rPr>
            </w:pPr>
            <w:r w:rsidRPr="00E13043">
              <w:rPr>
                <w:sz w:val="18"/>
                <w:szCs w:val="18"/>
                <w:lang w:val="en-US"/>
              </w:rPr>
              <w:t>750</w:t>
            </w:r>
          </w:p>
        </w:tc>
        <w:tc>
          <w:tcPr>
            <w:tcW w:w="3679" w:type="dxa"/>
            <w:tcBorders>
              <w:right w:val="single" w:sz="8" w:space="0" w:color="auto"/>
            </w:tcBorders>
            <w:shd w:val="clear" w:color="auto" w:fill="auto"/>
            <w:vAlign w:val="center"/>
          </w:tcPr>
          <w:p w14:paraId="697C5953" w14:textId="77777777" w:rsidR="006B7349" w:rsidRPr="00E13043" w:rsidRDefault="006B7349" w:rsidP="00491B58">
            <w:pPr>
              <w:spacing w:after="0" w:line="276" w:lineRule="auto"/>
              <w:jc w:val="center"/>
              <w:rPr>
                <w:rFonts w:cs="Times New Roman"/>
                <w:sz w:val="18"/>
                <w:szCs w:val="18"/>
              </w:rPr>
            </w:pPr>
            <w:r w:rsidRPr="00E13043">
              <w:rPr>
                <w:sz w:val="18"/>
                <w:szCs w:val="18"/>
                <w:lang w:val="en-US"/>
              </w:rPr>
              <w:t>135 (10,8)</w:t>
            </w:r>
          </w:p>
        </w:tc>
      </w:tr>
      <w:tr w:rsidR="006B7349" w:rsidRPr="00E0609F" w14:paraId="6D3A0D7F" w14:textId="77777777" w:rsidTr="007D2B29">
        <w:trPr>
          <w:trHeight w:val="340"/>
          <w:jc w:val="center"/>
        </w:trPr>
        <w:tc>
          <w:tcPr>
            <w:tcW w:w="1797" w:type="dxa"/>
            <w:tcBorders>
              <w:left w:val="single" w:sz="8" w:space="0" w:color="auto"/>
            </w:tcBorders>
            <w:shd w:val="clear" w:color="auto" w:fill="auto"/>
            <w:vAlign w:val="center"/>
          </w:tcPr>
          <w:p w14:paraId="3CD9D913" w14:textId="77777777" w:rsidR="006B7349" w:rsidRPr="00E13043" w:rsidRDefault="006B7349" w:rsidP="00491B58">
            <w:pPr>
              <w:spacing w:after="0" w:line="276" w:lineRule="auto"/>
              <w:jc w:val="center"/>
              <w:rPr>
                <w:rFonts w:cs="Times New Roman"/>
                <w:sz w:val="18"/>
                <w:szCs w:val="18"/>
              </w:rPr>
            </w:pPr>
            <w:r w:rsidRPr="00E13043">
              <w:rPr>
                <w:sz w:val="18"/>
                <w:szCs w:val="18"/>
                <w:lang w:val="en-US"/>
              </w:rPr>
              <w:t>0,8</w:t>
            </w:r>
          </w:p>
        </w:tc>
        <w:tc>
          <w:tcPr>
            <w:tcW w:w="2337" w:type="dxa"/>
            <w:shd w:val="clear" w:color="auto" w:fill="auto"/>
            <w:vAlign w:val="center"/>
          </w:tcPr>
          <w:p w14:paraId="0C6979BC" w14:textId="77777777" w:rsidR="006B7349" w:rsidRPr="00E13043" w:rsidRDefault="006B7349" w:rsidP="00491B58">
            <w:pPr>
              <w:spacing w:after="0" w:line="276" w:lineRule="auto"/>
              <w:jc w:val="center"/>
              <w:rPr>
                <w:rFonts w:cs="Times New Roman"/>
                <w:sz w:val="18"/>
                <w:szCs w:val="18"/>
              </w:rPr>
            </w:pPr>
            <w:r w:rsidRPr="00E13043">
              <w:rPr>
                <w:sz w:val="18"/>
                <w:szCs w:val="18"/>
                <w:lang w:val="en-US"/>
              </w:rPr>
              <w:t>1250</w:t>
            </w:r>
          </w:p>
        </w:tc>
        <w:tc>
          <w:tcPr>
            <w:tcW w:w="3679" w:type="dxa"/>
            <w:tcBorders>
              <w:right w:val="single" w:sz="8" w:space="0" w:color="auto"/>
            </w:tcBorders>
            <w:shd w:val="clear" w:color="auto" w:fill="auto"/>
            <w:vAlign w:val="center"/>
          </w:tcPr>
          <w:p w14:paraId="456FCDE1" w14:textId="77777777" w:rsidR="006B7349" w:rsidRPr="00E13043" w:rsidRDefault="006B7349" w:rsidP="00491B58">
            <w:pPr>
              <w:spacing w:after="0" w:line="276" w:lineRule="auto"/>
              <w:jc w:val="center"/>
              <w:rPr>
                <w:rFonts w:cs="Times New Roman"/>
                <w:sz w:val="18"/>
                <w:szCs w:val="18"/>
              </w:rPr>
            </w:pPr>
            <w:r w:rsidRPr="00E13043">
              <w:rPr>
                <w:sz w:val="18"/>
                <w:szCs w:val="18"/>
                <w:lang w:val="en-US"/>
              </w:rPr>
              <w:t>111 (10,6)</w:t>
            </w:r>
          </w:p>
        </w:tc>
      </w:tr>
      <w:tr w:rsidR="006B7349" w:rsidRPr="00E0609F" w14:paraId="143FB6CF" w14:textId="77777777" w:rsidTr="007D2B29">
        <w:trPr>
          <w:trHeight w:val="340"/>
          <w:jc w:val="center"/>
        </w:trPr>
        <w:tc>
          <w:tcPr>
            <w:tcW w:w="1797" w:type="dxa"/>
            <w:tcBorders>
              <w:left w:val="single" w:sz="8" w:space="0" w:color="auto"/>
              <w:bottom w:val="single" w:sz="8" w:space="0" w:color="auto"/>
            </w:tcBorders>
            <w:shd w:val="clear" w:color="auto" w:fill="auto"/>
            <w:vAlign w:val="center"/>
          </w:tcPr>
          <w:p w14:paraId="6724BC64" w14:textId="77777777" w:rsidR="006B7349" w:rsidRPr="00E13043" w:rsidRDefault="006B7349" w:rsidP="00491B58">
            <w:pPr>
              <w:spacing w:after="0" w:line="276" w:lineRule="auto"/>
              <w:jc w:val="center"/>
              <w:rPr>
                <w:rFonts w:cs="Times New Roman"/>
                <w:sz w:val="18"/>
                <w:szCs w:val="18"/>
              </w:rPr>
            </w:pPr>
            <w:r w:rsidRPr="00E13043">
              <w:rPr>
                <w:sz w:val="18"/>
                <w:szCs w:val="18"/>
                <w:lang w:val="en-US"/>
              </w:rPr>
              <w:t>0,8</w:t>
            </w:r>
          </w:p>
        </w:tc>
        <w:tc>
          <w:tcPr>
            <w:tcW w:w="2337" w:type="dxa"/>
            <w:tcBorders>
              <w:bottom w:val="single" w:sz="8" w:space="0" w:color="auto"/>
            </w:tcBorders>
            <w:shd w:val="clear" w:color="auto" w:fill="auto"/>
            <w:vAlign w:val="center"/>
          </w:tcPr>
          <w:p w14:paraId="075C40E4" w14:textId="77777777" w:rsidR="006B7349" w:rsidRPr="00E13043" w:rsidRDefault="006B7349" w:rsidP="00491B58">
            <w:pPr>
              <w:spacing w:after="0" w:line="276" w:lineRule="auto"/>
              <w:jc w:val="center"/>
              <w:rPr>
                <w:rFonts w:cs="Times New Roman"/>
                <w:sz w:val="18"/>
                <w:szCs w:val="18"/>
              </w:rPr>
            </w:pPr>
            <w:r w:rsidRPr="00E13043">
              <w:rPr>
                <w:sz w:val="18"/>
                <w:szCs w:val="18"/>
                <w:lang w:val="en-US"/>
              </w:rPr>
              <w:t>1500</w:t>
            </w:r>
          </w:p>
        </w:tc>
        <w:tc>
          <w:tcPr>
            <w:tcW w:w="3679" w:type="dxa"/>
            <w:tcBorders>
              <w:bottom w:val="single" w:sz="8" w:space="0" w:color="auto"/>
              <w:right w:val="single" w:sz="8" w:space="0" w:color="auto"/>
            </w:tcBorders>
            <w:shd w:val="clear" w:color="auto" w:fill="auto"/>
            <w:vAlign w:val="center"/>
          </w:tcPr>
          <w:p w14:paraId="79322844" w14:textId="77777777" w:rsidR="006B7349" w:rsidRPr="00E13043" w:rsidRDefault="006B7349" w:rsidP="00491B58">
            <w:pPr>
              <w:spacing w:after="0" w:line="276" w:lineRule="auto"/>
              <w:jc w:val="center"/>
              <w:rPr>
                <w:rFonts w:cs="Times New Roman"/>
                <w:sz w:val="18"/>
                <w:szCs w:val="18"/>
              </w:rPr>
            </w:pPr>
            <w:r w:rsidRPr="00E13043">
              <w:rPr>
                <w:sz w:val="18"/>
                <w:szCs w:val="18"/>
                <w:lang w:val="en-US"/>
              </w:rPr>
              <w:t>105 (8,4)</w:t>
            </w:r>
          </w:p>
        </w:tc>
      </w:tr>
    </w:tbl>
    <w:p w14:paraId="6B54F1A6" w14:textId="77777777" w:rsidR="004877C9" w:rsidRDefault="00491B58" w:rsidP="00FC19C7">
      <w:pPr>
        <w:spacing w:after="120"/>
      </w:pPr>
      <w:r>
        <w:tab/>
      </w:r>
    </w:p>
    <w:p w14:paraId="34C74DF7" w14:textId="77777777" w:rsidR="00702BE5" w:rsidRDefault="00746DAF" w:rsidP="009336B3">
      <w:pPr>
        <w:ind w:left="709"/>
      </w:pPr>
      <w:r>
        <w:t>Unter Verwendung des Microflu</w:t>
      </w:r>
      <w:r w:rsidR="00A43F16">
        <w:t>idizers zur Homogenisierung lag</w:t>
      </w:r>
      <w:r>
        <w:t xml:space="preserve"> der mittlere Partikeldurchmesser in Abhängigkeit von der PVA Konzentration und dem Arbeitsdruck zwischen 105 nm und 430 nm. Die mittle</w:t>
      </w:r>
      <w:r w:rsidR="00B064B3">
        <w:t>r</w:t>
      </w:r>
      <w:r w:rsidR="00A43F16">
        <w:t>e Standardabweichung betrug</w:t>
      </w:r>
      <w:r w:rsidR="00B064B3">
        <w:t xml:space="preserve"> 14,1</w:t>
      </w:r>
      <w:r>
        <w:t> nm (</w:t>
      </w:r>
      <w:r w:rsidRPr="00FB142B">
        <w:t>±</w:t>
      </w:r>
      <w:r w:rsidR="00B064B3">
        <w:t>4,9</w:t>
      </w:r>
      <w:r>
        <w:t xml:space="preserve"> nm) und der durchschnittliche Polydispersitätsindex (PDI) der </w:t>
      </w:r>
      <w:r w:rsidR="00A43F16">
        <w:t>Partikelgrößenverteilung betrug</w:t>
      </w:r>
      <w:r>
        <w:t xml:space="preserve"> 0,018 (</w:t>
      </w:r>
      <w:r w:rsidRPr="00FB142B">
        <w:t>±</w:t>
      </w:r>
      <w:r>
        <w:t>0,008).</w:t>
      </w:r>
      <w:r w:rsidR="006B0BF4">
        <w:t xml:space="preserve"> </w:t>
      </w:r>
      <w:r w:rsidR="000B367D">
        <w:t>Der PDI war stets</w:t>
      </w:r>
      <w:r w:rsidR="002743A5">
        <w:t xml:space="preserve"> kleiner als 0,03</w:t>
      </w:r>
      <w:r w:rsidR="000B367D">
        <w:t>. Daher wurde auf eine Angabe der Werte zu jedem einzelnen Versuch verzichtet.</w:t>
      </w:r>
    </w:p>
    <w:p w14:paraId="5D06BC7E" w14:textId="77777777" w:rsidR="00EC1E06" w:rsidRDefault="00940F4F" w:rsidP="00007689">
      <w:pPr>
        <w:spacing w:after="0" w:line="240" w:lineRule="auto"/>
        <w:ind w:left="709"/>
      </w:pPr>
      <w:r>
        <w:rPr>
          <w:noProof/>
          <w:lang w:eastAsia="de-DE"/>
        </w:rPr>
        <w:drawing>
          <wp:inline distT="0" distB="0" distL="0" distR="0" wp14:anchorId="0615BA1C" wp14:editId="0A917BFF">
            <wp:extent cx="5264150" cy="3428902"/>
            <wp:effectExtent l="0" t="0" r="0" b="635"/>
            <wp:docPr id="17509" name="Diagramm 175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67A1DB7" w14:textId="77777777" w:rsidR="00D96B89" w:rsidRDefault="00D96B89" w:rsidP="001856C4">
      <w:pPr>
        <w:pStyle w:val="Beschriftung"/>
        <w:ind w:left="708" w:firstLine="0"/>
        <w:rPr>
          <w:b w:val="0"/>
        </w:rPr>
      </w:pPr>
      <w:bookmarkStart w:id="168" w:name="_Ref272430162"/>
      <w:r w:rsidRPr="00D96B89">
        <w:t xml:space="preserve">Abbildung </w:t>
      </w:r>
      <w:fldSimple w:instr=" SEQ Abbildung \* ARABIC ">
        <w:r w:rsidR="00711AB8">
          <w:rPr>
            <w:noProof/>
          </w:rPr>
          <w:t>13</w:t>
        </w:r>
      </w:fldSimple>
      <w:bookmarkEnd w:id="168"/>
      <w:r>
        <w:t xml:space="preserve"> </w:t>
      </w:r>
      <w:r>
        <w:rPr>
          <w:b w:val="0"/>
        </w:rPr>
        <w:t xml:space="preserve">Homogenisierung mit Microfluidizer; </w:t>
      </w:r>
      <w:r w:rsidR="00FC19C7">
        <w:rPr>
          <w:b w:val="0"/>
        </w:rPr>
        <w:t xml:space="preserve">DLS Partikelgrößenmessungen: </w:t>
      </w:r>
      <w:r w:rsidR="006A62BF">
        <w:rPr>
          <w:b w:val="0"/>
        </w:rPr>
        <w:t>Auftragung m</w:t>
      </w:r>
      <w:r>
        <w:rPr>
          <w:b w:val="0"/>
        </w:rPr>
        <w:t>ittlerer Partikeldurchmesser in Abhängigkeit von der PVA Konzentration</w:t>
      </w:r>
      <w:r w:rsidR="001B07B5">
        <w:rPr>
          <w:b w:val="0"/>
        </w:rPr>
        <w:t>; Arbeitsdruck</w:t>
      </w:r>
      <w:r w:rsidR="00DB756E">
        <w:rPr>
          <w:b w:val="0"/>
        </w:rPr>
        <w:t xml:space="preserve"> konstant</w:t>
      </w:r>
      <w:r w:rsidR="001B07B5">
        <w:rPr>
          <w:b w:val="0"/>
        </w:rPr>
        <w:t xml:space="preserve"> 1.000 bar</w:t>
      </w:r>
      <w:r w:rsidR="00146597">
        <w:rPr>
          <w:b w:val="0"/>
        </w:rPr>
        <w:t>.</w:t>
      </w:r>
    </w:p>
    <w:p w14:paraId="75D2DD8E" w14:textId="77777777" w:rsidR="00007689" w:rsidRDefault="00007689" w:rsidP="00007689">
      <w:pPr>
        <w:spacing w:after="0"/>
        <w:ind w:left="709"/>
      </w:pPr>
    </w:p>
    <w:p w14:paraId="358A75E4" w14:textId="77777777" w:rsidR="009336B3" w:rsidRDefault="00753DF0" w:rsidP="009336B3">
      <w:pPr>
        <w:spacing w:after="0"/>
        <w:ind w:left="709"/>
      </w:pPr>
      <w:r>
        <w:lastRenderedPageBreak/>
        <w:t>Im Bereich zwischen 0,1% und 0,8% wirkt</w:t>
      </w:r>
      <w:r w:rsidR="001856C4">
        <w:t>e</w:t>
      </w:r>
      <w:r>
        <w:t xml:space="preserve"> sich eine </w:t>
      </w:r>
      <w:r w:rsidR="00C813B8">
        <w:t>Änderung der PVA Konzentration deutl</w:t>
      </w:r>
      <w:r w:rsidR="00CE012A">
        <w:t>ich au</w:t>
      </w:r>
      <w:r w:rsidR="00407942">
        <w:t>f die Partikelgröße aus, wohingegen</w:t>
      </w:r>
      <w:r w:rsidR="00CE012A">
        <w:t xml:space="preserve"> e</w:t>
      </w:r>
      <w:r w:rsidR="00C813B8">
        <w:t>ine Erhöh</w:t>
      </w:r>
      <w:r w:rsidR="00CE012A">
        <w:t>ung von 0,8% auf 2,5% keine signifikante Verringerung der Partikelgröße</w:t>
      </w:r>
      <w:r w:rsidR="00F808DF">
        <w:t xml:space="preserve"> mehr</w:t>
      </w:r>
      <w:r w:rsidR="00CE012A">
        <w:t xml:space="preserve"> bewirkt</w:t>
      </w:r>
      <w:r w:rsidR="001856C4">
        <w:t>e</w:t>
      </w:r>
      <w:r w:rsidR="00DB756E">
        <w:t xml:space="preserve"> (siehe </w:t>
      </w:r>
      <w:r w:rsidR="00D16240">
        <w:fldChar w:fldCharType="begin"/>
      </w:r>
      <w:r w:rsidR="00DB756E">
        <w:instrText xml:space="preserve"> REF _Ref272430162 \h </w:instrText>
      </w:r>
      <w:r w:rsidR="00D16240">
        <w:fldChar w:fldCharType="separate"/>
      </w:r>
      <w:r w:rsidR="00711AB8" w:rsidRPr="00D96B89">
        <w:t xml:space="preserve">Abbildung </w:t>
      </w:r>
      <w:r w:rsidR="00711AB8">
        <w:rPr>
          <w:noProof/>
        </w:rPr>
        <w:t>13</w:t>
      </w:r>
      <w:r w:rsidR="00D16240">
        <w:fldChar w:fldCharType="end"/>
      </w:r>
      <w:r w:rsidR="00DB756E">
        <w:t>)</w:t>
      </w:r>
      <w:r w:rsidR="00A778DE">
        <w:t>.</w:t>
      </w:r>
      <w:r w:rsidR="00FC647B">
        <w:t xml:space="preserve"> </w:t>
      </w:r>
      <w:r w:rsidR="00152921">
        <w:t>Die Ab</w:t>
      </w:r>
      <w:r w:rsidR="001856C4">
        <w:t>hängigkeit der Partikelgröße y von der PVA Konzentration x</w:t>
      </w:r>
      <w:r w:rsidR="00152921">
        <w:t xml:space="preserve"> lässt sich für den Bereich von 0,1% bis 0,8% sehr gut mit der Potenzfunktion </w:t>
      </w:r>
    </w:p>
    <w:p w14:paraId="1BD9757C" w14:textId="77777777" w:rsidR="00AA00DA" w:rsidRPr="009336B3" w:rsidRDefault="00152921" w:rsidP="00FC647B">
      <w:pPr>
        <w:ind w:left="708"/>
      </w:pPr>
      <m:oMath>
        <m:r>
          <w:rPr>
            <w:rFonts w:ascii="Cambria Math" w:hAnsi="Cambria Math"/>
          </w:rPr>
          <m:t>y=114,37</m:t>
        </m:r>
        <m:sSup>
          <m:sSupPr>
            <m:ctrlPr>
              <w:rPr>
                <w:rFonts w:ascii="Cambria Math" w:hAnsi="Cambria Math"/>
                <w:i/>
              </w:rPr>
            </m:ctrlPr>
          </m:sSupPr>
          <m:e>
            <m:r>
              <w:rPr>
                <w:rFonts w:ascii="Cambria Math" w:hAnsi="Cambria Math"/>
              </w:rPr>
              <m:t>x</m:t>
            </m:r>
          </m:e>
          <m:sup>
            <m:r>
              <w:rPr>
                <w:rFonts w:ascii="Cambria Math" w:hAnsi="Cambria Math"/>
              </w:rPr>
              <m:t>-0,579</m:t>
            </m:r>
          </m:sup>
        </m:sSup>
      </m:oMath>
      <w:r w:rsidR="009336B3">
        <w:rPr>
          <w:rFonts w:eastAsiaTheme="minorEastAsia"/>
        </w:rPr>
        <w:t xml:space="preserve"> </w:t>
      </w:r>
      <w:r>
        <w:t>beschreibe</w:t>
      </w:r>
      <w:r w:rsidR="009336B3">
        <w:t>n (R</w:t>
      </w:r>
      <w:r w:rsidR="009336B3">
        <w:rPr>
          <w:vertAlign w:val="superscript"/>
        </w:rPr>
        <w:t>2</w:t>
      </w:r>
      <w:r w:rsidR="009336B3">
        <w:t>=0,998).</w:t>
      </w:r>
      <w:r w:rsidR="004877C9">
        <w:t xml:space="preserve"> Der Partikeldurchmesser wird</w:t>
      </w:r>
      <w:r w:rsidR="004B0F5B">
        <w:t xml:space="preserve"> mit steigender P</w:t>
      </w:r>
      <w:r w:rsidR="004877C9">
        <w:t>VA Konzentration bis 0,8%</w:t>
      </w:r>
      <w:r w:rsidR="004B0F5B">
        <w:t xml:space="preserve"> </w:t>
      </w:r>
      <w:r w:rsidR="004877C9">
        <w:t xml:space="preserve">geringer </w:t>
      </w:r>
      <w:r w:rsidR="003E3207">
        <w:t xml:space="preserve">und bleibt für weiter steigende </w:t>
      </w:r>
      <w:r w:rsidR="00602585">
        <w:t xml:space="preserve">PVA </w:t>
      </w:r>
      <w:r w:rsidR="003E3207">
        <w:t>Konzentrationen</w:t>
      </w:r>
      <w:r w:rsidR="004B0F5B">
        <w:t xml:space="preserve"> annähernd konstant</w:t>
      </w:r>
      <w:r w:rsidR="003E3207">
        <w:t>.</w:t>
      </w:r>
      <w:r w:rsidR="004B0F5B" w:rsidRPr="004B0F5B">
        <w:t xml:space="preserve"> </w:t>
      </w:r>
      <w:r w:rsidR="004B0F5B">
        <w:t>Die bei einem Arbeitsdruck von 1.000 bar kleinste zu erzielende Partikelgröße liegt bei 125 nm.</w:t>
      </w:r>
    </w:p>
    <w:p w14:paraId="007CDEBB" w14:textId="77777777" w:rsidR="00814FB3" w:rsidRDefault="00AD0AA7" w:rsidP="00814FB3">
      <w:pPr>
        <w:ind w:left="708"/>
      </w:pPr>
      <w:r>
        <w:t xml:space="preserve">Aus dem Ergebnis geht hervor, dass </w:t>
      </w:r>
      <w:r w:rsidR="003E3207">
        <w:t>die Partikelgröße nur bis zu ein</w:t>
      </w:r>
      <w:r w:rsidR="009719F3">
        <w:t xml:space="preserve">er bestimmten maximalen PVA Konzentration </w:t>
      </w:r>
      <w:r w:rsidR="00DB756E">
        <w:t>von diesem Faktor</w:t>
      </w:r>
      <w:r w:rsidR="003E3207">
        <w:t xml:space="preserve"> abhängig ist.</w:t>
      </w:r>
      <w:r w:rsidR="00814FB3">
        <w:t xml:space="preserve"> Für einen Arbeitsdruck von 1.000 bar liegt dieses Maximum bei</w:t>
      </w:r>
      <w:r w:rsidR="00407942">
        <w:t xml:space="preserve"> ca.</w:t>
      </w:r>
      <w:r w:rsidR="00814FB3">
        <w:t xml:space="preserve"> 0,8%.</w:t>
      </w:r>
    </w:p>
    <w:p w14:paraId="517966C0" w14:textId="77777777" w:rsidR="00C52C8B" w:rsidRDefault="00DB756E" w:rsidP="00146597">
      <w:pPr>
        <w:spacing w:after="120"/>
        <w:ind w:left="709"/>
      </w:pPr>
      <w:r>
        <w:t>Diese Beobachtung</w:t>
      </w:r>
      <w:r w:rsidR="00814FB3">
        <w:t xml:space="preserve"> kann dadurch erklärt werden, dass z</w:t>
      </w:r>
      <w:r w:rsidR="00AD0AA7">
        <w:t>ur</w:t>
      </w:r>
      <w:r w:rsidR="008C5A8E">
        <w:t xml:space="preserve"> Stabilisierung der Emulsionstropfen, die bei einem Arbeitsdruc</w:t>
      </w:r>
      <w:r w:rsidR="00AD0AA7">
        <w:t xml:space="preserve">k von 1.000 bar entstehen, </w:t>
      </w:r>
      <w:r>
        <w:t>eine PVA Konzentration</w:t>
      </w:r>
      <w:r w:rsidR="009336B3">
        <w:t xml:space="preserve"> von mindestens</w:t>
      </w:r>
      <w:r>
        <w:t xml:space="preserve"> 0,8%</w:t>
      </w:r>
      <w:r w:rsidR="008C5A8E">
        <w:t xml:space="preserve"> benötigt</w:t>
      </w:r>
      <w:r w:rsidR="00814FB3">
        <w:t xml:space="preserve"> wird</w:t>
      </w:r>
      <w:r w:rsidR="008C5A8E">
        <w:t xml:space="preserve">. </w:t>
      </w:r>
      <w:r w:rsidR="00302842">
        <w:t>Geringere Mengen an PVA</w:t>
      </w:r>
      <w:r w:rsidR="008C5A8E">
        <w:t xml:space="preserve"> reic</w:t>
      </w:r>
      <w:r w:rsidR="00302842">
        <w:t>hen nicht aus, um di</w:t>
      </w:r>
      <w:r w:rsidR="00C42C26">
        <w:t>e Phasengrenzfläche</w:t>
      </w:r>
      <w:r>
        <w:t xml:space="preserve"> ausreichend</w:t>
      </w:r>
      <w:r w:rsidR="00302842">
        <w:t xml:space="preserve"> zu stabilisieren</w:t>
      </w:r>
      <w:r w:rsidR="0093119A">
        <w:t xml:space="preserve"> und es kommt zur Koagulation von Emulsionstr</w:t>
      </w:r>
      <w:r w:rsidR="00801649">
        <w:t>opfen und damit zu einem größeren Partikeldurchmesser</w:t>
      </w:r>
      <w:r w:rsidR="0093119A">
        <w:t>.</w:t>
      </w:r>
    </w:p>
    <w:p w14:paraId="3967C425" w14:textId="77777777" w:rsidR="00DB756E" w:rsidRPr="00814FB3" w:rsidRDefault="00DB756E" w:rsidP="00DB756E">
      <w:pPr>
        <w:spacing w:after="0"/>
        <w:ind w:left="709"/>
      </w:pPr>
    </w:p>
    <w:p w14:paraId="5CDC9010" w14:textId="77777777" w:rsidR="006A62BF" w:rsidRDefault="006A62BF" w:rsidP="006A62BF">
      <w:pPr>
        <w:spacing w:after="0"/>
        <w:ind w:left="709"/>
      </w:pPr>
      <w:r w:rsidRPr="00296EE8">
        <w:rPr>
          <w:noProof/>
          <w:lang w:eastAsia="de-DE"/>
        </w:rPr>
        <w:drawing>
          <wp:inline distT="0" distB="0" distL="0" distR="0" wp14:anchorId="0A4EA57B" wp14:editId="062F09DF">
            <wp:extent cx="5265420" cy="3091966"/>
            <wp:effectExtent l="0" t="0" r="0" b="6985"/>
            <wp:docPr id="17505" name="Diagramm 175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48FA0BD" w14:textId="77777777" w:rsidR="006A62BF" w:rsidRDefault="006A62BF" w:rsidP="001856C4">
      <w:pPr>
        <w:pStyle w:val="Beschriftung"/>
        <w:ind w:left="708" w:firstLine="0"/>
        <w:rPr>
          <w:b w:val="0"/>
        </w:rPr>
      </w:pPr>
      <w:bookmarkStart w:id="169" w:name="_Ref398724381"/>
      <w:r w:rsidRPr="006A62BF">
        <w:t xml:space="preserve">Abbildung </w:t>
      </w:r>
      <w:fldSimple w:instr=" SEQ Abbildung \* ARABIC ">
        <w:r w:rsidR="00711AB8">
          <w:rPr>
            <w:noProof/>
          </w:rPr>
          <w:t>14</w:t>
        </w:r>
      </w:fldSimple>
      <w:bookmarkEnd w:id="169"/>
      <w:r>
        <w:t xml:space="preserve"> </w:t>
      </w:r>
      <w:r>
        <w:rPr>
          <w:b w:val="0"/>
        </w:rPr>
        <w:t>Homogenisierung mit Microfluidizer; DLS Partikelgrößenmessung: Auftragung mittlerer Partikeldurchmesser in Abhängigkeit vom Arbeitsdruck</w:t>
      </w:r>
      <w:r w:rsidR="00121746">
        <w:rPr>
          <w:b w:val="0"/>
        </w:rPr>
        <w:t>;</w:t>
      </w:r>
      <w:r w:rsidR="00F76C73">
        <w:rPr>
          <w:b w:val="0"/>
        </w:rPr>
        <w:t xml:space="preserve"> PVA Konzentration 0,8%;</w:t>
      </w:r>
      <w:r w:rsidR="00695F93">
        <w:rPr>
          <w:b w:val="0"/>
        </w:rPr>
        <w:t xml:space="preserve"> l</w:t>
      </w:r>
      <w:r w:rsidR="00121746">
        <w:rPr>
          <w:b w:val="0"/>
        </w:rPr>
        <w:t>ineare Regression</w:t>
      </w:r>
      <w:r w:rsidR="00146597">
        <w:rPr>
          <w:b w:val="0"/>
        </w:rPr>
        <w:t>.</w:t>
      </w:r>
    </w:p>
    <w:p w14:paraId="65162DDA" w14:textId="77777777" w:rsidR="007477C1" w:rsidRDefault="007477C1" w:rsidP="00F206D4">
      <w:pPr>
        <w:spacing w:after="0"/>
        <w:ind w:left="709"/>
      </w:pPr>
    </w:p>
    <w:p w14:paraId="1EE9F112" w14:textId="77777777" w:rsidR="00E36CE9" w:rsidRDefault="00A778DE" w:rsidP="00E36CE9">
      <w:pPr>
        <w:spacing w:after="0"/>
        <w:ind w:left="709"/>
      </w:pPr>
      <w:r>
        <w:t xml:space="preserve">Durch eine Erhöhung des Arbeitsdruckes auf über 1.000 bar sind bei einer PVA Konzentration von 0,8% </w:t>
      </w:r>
      <w:r w:rsidR="00FC647B">
        <w:t xml:space="preserve">auch </w:t>
      </w:r>
      <w:r w:rsidR="0093119A">
        <w:t>Partikelgrößen unterhalb von 125</w:t>
      </w:r>
      <w:r>
        <w:t> nm zu erzielen. Der annähernd lineare Zusammenhang zwischen Partikelgröße und Arbeitsdruck</w:t>
      </w:r>
      <w:r w:rsidR="0006407F">
        <w:t xml:space="preserve"> </w:t>
      </w:r>
      <w:r w:rsidR="0006407F">
        <w:lastRenderedPageBreak/>
        <w:t>(</w:t>
      </w:r>
      <w:r w:rsidR="00D16240">
        <w:fldChar w:fldCharType="begin"/>
      </w:r>
      <w:r w:rsidR="0006407F">
        <w:instrText xml:space="preserve"> REF _Ref398724381 \h </w:instrText>
      </w:r>
      <w:r w:rsidR="00D16240">
        <w:fldChar w:fldCharType="separate"/>
      </w:r>
      <w:r w:rsidR="00711AB8" w:rsidRPr="006A62BF">
        <w:t xml:space="preserve">Abbildung </w:t>
      </w:r>
      <w:r w:rsidR="00711AB8">
        <w:rPr>
          <w:noProof/>
        </w:rPr>
        <w:t>14</w:t>
      </w:r>
      <w:r w:rsidR="00D16240">
        <w:fldChar w:fldCharType="end"/>
      </w:r>
      <w:r w:rsidR="0006407F">
        <w:t>)</w:t>
      </w:r>
      <w:r>
        <w:t xml:space="preserve"> bestätigt die Annahme, dass die Partikelgröße bei</w:t>
      </w:r>
      <w:r w:rsidR="00FC647B">
        <w:t xml:space="preserve"> einer ausreichend vorhandenen</w:t>
      </w:r>
      <w:r w:rsidR="000F6861">
        <w:t xml:space="preserve"> Menge an Stabilisator im Wesentlichen</w:t>
      </w:r>
      <w:r w:rsidR="00FC647B">
        <w:t xml:space="preserve"> vom Arbeitsdruck </w:t>
      </w:r>
      <w:r w:rsidR="00984FBC">
        <w:t>abhängt. Bis zu einem maximalen Druck von</w:t>
      </w:r>
      <w:r w:rsidR="00FC647B">
        <w:t xml:space="preserve"> </w:t>
      </w:r>
      <w:r w:rsidR="00984FBC">
        <w:t>1.0</w:t>
      </w:r>
      <w:r w:rsidR="00E36CE9">
        <w:t>00 bar beträgt die</w:t>
      </w:r>
      <w:r w:rsidR="00FC647B">
        <w:t xml:space="preserve"> </w:t>
      </w:r>
      <w:r w:rsidR="00E36CE9">
        <w:t xml:space="preserve">zur vollständigen Stabilisierung der Emulsionstropfen </w:t>
      </w:r>
      <w:r w:rsidR="00FC647B">
        <w:t>benötigte PVA Konzentration 0,8%.</w:t>
      </w:r>
      <w:r w:rsidR="00814FB3">
        <w:t xml:space="preserve"> Durch lineare Regression wurde der folgende Zusammenhan</w:t>
      </w:r>
      <w:r w:rsidR="00C42C26">
        <w:t>g zwischen der Partikelgröße y</w:t>
      </w:r>
      <w:r w:rsidR="00814FB3">
        <w:t xml:space="preserve"> </w:t>
      </w:r>
      <w:r w:rsidR="00C42C26">
        <w:t>und dem Arbeitsdruck x</w:t>
      </w:r>
      <w:r w:rsidR="00814FB3">
        <w:t xml:space="preserve"> bei einer PVA Konzentration von 0,8% gefunden:</w:t>
      </w:r>
    </w:p>
    <w:p w14:paraId="0FD1F019" w14:textId="77777777" w:rsidR="006A62BF" w:rsidRDefault="00A778DE" w:rsidP="00E36CE9">
      <w:pPr>
        <w:ind w:left="709"/>
        <w:rPr>
          <w:rFonts w:eastAsiaTheme="minorEastAsia"/>
        </w:rPr>
      </w:pPr>
      <m:oMath>
        <m:r>
          <w:rPr>
            <w:rFonts w:ascii="Cambria Math" w:hAnsi="Cambria Math"/>
          </w:rPr>
          <m:t>y=-0,0514x+177,67</m:t>
        </m:r>
      </m:oMath>
      <w:r w:rsidR="00814FB3">
        <w:rPr>
          <w:rFonts w:eastAsiaTheme="minorEastAsia"/>
        </w:rPr>
        <w:t>.</w:t>
      </w:r>
      <w:r w:rsidR="00E36CE9">
        <w:rPr>
          <w:rFonts w:eastAsiaTheme="minorEastAsia"/>
        </w:rPr>
        <w:t xml:space="preserve"> </w:t>
      </w:r>
      <w:r w:rsidR="00814FB3">
        <w:rPr>
          <w:rFonts w:eastAsiaTheme="minorEastAsia"/>
        </w:rPr>
        <w:t>Der Korrelationskoeffizient</w:t>
      </w:r>
      <w:r w:rsidR="00C42C26">
        <w:rPr>
          <w:rFonts w:eastAsiaTheme="minorEastAsia"/>
        </w:rPr>
        <w:t xml:space="preserve"> für die lineare Regression</w:t>
      </w:r>
      <w:r w:rsidR="00814FB3">
        <w:rPr>
          <w:rFonts w:eastAsiaTheme="minorEastAsia"/>
        </w:rPr>
        <w:t xml:space="preserve"> beträgt 0,968.</w:t>
      </w:r>
      <w:r w:rsidR="00984FBC">
        <w:rPr>
          <w:rFonts w:eastAsiaTheme="minorEastAsia"/>
        </w:rPr>
        <w:t xml:space="preserve"> Mithilfe dieser Gleichung kann bei einer konstanten PVA Konzentration von 0,8% die Partikelgröße für einen beliebigen Arbeitsdruck zwischen 250 und 1.500 bar vorhergesagt werden.</w:t>
      </w:r>
    </w:p>
    <w:p w14:paraId="03F4972C" w14:textId="77777777" w:rsidR="003C59A3" w:rsidRDefault="003C59A3" w:rsidP="00FC647B">
      <w:pPr>
        <w:ind w:left="708"/>
      </w:pPr>
      <w:r>
        <w:t>Da bei der Herstellung mit dem Microfluidizer die Abhängigkeit der Partikelgröße oberhalb einer Mindestkonzent</w:t>
      </w:r>
      <w:r w:rsidR="000F6861">
        <w:t>ration an Stabilisator im Wesentlichen</w:t>
      </w:r>
      <w:r>
        <w:t xml:space="preserve"> vom Arbeitsdruck abhängt und für diesen Zusammenhang eine lineare</w:t>
      </w:r>
      <w:r w:rsidR="00650787">
        <w:t xml:space="preserve"> und damit gut kalkulierbare Funktion angenommen werden kann</w:t>
      </w:r>
      <w:r>
        <w:t xml:space="preserve">, ist eine Einstellung der Partikelgröße im Bereich zwischen 105 nm und 171 nm durch Variation des Druckes bei konstanter PVA Konzentration von 0,8% zu empfehlen. Wegen des Anstiegs der Standardabweichung </w:t>
      </w:r>
      <w:r w:rsidR="00984FBC">
        <w:t xml:space="preserve">der Partikelgröße </w:t>
      </w:r>
      <w:r>
        <w:t>bei sinkendem Arbeitsdruck werden Drücke unterhalb von 250 bar nicht empfohlen. Partike</w:t>
      </w:r>
      <w:r w:rsidR="00E36CE9">
        <w:t>ldurchmesser oberhalb von 171 </w:t>
      </w:r>
      <w:r w:rsidR="00C42C26">
        <w:t>nm</w:t>
      </w:r>
      <w:r>
        <w:t xml:space="preserve"> können durch Verringerung der PVA Konzentration unter 0,8% bei einem Druck von 1.000 bar bis zu einer Größe von 430 nm sehr gut reproduzierbar hergestellt werden.</w:t>
      </w:r>
    </w:p>
    <w:p w14:paraId="59582D47" w14:textId="77777777" w:rsidR="00FB142B" w:rsidRDefault="00FB142B" w:rsidP="006A62BF"/>
    <w:p w14:paraId="26CDE2C6" w14:textId="77777777" w:rsidR="00FB142B" w:rsidRDefault="00FB142B" w:rsidP="00FB142B">
      <w:pPr>
        <w:pStyle w:val="berschrift5"/>
        <w:ind w:left="142"/>
        <w:rPr>
          <w:rFonts w:ascii="Times New Roman" w:hAnsi="Times New Roman" w:cs="Times New Roman"/>
          <w:color w:val="auto"/>
          <w:szCs w:val="24"/>
        </w:rPr>
      </w:pPr>
      <w:bookmarkStart w:id="170" w:name="_Toc294380223"/>
      <w:r w:rsidRPr="00DC56EA">
        <w:rPr>
          <w:rFonts w:ascii="Times New Roman" w:hAnsi="Times New Roman" w:cs="Times New Roman"/>
          <w:color w:val="auto"/>
          <w:szCs w:val="24"/>
        </w:rPr>
        <w:t>Rotor-Stator Homogenisierung mit Ultra-Turrax</w:t>
      </w:r>
      <w:bookmarkEnd w:id="170"/>
    </w:p>
    <w:p w14:paraId="43818193" w14:textId="77777777" w:rsidR="00B629E6" w:rsidRDefault="00871935" w:rsidP="00C50E91">
      <w:pPr>
        <w:spacing w:after="0"/>
        <w:ind w:left="697"/>
        <w:rPr>
          <w:szCs w:val="24"/>
        </w:rPr>
      </w:pPr>
      <w:r>
        <w:t>Es wurden weiterhin Nanopartikel aus Resomer</w:t>
      </w:r>
      <w:r w:rsidRPr="00C50E91">
        <w:rPr>
          <w:szCs w:val="24"/>
          <w:vertAlign w:val="superscript"/>
        </w:rPr>
        <w:sym w:font="Symbol" w:char="F0D2"/>
      </w:r>
      <w:r>
        <w:rPr>
          <w:szCs w:val="24"/>
        </w:rPr>
        <w:t> RG 503 H wie in Kapitel </w:t>
      </w:r>
      <w:r w:rsidR="00D16240">
        <w:rPr>
          <w:szCs w:val="24"/>
        </w:rPr>
        <w:fldChar w:fldCharType="begin"/>
      </w:r>
      <w:r>
        <w:rPr>
          <w:szCs w:val="24"/>
        </w:rPr>
        <w:instrText xml:space="preserve"> REF _Ref272427995 \n \h </w:instrText>
      </w:r>
      <w:r w:rsidR="00D16240">
        <w:rPr>
          <w:szCs w:val="24"/>
        </w:rPr>
      </w:r>
      <w:r w:rsidR="00D16240">
        <w:rPr>
          <w:szCs w:val="24"/>
        </w:rPr>
        <w:fldChar w:fldCharType="separate"/>
      </w:r>
      <w:r w:rsidR="00711AB8">
        <w:rPr>
          <w:szCs w:val="24"/>
        </w:rPr>
        <w:t>4.1.1</w:t>
      </w:r>
      <w:r w:rsidR="00D16240">
        <w:rPr>
          <w:szCs w:val="24"/>
        </w:rPr>
        <w:fldChar w:fldCharType="end"/>
      </w:r>
      <w:r>
        <w:rPr>
          <w:szCs w:val="24"/>
        </w:rPr>
        <w:t xml:space="preserve"> unter </w:t>
      </w:r>
      <w:r w:rsidRPr="00871935">
        <w:rPr>
          <w:i/>
          <w:szCs w:val="24"/>
        </w:rPr>
        <w:t>Doppelemulsionsmethode</w:t>
      </w:r>
      <w:r w:rsidR="004877C9">
        <w:rPr>
          <w:szCs w:val="24"/>
        </w:rPr>
        <w:t xml:space="preserve"> beschrieben unter</w:t>
      </w:r>
      <w:r>
        <w:rPr>
          <w:szCs w:val="24"/>
        </w:rPr>
        <w:t xml:space="preserve"> Verwendung des Ultra-Turrax zur Homogenisierung hergestellt. </w:t>
      </w:r>
      <w:r w:rsidR="001759B7">
        <w:rPr>
          <w:szCs w:val="24"/>
        </w:rPr>
        <w:t>Durch Variation der Rotationsgeschwindigkeit und der PVA Konzentration wurde der Einfluss dieser beiden Faktoren auf die Partikelgröße und den Polydispersitätsindex der Partikelgrößenverteilung</w:t>
      </w:r>
      <w:r w:rsidR="00833632">
        <w:rPr>
          <w:szCs w:val="24"/>
        </w:rPr>
        <w:t xml:space="preserve"> unt</w:t>
      </w:r>
      <w:r w:rsidR="00C50E91">
        <w:rPr>
          <w:szCs w:val="24"/>
        </w:rPr>
        <w:t>ersucht. Es wurden Versuche mit Rotationsgeschwindigkeit</w:t>
      </w:r>
      <w:r w:rsidR="00E36CE9">
        <w:rPr>
          <w:szCs w:val="24"/>
        </w:rPr>
        <w:t>en zwischen 10.000 und 18.000 Up</w:t>
      </w:r>
      <w:r w:rsidR="00C50E91">
        <w:rPr>
          <w:szCs w:val="24"/>
        </w:rPr>
        <w:t>M und PVA Konzentrationen zwischen 0,5 und 2,5% durchgeführt. Alle Ver</w:t>
      </w:r>
      <w:r w:rsidR="0038669F">
        <w:rPr>
          <w:szCs w:val="24"/>
        </w:rPr>
        <w:t>suche wurden 3 Mal durchgeführt</w:t>
      </w:r>
      <w:r w:rsidR="00C50E91">
        <w:rPr>
          <w:szCs w:val="24"/>
        </w:rPr>
        <w:t xml:space="preserve"> (n=3). Die Ergebnisse sind in </w:t>
      </w:r>
      <w:r w:rsidR="00D16240">
        <w:rPr>
          <w:szCs w:val="24"/>
        </w:rPr>
        <w:fldChar w:fldCharType="begin"/>
      </w:r>
      <w:r w:rsidR="00C50E91">
        <w:rPr>
          <w:szCs w:val="24"/>
        </w:rPr>
        <w:instrText xml:space="preserve"> REF _Ref273398259 \h </w:instrText>
      </w:r>
      <w:r w:rsidR="00D16240">
        <w:rPr>
          <w:szCs w:val="24"/>
        </w:rPr>
      </w:r>
      <w:r w:rsidR="00D16240">
        <w:rPr>
          <w:szCs w:val="24"/>
        </w:rPr>
        <w:fldChar w:fldCharType="separate"/>
      </w:r>
      <w:r w:rsidR="00711AB8" w:rsidRPr="00C50E91">
        <w:t xml:space="preserve">Tabelle </w:t>
      </w:r>
      <w:r w:rsidR="00711AB8">
        <w:rPr>
          <w:noProof/>
        </w:rPr>
        <w:t>11</w:t>
      </w:r>
      <w:r w:rsidR="00D16240">
        <w:rPr>
          <w:szCs w:val="24"/>
        </w:rPr>
        <w:fldChar w:fldCharType="end"/>
      </w:r>
      <w:r w:rsidR="00C50E91">
        <w:rPr>
          <w:szCs w:val="24"/>
        </w:rPr>
        <w:t xml:space="preserve"> zusammengefasst.</w:t>
      </w:r>
    </w:p>
    <w:p w14:paraId="5A54AE5B" w14:textId="77777777" w:rsidR="00C50E91" w:rsidRDefault="00C50E91" w:rsidP="00C50E91">
      <w:pPr>
        <w:spacing w:after="0"/>
        <w:ind w:left="697"/>
        <w:rPr>
          <w:szCs w:val="24"/>
        </w:rPr>
      </w:pPr>
    </w:p>
    <w:p w14:paraId="7DB1BD9C" w14:textId="77777777" w:rsidR="00A43F16" w:rsidRDefault="00A43F16" w:rsidP="00C50E91">
      <w:pPr>
        <w:spacing w:after="0"/>
        <w:ind w:left="697"/>
        <w:rPr>
          <w:szCs w:val="24"/>
        </w:rPr>
      </w:pPr>
    </w:p>
    <w:p w14:paraId="26C400BC" w14:textId="77777777" w:rsidR="00A43F16" w:rsidRDefault="00A43F16" w:rsidP="00C50E91">
      <w:pPr>
        <w:spacing w:after="0"/>
        <w:ind w:left="697"/>
        <w:rPr>
          <w:szCs w:val="24"/>
        </w:rPr>
      </w:pPr>
    </w:p>
    <w:p w14:paraId="485CF7E6" w14:textId="77777777" w:rsidR="00146597" w:rsidRDefault="00146597" w:rsidP="00C50E91">
      <w:pPr>
        <w:spacing w:after="0"/>
        <w:ind w:left="697"/>
        <w:rPr>
          <w:szCs w:val="24"/>
        </w:rPr>
      </w:pPr>
    </w:p>
    <w:p w14:paraId="319F16F6" w14:textId="77777777" w:rsidR="00A43F16" w:rsidRDefault="00A43F16" w:rsidP="00C50E91">
      <w:pPr>
        <w:spacing w:after="0"/>
        <w:ind w:left="697"/>
        <w:rPr>
          <w:szCs w:val="24"/>
        </w:rPr>
      </w:pPr>
    </w:p>
    <w:p w14:paraId="3F409E21" w14:textId="77777777" w:rsidR="00C50E91" w:rsidRDefault="00C50E91" w:rsidP="001856C4">
      <w:pPr>
        <w:pStyle w:val="Beschriftung"/>
        <w:ind w:left="697" w:firstLine="0"/>
        <w:rPr>
          <w:szCs w:val="24"/>
        </w:rPr>
      </w:pPr>
      <w:bookmarkStart w:id="171" w:name="_Ref273398259"/>
      <w:r w:rsidRPr="00C50E91">
        <w:lastRenderedPageBreak/>
        <w:t xml:space="preserve">Tabelle </w:t>
      </w:r>
      <w:fldSimple w:instr=" SEQ Tabelle \* ARABIC ">
        <w:r w:rsidR="00711AB8">
          <w:rPr>
            <w:noProof/>
          </w:rPr>
          <w:t>11</w:t>
        </w:r>
      </w:fldSimple>
      <w:bookmarkEnd w:id="171"/>
      <w:r w:rsidRPr="00C50E91">
        <w:t xml:space="preserve"> </w:t>
      </w:r>
      <w:r w:rsidRPr="00C50E91">
        <w:rPr>
          <w:b w:val="0"/>
        </w:rPr>
        <w:t>Homogenisierung mit dem</w:t>
      </w:r>
      <w:r>
        <w:rPr>
          <w:b w:val="0"/>
        </w:rPr>
        <w:t xml:space="preserve"> Ultra-Turrax</w:t>
      </w:r>
      <w:r w:rsidRPr="00C50E91">
        <w:rPr>
          <w:b w:val="0"/>
        </w:rPr>
        <w:t>; DLS Partikelgrößenmessungen: Mittlerer Partikeldurchmesser in</w:t>
      </w:r>
      <w:r>
        <w:rPr>
          <w:b w:val="0"/>
        </w:rPr>
        <w:t xml:space="preserve"> Abhängigkeit von Rotationsgeschwindigkeit und PVA Konzentration; Mittelwert aus drei unabhängigen Versuchen (n=3)</w:t>
      </w:r>
      <w:r w:rsidR="00146597">
        <w:rPr>
          <w:b w:val="0"/>
        </w:rPr>
        <w:t>.</w:t>
      </w:r>
    </w:p>
    <w:tbl>
      <w:tblPr>
        <w:tblW w:w="75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2" w:type="dxa"/>
          <w:right w:w="142" w:type="dxa"/>
        </w:tblCellMar>
        <w:tblLook w:val="01E0" w:firstRow="1" w:lastRow="1" w:firstColumn="1" w:lastColumn="1" w:noHBand="0" w:noVBand="0"/>
      </w:tblPr>
      <w:tblGrid>
        <w:gridCol w:w="1639"/>
        <w:gridCol w:w="1843"/>
        <w:gridCol w:w="4048"/>
      </w:tblGrid>
      <w:tr w:rsidR="00C50E91" w:rsidRPr="000B49F8" w14:paraId="0CAD7452" w14:textId="77777777" w:rsidTr="007D2B29">
        <w:trPr>
          <w:trHeight w:val="511"/>
          <w:jc w:val="center"/>
        </w:trPr>
        <w:tc>
          <w:tcPr>
            <w:tcW w:w="1639" w:type="dxa"/>
            <w:tcBorders>
              <w:top w:val="single" w:sz="8" w:space="0" w:color="auto"/>
              <w:left w:val="single" w:sz="8" w:space="0" w:color="auto"/>
              <w:bottom w:val="single" w:sz="8" w:space="0" w:color="auto"/>
              <w:right w:val="single" w:sz="8" w:space="0" w:color="auto"/>
            </w:tcBorders>
            <w:shd w:val="clear" w:color="auto" w:fill="E6E6E6"/>
            <w:vAlign w:val="center"/>
          </w:tcPr>
          <w:p w14:paraId="2CFF2BC2" w14:textId="77777777" w:rsidR="00C50E91" w:rsidRPr="00616B61" w:rsidRDefault="00A42702" w:rsidP="00934FCA">
            <w:pPr>
              <w:spacing w:after="0" w:line="240" w:lineRule="auto"/>
              <w:jc w:val="center"/>
              <w:rPr>
                <w:b/>
                <w:sz w:val="20"/>
                <w:szCs w:val="20"/>
              </w:rPr>
            </w:pPr>
            <w:r>
              <w:rPr>
                <w:b/>
                <w:sz w:val="20"/>
                <w:szCs w:val="20"/>
              </w:rPr>
              <w:t>Up</w:t>
            </w:r>
            <w:r w:rsidR="00C50E91" w:rsidRPr="00616B61">
              <w:rPr>
                <w:b/>
                <w:sz w:val="20"/>
                <w:szCs w:val="20"/>
              </w:rPr>
              <w:t>M</w:t>
            </w:r>
          </w:p>
        </w:tc>
        <w:tc>
          <w:tcPr>
            <w:tcW w:w="1843" w:type="dxa"/>
            <w:tcBorders>
              <w:top w:val="single" w:sz="8" w:space="0" w:color="auto"/>
              <w:left w:val="single" w:sz="8" w:space="0" w:color="auto"/>
              <w:bottom w:val="single" w:sz="8" w:space="0" w:color="auto"/>
              <w:right w:val="single" w:sz="8" w:space="0" w:color="auto"/>
            </w:tcBorders>
            <w:shd w:val="clear" w:color="auto" w:fill="E6E6E6"/>
            <w:vAlign w:val="center"/>
          </w:tcPr>
          <w:p w14:paraId="543E8E29" w14:textId="77777777" w:rsidR="00C50E91" w:rsidRPr="00616B61" w:rsidRDefault="00C50E91" w:rsidP="00934FCA">
            <w:pPr>
              <w:spacing w:after="0" w:line="240" w:lineRule="auto"/>
              <w:jc w:val="center"/>
              <w:rPr>
                <w:b/>
                <w:sz w:val="20"/>
                <w:szCs w:val="20"/>
              </w:rPr>
            </w:pPr>
            <w:r w:rsidRPr="00616B61">
              <w:rPr>
                <w:b/>
                <w:sz w:val="20"/>
                <w:szCs w:val="20"/>
              </w:rPr>
              <w:t>PVA Konz. [%]</w:t>
            </w:r>
          </w:p>
        </w:tc>
        <w:tc>
          <w:tcPr>
            <w:tcW w:w="4048" w:type="dxa"/>
            <w:tcBorders>
              <w:top w:val="single" w:sz="8" w:space="0" w:color="auto"/>
              <w:left w:val="single" w:sz="8" w:space="0" w:color="auto"/>
              <w:bottom w:val="single" w:sz="8" w:space="0" w:color="auto"/>
              <w:right w:val="single" w:sz="8" w:space="0" w:color="auto"/>
            </w:tcBorders>
            <w:shd w:val="clear" w:color="auto" w:fill="E6E6E6"/>
            <w:vAlign w:val="center"/>
          </w:tcPr>
          <w:p w14:paraId="7EE0AF2E" w14:textId="77777777" w:rsidR="00C50E91" w:rsidRPr="00616B61" w:rsidRDefault="00C50E91" w:rsidP="00934FCA">
            <w:pPr>
              <w:spacing w:after="0" w:line="240" w:lineRule="auto"/>
              <w:jc w:val="center"/>
              <w:rPr>
                <w:b/>
                <w:sz w:val="20"/>
                <w:szCs w:val="20"/>
                <w:lang w:val="en-US"/>
              </w:rPr>
            </w:pPr>
            <w:r w:rsidRPr="00616B61">
              <w:rPr>
                <w:b/>
                <w:sz w:val="20"/>
                <w:szCs w:val="20"/>
                <w:lang w:val="en-US"/>
              </w:rPr>
              <w:t>Partikeldurchmesser [nm] / PDI</w:t>
            </w:r>
          </w:p>
        </w:tc>
      </w:tr>
      <w:tr w:rsidR="00C50E91" w:rsidRPr="00693200" w14:paraId="6C9C08F8" w14:textId="77777777" w:rsidTr="007D2B29">
        <w:trPr>
          <w:trHeight w:val="434"/>
          <w:jc w:val="center"/>
        </w:trPr>
        <w:tc>
          <w:tcPr>
            <w:tcW w:w="1639" w:type="dxa"/>
            <w:tcBorders>
              <w:top w:val="single" w:sz="8" w:space="0" w:color="auto"/>
              <w:left w:val="single" w:sz="8" w:space="0" w:color="auto"/>
            </w:tcBorders>
            <w:shd w:val="clear" w:color="auto" w:fill="auto"/>
            <w:vAlign w:val="center"/>
          </w:tcPr>
          <w:p w14:paraId="755423F6" w14:textId="77777777" w:rsidR="00C50E91" w:rsidRPr="00616B61" w:rsidRDefault="00C50E91" w:rsidP="00934FCA">
            <w:pPr>
              <w:spacing w:after="0" w:line="240" w:lineRule="auto"/>
              <w:jc w:val="center"/>
              <w:rPr>
                <w:sz w:val="18"/>
                <w:szCs w:val="18"/>
              </w:rPr>
            </w:pPr>
            <w:r w:rsidRPr="00616B61">
              <w:rPr>
                <w:sz w:val="18"/>
                <w:szCs w:val="18"/>
              </w:rPr>
              <w:t>10.000</w:t>
            </w:r>
          </w:p>
        </w:tc>
        <w:tc>
          <w:tcPr>
            <w:tcW w:w="1843" w:type="dxa"/>
            <w:tcBorders>
              <w:top w:val="single" w:sz="8" w:space="0" w:color="auto"/>
            </w:tcBorders>
            <w:shd w:val="clear" w:color="auto" w:fill="auto"/>
            <w:vAlign w:val="center"/>
          </w:tcPr>
          <w:p w14:paraId="37F47AB8" w14:textId="77777777" w:rsidR="00C50E91" w:rsidRPr="00616B61" w:rsidRDefault="00C50E91" w:rsidP="00934FCA">
            <w:pPr>
              <w:spacing w:after="0" w:line="240" w:lineRule="auto"/>
              <w:jc w:val="center"/>
              <w:rPr>
                <w:sz w:val="18"/>
                <w:szCs w:val="18"/>
              </w:rPr>
            </w:pPr>
            <w:r w:rsidRPr="00616B61">
              <w:rPr>
                <w:sz w:val="18"/>
                <w:szCs w:val="18"/>
              </w:rPr>
              <w:t>0,6</w:t>
            </w:r>
          </w:p>
        </w:tc>
        <w:tc>
          <w:tcPr>
            <w:tcW w:w="4048" w:type="dxa"/>
            <w:tcBorders>
              <w:top w:val="single" w:sz="8" w:space="0" w:color="auto"/>
              <w:right w:val="single" w:sz="8" w:space="0" w:color="auto"/>
            </w:tcBorders>
            <w:shd w:val="clear" w:color="auto" w:fill="auto"/>
            <w:vAlign w:val="center"/>
          </w:tcPr>
          <w:p w14:paraId="3914C37B" w14:textId="77777777" w:rsidR="00C50E91" w:rsidRPr="00616B61" w:rsidRDefault="00C50E91" w:rsidP="00934FCA">
            <w:pPr>
              <w:spacing w:after="0" w:line="240" w:lineRule="auto"/>
              <w:jc w:val="center"/>
              <w:rPr>
                <w:sz w:val="18"/>
                <w:szCs w:val="18"/>
              </w:rPr>
            </w:pPr>
            <w:r w:rsidRPr="00616B61">
              <w:rPr>
                <w:sz w:val="18"/>
                <w:szCs w:val="18"/>
              </w:rPr>
              <w:t>629 ± 77 / 0,383</w:t>
            </w:r>
          </w:p>
        </w:tc>
      </w:tr>
      <w:tr w:rsidR="00C50E91" w:rsidRPr="00693200" w14:paraId="036224EC" w14:textId="77777777" w:rsidTr="007D2B29">
        <w:trPr>
          <w:trHeight w:val="434"/>
          <w:jc w:val="center"/>
        </w:trPr>
        <w:tc>
          <w:tcPr>
            <w:tcW w:w="1639" w:type="dxa"/>
            <w:tcBorders>
              <w:left w:val="single" w:sz="8" w:space="0" w:color="auto"/>
            </w:tcBorders>
            <w:shd w:val="clear" w:color="auto" w:fill="auto"/>
            <w:vAlign w:val="center"/>
          </w:tcPr>
          <w:p w14:paraId="3910F048" w14:textId="77777777" w:rsidR="00C50E91" w:rsidRPr="00616B61" w:rsidRDefault="00C50E91" w:rsidP="00934FCA">
            <w:pPr>
              <w:spacing w:after="0" w:line="240" w:lineRule="auto"/>
              <w:jc w:val="center"/>
              <w:rPr>
                <w:sz w:val="18"/>
                <w:szCs w:val="18"/>
              </w:rPr>
            </w:pPr>
            <w:r w:rsidRPr="00616B61">
              <w:rPr>
                <w:sz w:val="18"/>
                <w:szCs w:val="18"/>
              </w:rPr>
              <w:t>14.000</w:t>
            </w:r>
          </w:p>
        </w:tc>
        <w:tc>
          <w:tcPr>
            <w:tcW w:w="1843" w:type="dxa"/>
            <w:shd w:val="clear" w:color="auto" w:fill="auto"/>
            <w:vAlign w:val="center"/>
          </w:tcPr>
          <w:p w14:paraId="59DEBA12" w14:textId="77777777" w:rsidR="00C50E91" w:rsidRPr="00616B61" w:rsidRDefault="00C50E91" w:rsidP="00934FCA">
            <w:pPr>
              <w:spacing w:after="0" w:line="240" w:lineRule="auto"/>
              <w:jc w:val="center"/>
              <w:rPr>
                <w:sz w:val="18"/>
                <w:szCs w:val="18"/>
              </w:rPr>
            </w:pPr>
            <w:r w:rsidRPr="00616B61">
              <w:rPr>
                <w:sz w:val="18"/>
                <w:szCs w:val="18"/>
              </w:rPr>
              <w:t>0,5</w:t>
            </w:r>
          </w:p>
        </w:tc>
        <w:tc>
          <w:tcPr>
            <w:tcW w:w="4048" w:type="dxa"/>
            <w:tcBorders>
              <w:right w:val="single" w:sz="8" w:space="0" w:color="auto"/>
            </w:tcBorders>
            <w:shd w:val="clear" w:color="auto" w:fill="auto"/>
            <w:vAlign w:val="center"/>
          </w:tcPr>
          <w:p w14:paraId="50951C0E" w14:textId="77777777" w:rsidR="00C50E91" w:rsidRPr="00616B61" w:rsidRDefault="00C50E91" w:rsidP="00934FCA">
            <w:pPr>
              <w:spacing w:after="0" w:line="240" w:lineRule="auto"/>
              <w:jc w:val="center"/>
              <w:rPr>
                <w:sz w:val="18"/>
                <w:szCs w:val="18"/>
              </w:rPr>
            </w:pPr>
            <w:r w:rsidRPr="00616B61">
              <w:rPr>
                <w:sz w:val="18"/>
                <w:szCs w:val="18"/>
              </w:rPr>
              <w:t>278 ± 57 / 0,024</w:t>
            </w:r>
          </w:p>
        </w:tc>
      </w:tr>
      <w:tr w:rsidR="00C50E91" w:rsidRPr="00693200" w14:paraId="7C4436B4" w14:textId="77777777" w:rsidTr="007D2B29">
        <w:trPr>
          <w:trHeight w:val="434"/>
          <w:jc w:val="center"/>
        </w:trPr>
        <w:tc>
          <w:tcPr>
            <w:tcW w:w="1639" w:type="dxa"/>
            <w:tcBorders>
              <w:left w:val="single" w:sz="8" w:space="0" w:color="auto"/>
            </w:tcBorders>
            <w:shd w:val="clear" w:color="auto" w:fill="auto"/>
            <w:vAlign w:val="center"/>
          </w:tcPr>
          <w:p w14:paraId="672F316C" w14:textId="77777777" w:rsidR="00C50E91" w:rsidRPr="00616B61" w:rsidRDefault="00C50E91" w:rsidP="00934FCA">
            <w:pPr>
              <w:spacing w:after="0" w:line="240" w:lineRule="auto"/>
              <w:jc w:val="center"/>
              <w:rPr>
                <w:sz w:val="18"/>
                <w:szCs w:val="18"/>
              </w:rPr>
            </w:pPr>
            <w:r w:rsidRPr="00616B61">
              <w:rPr>
                <w:sz w:val="18"/>
                <w:szCs w:val="18"/>
              </w:rPr>
              <w:t>14.000</w:t>
            </w:r>
          </w:p>
        </w:tc>
        <w:tc>
          <w:tcPr>
            <w:tcW w:w="1843" w:type="dxa"/>
            <w:shd w:val="clear" w:color="auto" w:fill="auto"/>
            <w:vAlign w:val="center"/>
          </w:tcPr>
          <w:p w14:paraId="1887E536" w14:textId="77777777" w:rsidR="00C50E91" w:rsidRPr="00616B61" w:rsidRDefault="00C50E91" w:rsidP="00934FCA">
            <w:pPr>
              <w:spacing w:after="0" w:line="240" w:lineRule="auto"/>
              <w:jc w:val="center"/>
              <w:rPr>
                <w:sz w:val="18"/>
                <w:szCs w:val="18"/>
              </w:rPr>
            </w:pPr>
            <w:r w:rsidRPr="00616B61">
              <w:rPr>
                <w:sz w:val="18"/>
                <w:szCs w:val="18"/>
              </w:rPr>
              <w:t>0,6</w:t>
            </w:r>
          </w:p>
        </w:tc>
        <w:tc>
          <w:tcPr>
            <w:tcW w:w="4048" w:type="dxa"/>
            <w:tcBorders>
              <w:right w:val="single" w:sz="8" w:space="0" w:color="auto"/>
            </w:tcBorders>
            <w:shd w:val="clear" w:color="auto" w:fill="auto"/>
            <w:vAlign w:val="center"/>
          </w:tcPr>
          <w:p w14:paraId="30710E74" w14:textId="77777777" w:rsidR="00C50E91" w:rsidRPr="00616B61" w:rsidRDefault="00C50E91" w:rsidP="00934FCA">
            <w:pPr>
              <w:spacing w:after="0" w:line="240" w:lineRule="auto"/>
              <w:jc w:val="center"/>
              <w:rPr>
                <w:sz w:val="18"/>
                <w:szCs w:val="18"/>
              </w:rPr>
            </w:pPr>
            <w:r w:rsidRPr="00616B61">
              <w:rPr>
                <w:sz w:val="18"/>
                <w:szCs w:val="18"/>
              </w:rPr>
              <w:t>246 ± 46 / 0,023</w:t>
            </w:r>
          </w:p>
        </w:tc>
      </w:tr>
      <w:tr w:rsidR="00C50E91" w:rsidRPr="00693200" w14:paraId="45D1D315" w14:textId="77777777" w:rsidTr="007D2B29">
        <w:trPr>
          <w:trHeight w:val="434"/>
          <w:jc w:val="center"/>
        </w:trPr>
        <w:tc>
          <w:tcPr>
            <w:tcW w:w="1639" w:type="dxa"/>
            <w:tcBorders>
              <w:left w:val="single" w:sz="8" w:space="0" w:color="auto"/>
            </w:tcBorders>
            <w:shd w:val="clear" w:color="auto" w:fill="auto"/>
            <w:vAlign w:val="center"/>
          </w:tcPr>
          <w:p w14:paraId="5FF38AEE" w14:textId="77777777" w:rsidR="00C50E91" w:rsidRPr="00616B61" w:rsidRDefault="00C50E91" w:rsidP="00934FCA">
            <w:pPr>
              <w:spacing w:after="0" w:line="240" w:lineRule="auto"/>
              <w:jc w:val="center"/>
              <w:rPr>
                <w:sz w:val="18"/>
                <w:szCs w:val="18"/>
              </w:rPr>
            </w:pPr>
            <w:r w:rsidRPr="00616B61">
              <w:rPr>
                <w:sz w:val="18"/>
                <w:szCs w:val="18"/>
              </w:rPr>
              <w:t>14.000</w:t>
            </w:r>
          </w:p>
        </w:tc>
        <w:tc>
          <w:tcPr>
            <w:tcW w:w="1843" w:type="dxa"/>
            <w:shd w:val="clear" w:color="auto" w:fill="auto"/>
            <w:vAlign w:val="center"/>
          </w:tcPr>
          <w:p w14:paraId="1D25A9E6" w14:textId="77777777" w:rsidR="00C50E91" w:rsidRPr="00616B61" w:rsidRDefault="00C50E91" w:rsidP="00934FCA">
            <w:pPr>
              <w:spacing w:after="0" w:line="240" w:lineRule="auto"/>
              <w:jc w:val="center"/>
              <w:rPr>
                <w:sz w:val="18"/>
                <w:szCs w:val="18"/>
              </w:rPr>
            </w:pPr>
            <w:r w:rsidRPr="00616B61">
              <w:rPr>
                <w:sz w:val="18"/>
                <w:szCs w:val="18"/>
              </w:rPr>
              <w:t>0,8</w:t>
            </w:r>
          </w:p>
        </w:tc>
        <w:tc>
          <w:tcPr>
            <w:tcW w:w="4048" w:type="dxa"/>
            <w:tcBorders>
              <w:right w:val="single" w:sz="8" w:space="0" w:color="auto"/>
            </w:tcBorders>
            <w:shd w:val="clear" w:color="auto" w:fill="auto"/>
            <w:vAlign w:val="center"/>
          </w:tcPr>
          <w:p w14:paraId="48F3A370" w14:textId="77777777" w:rsidR="00C50E91" w:rsidRPr="00616B61" w:rsidRDefault="00C50E91" w:rsidP="00934FCA">
            <w:pPr>
              <w:spacing w:after="0" w:line="240" w:lineRule="auto"/>
              <w:jc w:val="center"/>
              <w:rPr>
                <w:sz w:val="18"/>
                <w:szCs w:val="18"/>
              </w:rPr>
            </w:pPr>
            <w:r w:rsidRPr="00616B61">
              <w:rPr>
                <w:sz w:val="18"/>
                <w:szCs w:val="18"/>
              </w:rPr>
              <w:t>235 ± 48 / 0,033</w:t>
            </w:r>
          </w:p>
        </w:tc>
      </w:tr>
      <w:tr w:rsidR="00C50E91" w:rsidRPr="00693200" w14:paraId="7183DD54" w14:textId="77777777" w:rsidTr="007D2B29">
        <w:trPr>
          <w:trHeight w:val="434"/>
          <w:jc w:val="center"/>
        </w:trPr>
        <w:tc>
          <w:tcPr>
            <w:tcW w:w="1639" w:type="dxa"/>
            <w:tcBorders>
              <w:left w:val="single" w:sz="8" w:space="0" w:color="auto"/>
            </w:tcBorders>
            <w:shd w:val="clear" w:color="auto" w:fill="auto"/>
            <w:vAlign w:val="center"/>
          </w:tcPr>
          <w:p w14:paraId="1D9BACD7" w14:textId="77777777" w:rsidR="00C50E91" w:rsidRPr="00616B61" w:rsidRDefault="00C50E91" w:rsidP="00934FCA">
            <w:pPr>
              <w:spacing w:after="0" w:line="240" w:lineRule="auto"/>
              <w:jc w:val="center"/>
              <w:rPr>
                <w:sz w:val="18"/>
                <w:szCs w:val="18"/>
              </w:rPr>
            </w:pPr>
            <w:r w:rsidRPr="00616B61">
              <w:rPr>
                <w:sz w:val="18"/>
                <w:szCs w:val="18"/>
              </w:rPr>
              <w:t>14.000</w:t>
            </w:r>
          </w:p>
        </w:tc>
        <w:tc>
          <w:tcPr>
            <w:tcW w:w="1843" w:type="dxa"/>
            <w:shd w:val="clear" w:color="auto" w:fill="auto"/>
            <w:vAlign w:val="center"/>
          </w:tcPr>
          <w:p w14:paraId="78427045" w14:textId="77777777" w:rsidR="00C50E91" w:rsidRPr="00616B61" w:rsidRDefault="00C50E91" w:rsidP="00934FCA">
            <w:pPr>
              <w:spacing w:after="0" w:line="240" w:lineRule="auto"/>
              <w:jc w:val="center"/>
              <w:rPr>
                <w:sz w:val="18"/>
                <w:szCs w:val="18"/>
              </w:rPr>
            </w:pPr>
            <w:r w:rsidRPr="00616B61">
              <w:rPr>
                <w:sz w:val="18"/>
                <w:szCs w:val="18"/>
              </w:rPr>
              <w:t>2,5</w:t>
            </w:r>
          </w:p>
        </w:tc>
        <w:tc>
          <w:tcPr>
            <w:tcW w:w="4048" w:type="dxa"/>
            <w:tcBorders>
              <w:right w:val="single" w:sz="8" w:space="0" w:color="auto"/>
            </w:tcBorders>
            <w:shd w:val="clear" w:color="auto" w:fill="auto"/>
            <w:vAlign w:val="center"/>
          </w:tcPr>
          <w:p w14:paraId="27DA01CD" w14:textId="77777777" w:rsidR="00C50E91" w:rsidRPr="00616B61" w:rsidRDefault="00C50E91" w:rsidP="00934FCA">
            <w:pPr>
              <w:spacing w:after="0" w:line="240" w:lineRule="auto"/>
              <w:jc w:val="center"/>
              <w:rPr>
                <w:sz w:val="18"/>
                <w:szCs w:val="18"/>
              </w:rPr>
            </w:pPr>
            <w:r w:rsidRPr="00616B61">
              <w:rPr>
                <w:sz w:val="18"/>
                <w:szCs w:val="18"/>
              </w:rPr>
              <w:t>150 ± 34 / 0,043</w:t>
            </w:r>
          </w:p>
        </w:tc>
      </w:tr>
      <w:tr w:rsidR="00C50E91" w:rsidRPr="00693200" w14:paraId="1A19AA1B" w14:textId="77777777" w:rsidTr="007D2B29">
        <w:trPr>
          <w:trHeight w:val="434"/>
          <w:jc w:val="center"/>
        </w:trPr>
        <w:tc>
          <w:tcPr>
            <w:tcW w:w="1639" w:type="dxa"/>
            <w:tcBorders>
              <w:left w:val="single" w:sz="8" w:space="0" w:color="auto"/>
              <w:bottom w:val="single" w:sz="8" w:space="0" w:color="auto"/>
            </w:tcBorders>
            <w:shd w:val="clear" w:color="auto" w:fill="auto"/>
            <w:vAlign w:val="center"/>
          </w:tcPr>
          <w:p w14:paraId="6ACEC0C5" w14:textId="77777777" w:rsidR="00C50E91" w:rsidRPr="00616B61" w:rsidRDefault="00C50E91" w:rsidP="00934FCA">
            <w:pPr>
              <w:spacing w:after="0" w:line="240" w:lineRule="auto"/>
              <w:jc w:val="center"/>
              <w:rPr>
                <w:sz w:val="18"/>
                <w:szCs w:val="18"/>
              </w:rPr>
            </w:pPr>
            <w:r w:rsidRPr="00616B61">
              <w:rPr>
                <w:sz w:val="18"/>
                <w:szCs w:val="18"/>
              </w:rPr>
              <w:t>18.000</w:t>
            </w:r>
          </w:p>
        </w:tc>
        <w:tc>
          <w:tcPr>
            <w:tcW w:w="1843" w:type="dxa"/>
            <w:tcBorders>
              <w:bottom w:val="single" w:sz="8" w:space="0" w:color="auto"/>
            </w:tcBorders>
            <w:shd w:val="clear" w:color="auto" w:fill="auto"/>
            <w:vAlign w:val="center"/>
          </w:tcPr>
          <w:p w14:paraId="18C63D14" w14:textId="77777777" w:rsidR="00C50E91" w:rsidRPr="00616B61" w:rsidRDefault="00C50E91" w:rsidP="00934FCA">
            <w:pPr>
              <w:spacing w:after="0" w:line="240" w:lineRule="auto"/>
              <w:jc w:val="center"/>
              <w:rPr>
                <w:sz w:val="18"/>
                <w:szCs w:val="18"/>
              </w:rPr>
            </w:pPr>
            <w:r w:rsidRPr="00616B61">
              <w:rPr>
                <w:sz w:val="18"/>
                <w:szCs w:val="18"/>
              </w:rPr>
              <w:t>0,8</w:t>
            </w:r>
          </w:p>
        </w:tc>
        <w:tc>
          <w:tcPr>
            <w:tcW w:w="4048" w:type="dxa"/>
            <w:tcBorders>
              <w:bottom w:val="single" w:sz="8" w:space="0" w:color="auto"/>
              <w:right w:val="single" w:sz="8" w:space="0" w:color="auto"/>
            </w:tcBorders>
            <w:shd w:val="clear" w:color="auto" w:fill="auto"/>
            <w:vAlign w:val="center"/>
          </w:tcPr>
          <w:p w14:paraId="0821F752" w14:textId="77777777" w:rsidR="00C50E91" w:rsidRPr="00616B61" w:rsidRDefault="00C50E91" w:rsidP="00934FCA">
            <w:pPr>
              <w:spacing w:after="0" w:line="240" w:lineRule="auto"/>
              <w:jc w:val="center"/>
              <w:rPr>
                <w:sz w:val="18"/>
                <w:szCs w:val="18"/>
              </w:rPr>
            </w:pPr>
            <w:r w:rsidRPr="00616B61">
              <w:rPr>
                <w:sz w:val="18"/>
                <w:szCs w:val="18"/>
              </w:rPr>
              <w:t>221 ± 38 / 0,021</w:t>
            </w:r>
          </w:p>
        </w:tc>
      </w:tr>
    </w:tbl>
    <w:p w14:paraId="659F92D1" w14:textId="77777777" w:rsidR="00C50E91" w:rsidRDefault="00C50E91" w:rsidP="0006407F">
      <w:pPr>
        <w:ind w:left="697"/>
        <w:rPr>
          <w:szCs w:val="24"/>
        </w:rPr>
      </w:pPr>
    </w:p>
    <w:p w14:paraId="35D040EE" w14:textId="77777777" w:rsidR="00DC00E7" w:rsidRDefault="0038669F" w:rsidP="003C59A3">
      <w:pPr>
        <w:ind w:left="700"/>
        <w:rPr>
          <w:szCs w:val="24"/>
        </w:rPr>
      </w:pPr>
      <w:r>
        <w:rPr>
          <w:szCs w:val="24"/>
        </w:rPr>
        <w:t>Bei Verwendung des Ultra-Turrax zur Homoge</w:t>
      </w:r>
      <w:r w:rsidR="00DF3266">
        <w:rPr>
          <w:szCs w:val="24"/>
        </w:rPr>
        <w:t>nisierung der Emulsionen wurden</w:t>
      </w:r>
      <w:r>
        <w:rPr>
          <w:szCs w:val="24"/>
        </w:rPr>
        <w:t xml:space="preserve"> Partikelgrößen zwischen </w:t>
      </w:r>
      <w:r w:rsidR="00DF3266">
        <w:rPr>
          <w:szCs w:val="24"/>
        </w:rPr>
        <w:t>150 nm und 629 nm erzielt</w:t>
      </w:r>
      <w:r w:rsidR="00E36CE9">
        <w:rPr>
          <w:szCs w:val="24"/>
        </w:rPr>
        <w:t>.</w:t>
      </w:r>
    </w:p>
    <w:p w14:paraId="1157BE9C" w14:textId="77777777" w:rsidR="0038669F" w:rsidRDefault="0038669F" w:rsidP="003C59A3">
      <w:pPr>
        <w:ind w:left="700"/>
        <w:rPr>
          <w:szCs w:val="24"/>
        </w:rPr>
      </w:pPr>
      <w:r>
        <w:rPr>
          <w:szCs w:val="24"/>
        </w:rPr>
        <w:t>Der mittlere Partikeldurchmesser von 629 nm resultierte bei einer Rotationsgeschwin</w:t>
      </w:r>
      <w:r w:rsidR="005515CE">
        <w:rPr>
          <w:szCs w:val="24"/>
        </w:rPr>
        <w:t>-</w:t>
      </w:r>
      <w:r>
        <w:rPr>
          <w:szCs w:val="24"/>
        </w:rPr>
        <w:t>d</w:t>
      </w:r>
      <w:r w:rsidR="00E36CE9">
        <w:rPr>
          <w:szCs w:val="24"/>
        </w:rPr>
        <w:t>igkeit von 10.000 Up</w:t>
      </w:r>
      <w:r w:rsidR="000550BE">
        <w:rPr>
          <w:szCs w:val="24"/>
        </w:rPr>
        <w:t>M und einer PVA Konzentrat</w:t>
      </w:r>
      <w:r w:rsidR="00773F29">
        <w:rPr>
          <w:szCs w:val="24"/>
        </w:rPr>
        <w:t>ion von 0,6%. Der</w:t>
      </w:r>
      <w:r w:rsidR="000550BE">
        <w:rPr>
          <w:szCs w:val="24"/>
        </w:rPr>
        <w:t xml:space="preserve"> PDI </w:t>
      </w:r>
      <w:r w:rsidR="00DF3266">
        <w:rPr>
          <w:szCs w:val="24"/>
        </w:rPr>
        <w:t xml:space="preserve">bei diesem Versuch </w:t>
      </w:r>
      <w:r w:rsidR="00DC00E7">
        <w:rPr>
          <w:szCs w:val="24"/>
        </w:rPr>
        <w:t>von 0,383 war</w:t>
      </w:r>
      <w:r w:rsidR="00773F29">
        <w:rPr>
          <w:szCs w:val="24"/>
        </w:rPr>
        <w:t xml:space="preserve"> deutlich höher als bei</w:t>
      </w:r>
      <w:r w:rsidR="00666B3F">
        <w:rPr>
          <w:szCs w:val="24"/>
        </w:rPr>
        <w:t xml:space="preserve"> allen Versuchen mit höheren</w:t>
      </w:r>
      <w:r>
        <w:rPr>
          <w:szCs w:val="24"/>
        </w:rPr>
        <w:t xml:space="preserve"> Rotations</w:t>
      </w:r>
      <w:r w:rsidR="005515CE">
        <w:rPr>
          <w:szCs w:val="24"/>
        </w:rPr>
        <w:t>-</w:t>
      </w:r>
      <w:r>
        <w:rPr>
          <w:szCs w:val="24"/>
        </w:rPr>
        <w:t>geschwindigkeit</w:t>
      </w:r>
      <w:r w:rsidR="00666B3F">
        <w:rPr>
          <w:szCs w:val="24"/>
        </w:rPr>
        <w:t>en</w:t>
      </w:r>
      <w:r w:rsidR="00773F29">
        <w:rPr>
          <w:szCs w:val="24"/>
        </w:rPr>
        <w:t xml:space="preserve">. Auch die Standardabweichung war hier mit </w:t>
      </w:r>
      <w:r w:rsidR="00A43F16">
        <w:rPr>
          <w:szCs w:val="24"/>
        </w:rPr>
        <w:sym w:font="Symbol" w:char="F0B1"/>
      </w:r>
      <w:r w:rsidR="00773F29">
        <w:rPr>
          <w:szCs w:val="24"/>
        </w:rPr>
        <w:t>77 nm am grö</w:t>
      </w:r>
      <w:r w:rsidR="0016342E">
        <w:rPr>
          <w:szCs w:val="24"/>
        </w:rPr>
        <w:t>ßten.</w:t>
      </w:r>
    </w:p>
    <w:p w14:paraId="6E381979" w14:textId="77777777" w:rsidR="00DF3266" w:rsidRDefault="00DF3266" w:rsidP="003C59A3">
      <w:pPr>
        <w:ind w:left="700"/>
        <w:rPr>
          <w:szCs w:val="24"/>
        </w:rPr>
      </w:pPr>
      <w:r>
        <w:rPr>
          <w:szCs w:val="24"/>
        </w:rPr>
        <w:t xml:space="preserve">Die mittlere Standardabweichung bei den Versuchen mit </w:t>
      </w:r>
      <w:r w:rsidR="00A42702">
        <w:rPr>
          <w:szCs w:val="24"/>
        </w:rPr>
        <w:t>14.000 Up</w:t>
      </w:r>
      <w:r w:rsidR="0006407F">
        <w:rPr>
          <w:szCs w:val="24"/>
        </w:rPr>
        <w:t>M betrug</w:t>
      </w:r>
      <w:r>
        <w:rPr>
          <w:szCs w:val="24"/>
        </w:rPr>
        <w:t xml:space="preserve"> 46,25 nm (</w:t>
      </w:r>
      <w:r>
        <w:rPr>
          <w:szCs w:val="24"/>
        </w:rPr>
        <w:sym w:font="Symbol" w:char="F0B1"/>
      </w:r>
      <w:r>
        <w:rPr>
          <w:szCs w:val="24"/>
        </w:rPr>
        <w:t>8,2</w:t>
      </w:r>
      <w:r w:rsidR="00E36CE9">
        <w:rPr>
          <w:szCs w:val="24"/>
        </w:rPr>
        <w:t> nm</w:t>
      </w:r>
      <w:r w:rsidR="0006407F">
        <w:rPr>
          <w:szCs w:val="24"/>
        </w:rPr>
        <w:t>) und der mittlere PDI lag</w:t>
      </w:r>
      <w:r>
        <w:rPr>
          <w:szCs w:val="24"/>
        </w:rPr>
        <w:t xml:space="preserve"> bei 0,031 (</w:t>
      </w:r>
      <w:r>
        <w:rPr>
          <w:szCs w:val="24"/>
        </w:rPr>
        <w:sym w:font="Symbol" w:char="F0B1"/>
      </w:r>
      <w:r>
        <w:rPr>
          <w:szCs w:val="24"/>
        </w:rPr>
        <w:t>0,008). Durch Variation der PVA Konzentration konnte die Partikelgröße</w:t>
      </w:r>
      <w:r w:rsidR="005F14C6">
        <w:rPr>
          <w:szCs w:val="24"/>
        </w:rPr>
        <w:t xml:space="preserve"> bei konstanter Rotati</w:t>
      </w:r>
      <w:r w:rsidR="00A42702">
        <w:rPr>
          <w:szCs w:val="24"/>
        </w:rPr>
        <w:t>onsgeschwindigkeit von 14.000 Up</w:t>
      </w:r>
      <w:r w:rsidR="005F14C6">
        <w:rPr>
          <w:szCs w:val="24"/>
        </w:rPr>
        <w:t>M zwischen 150 nm und 278 nm variiert werden. Mit steigenden PVA Konzentrationen nimmt die Partikelgröße ab.</w:t>
      </w:r>
      <w:r w:rsidR="00C652C5">
        <w:rPr>
          <w:szCs w:val="24"/>
        </w:rPr>
        <w:t xml:space="preserve"> Bei allen Versuchen mit einer Rotati</w:t>
      </w:r>
      <w:r w:rsidR="00A42702">
        <w:rPr>
          <w:szCs w:val="24"/>
        </w:rPr>
        <w:t>onsgeschwindigkeit von 14.000 Up</w:t>
      </w:r>
      <w:r w:rsidR="00C652C5">
        <w:rPr>
          <w:szCs w:val="24"/>
        </w:rPr>
        <w:t>M war der PDI kleiner als 0,05.</w:t>
      </w:r>
    </w:p>
    <w:p w14:paraId="793616A3" w14:textId="77777777" w:rsidR="00DF3266" w:rsidRDefault="00DF3266" w:rsidP="003C59A3">
      <w:pPr>
        <w:ind w:left="700"/>
        <w:rPr>
          <w:szCs w:val="24"/>
        </w:rPr>
      </w:pPr>
      <w:r>
        <w:rPr>
          <w:szCs w:val="24"/>
        </w:rPr>
        <w:t>Durch Erhöhung der Rotationsgeschwindigkeit</w:t>
      </w:r>
      <w:r w:rsidR="00A42702">
        <w:rPr>
          <w:szCs w:val="24"/>
        </w:rPr>
        <w:t xml:space="preserve"> von 14.000 Up</w:t>
      </w:r>
      <w:r w:rsidR="00E36CE9">
        <w:rPr>
          <w:szCs w:val="24"/>
        </w:rPr>
        <w:t>M auf 18.000 Up</w:t>
      </w:r>
      <w:r w:rsidR="00E1563B">
        <w:rPr>
          <w:szCs w:val="24"/>
        </w:rPr>
        <w:t>M</w:t>
      </w:r>
      <w:r w:rsidR="00E36CE9">
        <w:rPr>
          <w:szCs w:val="24"/>
        </w:rPr>
        <w:t xml:space="preserve"> bei gleichbleibender PVA </w:t>
      </w:r>
      <w:r>
        <w:rPr>
          <w:szCs w:val="24"/>
        </w:rPr>
        <w:t xml:space="preserve">Konzentration von 0,8% konnte der mittlere Partikeldurchmesser </w:t>
      </w:r>
      <w:r w:rsidR="00E330EA">
        <w:rPr>
          <w:szCs w:val="24"/>
        </w:rPr>
        <w:t>nur geringfügig</w:t>
      </w:r>
      <w:r w:rsidR="002510FA">
        <w:rPr>
          <w:szCs w:val="24"/>
        </w:rPr>
        <w:t xml:space="preserve"> um 14 nm</w:t>
      </w:r>
      <w:r>
        <w:rPr>
          <w:szCs w:val="24"/>
        </w:rPr>
        <w:t xml:space="preserve"> reduziert werden.</w:t>
      </w:r>
      <w:r w:rsidR="00E330EA">
        <w:rPr>
          <w:szCs w:val="24"/>
        </w:rPr>
        <w:t xml:space="preserve"> Bei dre</w:t>
      </w:r>
      <w:r w:rsidR="002510FA">
        <w:rPr>
          <w:szCs w:val="24"/>
        </w:rPr>
        <w:t>i durchgeführten Versuchen lag</w:t>
      </w:r>
      <w:r w:rsidR="00E330EA">
        <w:rPr>
          <w:szCs w:val="24"/>
        </w:rPr>
        <w:t xml:space="preserve"> d</w:t>
      </w:r>
      <w:r w:rsidR="002510FA">
        <w:rPr>
          <w:szCs w:val="24"/>
        </w:rPr>
        <w:t>ie Differenz der mittleren Partikelgröße noch</w:t>
      </w:r>
      <w:r w:rsidR="00E330EA">
        <w:rPr>
          <w:szCs w:val="24"/>
        </w:rPr>
        <w:t xml:space="preserve"> innerhalb der Standardabweichung.</w:t>
      </w:r>
      <w:r w:rsidR="005F14C6">
        <w:rPr>
          <w:szCs w:val="24"/>
        </w:rPr>
        <w:t xml:space="preserve"> </w:t>
      </w:r>
      <w:r w:rsidR="00641CBB">
        <w:rPr>
          <w:szCs w:val="24"/>
        </w:rPr>
        <w:t>Die</w:t>
      </w:r>
      <w:r w:rsidR="002510FA">
        <w:rPr>
          <w:szCs w:val="24"/>
        </w:rPr>
        <w:t xml:space="preserve"> Erhöhnung der Rotationsgeschwindigkeit</w:t>
      </w:r>
      <w:r w:rsidR="005F14C6">
        <w:rPr>
          <w:szCs w:val="24"/>
        </w:rPr>
        <w:t xml:space="preserve"> führt</w:t>
      </w:r>
      <w:r w:rsidR="00C60E78">
        <w:rPr>
          <w:szCs w:val="24"/>
        </w:rPr>
        <w:t>e</w:t>
      </w:r>
      <w:r w:rsidR="005F14C6">
        <w:rPr>
          <w:szCs w:val="24"/>
        </w:rPr>
        <w:t xml:space="preserve"> lediglich durch stärkere Erwärmung </w:t>
      </w:r>
      <w:r w:rsidR="00CE58DD">
        <w:rPr>
          <w:szCs w:val="24"/>
        </w:rPr>
        <w:t xml:space="preserve">der Probe </w:t>
      </w:r>
      <w:r w:rsidR="005F14C6">
        <w:rPr>
          <w:szCs w:val="24"/>
        </w:rPr>
        <w:t>zu ein</w:t>
      </w:r>
      <w:r w:rsidR="00C60E78">
        <w:rPr>
          <w:szCs w:val="24"/>
        </w:rPr>
        <w:t>er höheren Produktbeanspruchung und eignete sich weniger zur Einstellung der Partikelgröße.</w:t>
      </w:r>
    </w:p>
    <w:p w14:paraId="2B0F69C5" w14:textId="77777777" w:rsidR="0016342E" w:rsidRDefault="0016342E" w:rsidP="003C59A3">
      <w:pPr>
        <w:ind w:left="700"/>
        <w:rPr>
          <w:szCs w:val="24"/>
        </w:rPr>
      </w:pPr>
      <w:r>
        <w:rPr>
          <w:szCs w:val="24"/>
        </w:rPr>
        <w:t>Eine 5 minütige Homogenisierung mit einer Rotati</w:t>
      </w:r>
      <w:r w:rsidR="00E36CE9">
        <w:rPr>
          <w:szCs w:val="24"/>
        </w:rPr>
        <w:t>onsgeschwindigkeit von 10.000 Up</w:t>
      </w:r>
      <w:r w:rsidR="00040533">
        <w:rPr>
          <w:szCs w:val="24"/>
        </w:rPr>
        <w:t xml:space="preserve">M ist </w:t>
      </w:r>
      <w:r>
        <w:rPr>
          <w:szCs w:val="24"/>
        </w:rPr>
        <w:t>ungeeignet</w:t>
      </w:r>
      <w:r w:rsidR="00BB7DE7">
        <w:rPr>
          <w:szCs w:val="24"/>
        </w:rPr>
        <w:t>, da die Partikelgrößenverteilung deutlich zu breit war (PDI 0,383)</w:t>
      </w:r>
      <w:r>
        <w:rPr>
          <w:szCs w:val="24"/>
        </w:rPr>
        <w:t xml:space="preserve">. Durch Verlängerung der Homogenisierungszeit könnte das Ergebnis voraussichtlich verbessert werden, dies wurde jedoch wegen der stärkeren Erwärmung </w:t>
      </w:r>
      <w:r>
        <w:rPr>
          <w:szCs w:val="24"/>
        </w:rPr>
        <w:lastRenderedPageBreak/>
        <w:t>der Probe nicht in Erwägun</w:t>
      </w:r>
      <w:r w:rsidR="009E0DAC">
        <w:rPr>
          <w:szCs w:val="24"/>
        </w:rPr>
        <w:t xml:space="preserve">g gezogen. Dass </w:t>
      </w:r>
      <w:r w:rsidR="00E36CE9">
        <w:rPr>
          <w:szCs w:val="24"/>
        </w:rPr>
        <w:t xml:space="preserve">bei diesem Versuch </w:t>
      </w:r>
      <w:r w:rsidR="009E0DAC">
        <w:rPr>
          <w:szCs w:val="24"/>
        </w:rPr>
        <w:t>die</w:t>
      </w:r>
      <w:r w:rsidR="00E36CE9">
        <w:rPr>
          <w:szCs w:val="24"/>
        </w:rPr>
        <w:t xml:space="preserve"> geringe</w:t>
      </w:r>
      <w:r w:rsidR="009E0DAC">
        <w:rPr>
          <w:szCs w:val="24"/>
        </w:rPr>
        <w:t xml:space="preserve"> PVA K</w:t>
      </w:r>
      <w:r>
        <w:rPr>
          <w:szCs w:val="24"/>
        </w:rPr>
        <w:t>onzentration</w:t>
      </w:r>
      <w:r w:rsidR="00E36CE9">
        <w:rPr>
          <w:szCs w:val="24"/>
        </w:rPr>
        <w:t xml:space="preserve"> von 0,6% für den hohen PDI verantwortlich war</w:t>
      </w:r>
      <w:r>
        <w:rPr>
          <w:szCs w:val="24"/>
        </w:rPr>
        <w:t>,</w:t>
      </w:r>
      <w:r w:rsidR="001C2AA6">
        <w:rPr>
          <w:szCs w:val="24"/>
        </w:rPr>
        <w:t xml:space="preserve"> kann ausgeschlossen werden, da</w:t>
      </w:r>
      <w:r>
        <w:rPr>
          <w:szCs w:val="24"/>
        </w:rPr>
        <w:t xml:space="preserve"> </w:t>
      </w:r>
      <w:r w:rsidR="00BB7DE7">
        <w:rPr>
          <w:szCs w:val="24"/>
        </w:rPr>
        <w:t xml:space="preserve">in einem anderen Versuch </w:t>
      </w:r>
      <w:r>
        <w:rPr>
          <w:szCs w:val="24"/>
        </w:rPr>
        <w:t xml:space="preserve">bereits 0,5% </w:t>
      </w:r>
      <w:r w:rsidR="00E36CE9">
        <w:rPr>
          <w:szCs w:val="24"/>
        </w:rPr>
        <w:t xml:space="preserve">PVA </w:t>
      </w:r>
      <w:r>
        <w:rPr>
          <w:szCs w:val="24"/>
        </w:rPr>
        <w:t>ausrei</w:t>
      </w:r>
      <w:r w:rsidR="00E36CE9">
        <w:rPr>
          <w:szCs w:val="24"/>
        </w:rPr>
        <w:t>chend waren</w:t>
      </w:r>
      <w:r w:rsidR="009E0DAC">
        <w:rPr>
          <w:szCs w:val="24"/>
        </w:rPr>
        <w:t>, um</w:t>
      </w:r>
      <w:r>
        <w:rPr>
          <w:szCs w:val="24"/>
        </w:rPr>
        <w:t xml:space="preserve"> Partikel </w:t>
      </w:r>
      <w:r w:rsidR="009E0DAC">
        <w:rPr>
          <w:szCs w:val="24"/>
        </w:rPr>
        <w:t xml:space="preserve">der Größe von 278 nm </w:t>
      </w:r>
      <w:r w:rsidR="007644DA">
        <w:rPr>
          <w:szCs w:val="24"/>
        </w:rPr>
        <w:t xml:space="preserve">sehr gut </w:t>
      </w:r>
      <w:r>
        <w:rPr>
          <w:szCs w:val="24"/>
        </w:rPr>
        <w:t>zu stabilisieren</w:t>
      </w:r>
      <w:r w:rsidR="007644DA">
        <w:rPr>
          <w:szCs w:val="24"/>
        </w:rPr>
        <w:t xml:space="preserve"> (PDI 0,024)</w:t>
      </w:r>
      <w:r>
        <w:rPr>
          <w:szCs w:val="24"/>
        </w:rPr>
        <w:t>. Da die Erh</w:t>
      </w:r>
      <w:r w:rsidR="00A42702">
        <w:rPr>
          <w:szCs w:val="24"/>
        </w:rPr>
        <w:t>öhung der Drehzahl von 14.000 UpM auf 18.000 Up</w:t>
      </w:r>
      <w:r>
        <w:rPr>
          <w:szCs w:val="24"/>
        </w:rPr>
        <w:t>M keinen Vorteil brachte,</w:t>
      </w:r>
      <w:r w:rsidR="00BB7DE7">
        <w:rPr>
          <w:szCs w:val="24"/>
        </w:rPr>
        <w:t xml:space="preserve"> wird als optimales Ergebnis eine</w:t>
      </w:r>
      <w:r w:rsidR="001C2AA6">
        <w:rPr>
          <w:szCs w:val="24"/>
        </w:rPr>
        <w:t xml:space="preserve"> Ro</w:t>
      </w:r>
      <w:r w:rsidR="00A42702">
        <w:rPr>
          <w:szCs w:val="24"/>
        </w:rPr>
        <w:t xml:space="preserve">tationsgeschwindigkeit </w:t>
      </w:r>
      <w:r w:rsidR="00BB7DE7">
        <w:rPr>
          <w:szCs w:val="24"/>
        </w:rPr>
        <w:t xml:space="preserve">von </w:t>
      </w:r>
      <w:r w:rsidR="00A42702">
        <w:rPr>
          <w:szCs w:val="24"/>
        </w:rPr>
        <w:t>14.000 Up</w:t>
      </w:r>
      <w:r w:rsidR="001C2AA6">
        <w:rPr>
          <w:szCs w:val="24"/>
        </w:rPr>
        <w:t>M</w:t>
      </w:r>
      <w:r w:rsidR="00BB7DE7">
        <w:rPr>
          <w:szCs w:val="24"/>
        </w:rPr>
        <w:t xml:space="preserve"> festgehalten. Die Einstellung der Partikelgröße durch</w:t>
      </w:r>
      <w:r w:rsidR="001C2AA6">
        <w:rPr>
          <w:szCs w:val="24"/>
        </w:rPr>
        <w:t xml:space="preserve"> Variation der Rotationsge</w:t>
      </w:r>
      <w:r w:rsidR="00BB7DE7">
        <w:rPr>
          <w:szCs w:val="24"/>
        </w:rPr>
        <w:t>schwindigkeit ist nicht empfehlenswert</w:t>
      </w:r>
      <w:r w:rsidR="001C2AA6">
        <w:rPr>
          <w:szCs w:val="24"/>
        </w:rPr>
        <w:t xml:space="preserve">. In den </w:t>
      </w:r>
      <w:r w:rsidR="00E36CE9">
        <w:rPr>
          <w:szCs w:val="24"/>
        </w:rPr>
        <w:t>anschließend</w:t>
      </w:r>
      <w:r w:rsidR="00BB7DE7">
        <w:rPr>
          <w:szCs w:val="24"/>
        </w:rPr>
        <w:t>en Vergleich mit</w:t>
      </w:r>
      <w:r w:rsidR="00E36CE9">
        <w:rPr>
          <w:szCs w:val="24"/>
        </w:rPr>
        <w:t xml:space="preserve"> der Hochdruckhomogenisation </w:t>
      </w:r>
      <w:r w:rsidR="001C2AA6">
        <w:rPr>
          <w:szCs w:val="24"/>
        </w:rPr>
        <w:t>fließen ausschließl</w:t>
      </w:r>
      <w:r w:rsidR="00A42702">
        <w:rPr>
          <w:szCs w:val="24"/>
        </w:rPr>
        <w:t>ich die Ergebnisse mit 14.000 Up</w:t>
      </w:r>
      <w:r w:rsidR="001C2AA6">
        <w:rPr>
          <w:szCs w:val="24"/>
        </w:rPr>
        <w:t>M ein.</w:t>
      </w:r>
    </w:p>
    <w:p w14:paraId="09597C77" w14:textId="77777777" w:rsidR="00F42920" w:rsidRDefault="00F42920" w:rsidP="00F42920">
      <w:pPr>
        <w:rPr>
          <w:szCs w:val="24"/>
        </w:rPr>
      </w:pPr>
    </w:p>
    <w:p w14:paraId="4908A929" w14:textId="77777777" w:rsidR="001A6F89" w:rsidRPr="00032AD6" w:rsidRDefault="001A6F89" w:rsidP="001A6F89">
      <w:pPr>
        <w:pStyle w:val="berschrift5"/>
        <w:spacing w:after="240"/>
        <w:rPr>
          <w:color w:val="auto"/>
        </w:rPr>
      </w:pPr>
      <w:bookmarkStart w:id="172" w:name="_Toc294380224"/>
      <w:r w:rsidRPr="00032AD6">
        <w:rPr>
          <w:color w:val="auto"/>
        </w:rPr>
        <w:t xml:space="preserve">Vergleich </w:t>
      </w:r>
      <w:r w:rsidR="00945663" w:rsidRPr="00032AD6">
        <w:rPr>
          <w:color w:val="auto"/>
        </w:rPr>
        <w:t>zwischen</w:t>
      </w:r>
      <w:r w:rsidRPr="00032AD6">
        <w:rPr>
          <w:color w:val="auto"/>
        </w:rPr>
        <w:t xml:space="preserve"> </w:t>
      </w:r>
      <w:r w:rsidR="00945663" w:rsidRPr="00032AD6">
        <w:rPr>
          <w:color w:val="auto"/>
        </w:rPr>
        <w:t>Microfluidizer und Ultra-Turrax</w:t>
      </w:r>
      <w:bookmarkEnd w:id="172"/>
    </w:p>
    <w:p w14:paraId="6C4E721E" w14:textId="77777777" w:rsidR="00F42920" w:rsidRDefault="00805F6A" w:rsidP="004877C9">
      <w:pPr>
        <w:ind w:left="708"/>
        <w:rPr>
          <w:szCs w:val="24"/>
        </w:rPr>
      </w:pPr>
      <w:r>
        <w:rPr>
          <w:szCs w:val="24"/>
        </w:rPr>
        <w:t>Beide Homogenisierungsverfahren</w:t>
      </w:r>
      <w:r w:rsidR="00453AE2">
        <w:rPr>
          <w:szCs w:val="24"/>
        </w:rPr>
        <w:t xml:space="preserve"> eigneten</w:t>
      </w:r>
      <w:r w:rsidR="00157A58">
        <w:rPr>
          <w:szCs w:val="24"/>
        </w:rPr>
        <w:t xml:space="preserve"> sich zur Herstellung von Nanopartikeln aus Resomer</w:t>
      </w:r>
      <w:r w:rsidR="001856C4" w:rsidRPr="00902C2E">
        <w:rPr>
          <w:vertAlign w:val="superscript"/>
        </w:rPr>
        <w:t>®</w:t>
      </w:r>
      <w:r w:rsidR="00E1563B">
        <w:rPr>
          <w:szCs w:val="24"/>
        </w:rPr>
        <w:t> RG 503 H innerhalb des angestrebten Größ</w:t>
      </w:r>
      <w:r w:rsidR="00762898">
        <w:rPr>
          <w:szCs w:val="24"/>
        </w:rPr>
        <w:t>enbereichs zwischen 200 nm und 5</w:t>
      </w:r>
      <w:r w:rsidR="00E1563B">
        <w:rPr>
          <w:szCs w:val="24"/>
        </w:rPr>
        <w:t xml:space="preserve">00 nm. </w:t>
      </w:r>
      <w:r w:rsidR="00B7744D">
        <w:rPr>
          <w:szCs w:val="24"/>
        </w:rPr>
        <w:t>D</w:t>
      </w:r>
      <w:r w:rsidR="001C2AA6">
        <w:rPr>
          <w:szCs w:val="24"/>
        </w:rPr>
        <w:t>urch Verwendung des Microfluidizers</w:t>
      </w:r>
      <w:r w:rsidR="00B7744D">
        <w:rPr>
          <w:szCs w:val="24"/>
        </w:rPr>
        <w:t xml:space="preserve"> konnte ein Bereich zwischen 105 nm und 430 mn</w:t>
      </w:r>
      <w:r w:rsidR="001C2AA6">
        <w:rPr>
          <w:szCs w:val="24"/>
        </w:rPr>
        <w:t xml:space="preserve"> bedient w</w:t>
      </w:r>
      <w:r w:rsidR="00156D9E">
        <w:rPr>
          <w:szCs w:val="24"/>
        </w:rPr>
        <w:t>erden, mit dem</w:t>
      </w:r>
      <w:r w:rsidR="001C2AA6">
        <w:rPr>
          <w:szCs w:val="24"/>
        </w:rPr>
        <w:t xml:space="preserve"> Ultra-Turrax </w:t>
      </w:r>
      <w:r w:rsidR="00156D9E">
        <w:rPr>
          <w:szCs w:val="24"/>
        </w:rPr>
        <w:t xml:space="preserve">konnten Partikel mit einer engen Größenverteilung lediglich </w:t>
      </w:r>
      <w:r w:rsidR="00B7744D">
        <w:rPr>
          <w:szCs w:val="24"/>
        </w:rPr>
        <w:t>zwischen 150 nm und</w:t>
      </w:r>
      <w:r w:rsidR="00156D9E">
        <w:rPr>
          <w:szCs w:val="24"/>
        </w:rPr>
        <w:t xml:space="preserve"> 278 nm hergestellt werden.</w:t>
      </w:r>
    </w:p>
    <w:p w14:paraId="187CDC24" w14:textId="77777777" w:rsidR="005F14C6" w:rsidRDefault="00156D9E" w:rsidP="004877C9">
      <w:pPr>
        <w:ind w:left="708"/>
      </w:pPr>
      <w:r>
        <w:rPr>
          <w:szCs w:val="24"/>
        </w:rPr>
        <w:t xml:space="preserve">Darüber </w:t>
      </w:r>
      <w:r w:rsidR="002137F1">
        <w:rPr>
          <w:szCs w:val="24"/>
        </w:rPr>
        <w:t>hinaus bietet die Hochdruckhomogenisation mit dem Microfluidizer</w:t>
      </w:r>
      <w:r>
        <w:rPr>
          <w:szCs w:val="24"/>
        </w:rPr>
        <w:t xml:space="preserve"> gegen</w:t>
      </w:r>
      <w:r w:rsidR="002137F1">
        <w:rPr>
          <w:szCs w:val="24"/>
        </w:rPr>
        <w:t>über der Verwendung eines</w:t>
      </w:r>
      <w:r>
        <w:rPr>
          <w:szCs w:val="24"/>
        </w:rPr>
        <w:t xml:space="preserve"> Ultra-Turr</w:t>
      </w:r>
      <w:r w:rsidR="009B1E88">
        <w:rPr>
          <w:szCs w:val="24"/>
        </w:rPr>
        <w:t>ax noch einige weitere Vorteile:</w:t>
      </w:r>
      <w:r>
        <w:rPr>
          <w:szCs w:val="24"/>
        </w:rPr>
        <w:t xml:space="preserve"> Die mittlere Standardabweichung des Partikeldurchmessers betrug beim Ultra-Turrax 46,25 nm (</w:t>
      </w:r>
      <w:r>
        <w:rPr>
          <w:szCs w:val="24"/>
        </w:rPr>
        <w:sym w:font="Symbol" w:char="F0B1"/>
      </w:r>
      <w:r>
        <w:rPr>
          <w:szCs w:val="24"/>
        </w:rPr>
        <w:t>8,2 nm) und beim Microfluidizer 13,0 nm (</w:t>
      </w:r>
      <w:r>
        <w:rPr>
          <w:szCs w:val="24"/>
        </w:rPr>
        <w:sym w:font="Symbol" w:char="F0B1"/>
      </w:r>
      <w:r>
        <w:rPr>
          <w:szCs w:val="24"/>
        </w:rPr>
        <w:t>3,05</w:t>
      </w:r>
      <w:r w:rsidR="002137F1">
        <w:t xml:space="preserve">nm). Dies bedeutet, dass durch Verwendung des </w:t>
      </w:r>
      <w:r>
        <w:t>Microfluidizers</w:t>
      </w:r>
      <w:r w:rsidR="002137F1">
        <w:t xml:space="preserve"> anstelle eines Ultra-Turrax die Reproduzierbarkeit deutlich gesteige</w:t>
      </w:r>
      <w:r w:rsidR="00D00B99">
        <w:t xml:space="preserve">rt werden konnte. </w:t>
      </w:r>
      <w:r w:rsidR="004F7709">
        <w:t xml:space="preserve">Folglich </w:t>
      </w:r>
      <w:r w:rsidR="00D00B99">
        <w:t xml:space="preserve">kann die Partikelgröße </w:t>
      </w:r>
      <w:r w:rsidR="004F7709">
        <w:t xml:space="preserve">mit dem Microfluidizer </w:t>
      </w:r>
      <w:r w:rsidR="00AC4266">
        <w:t>präziser eingestellt werden</w:t>
      </w:r>
      <w:r w:rsidR="00D00B99">
        <w:t xml:space="preserve"> als mit dem Ultra-Turrax.</w:t>
      </w:r>
    </w:p>
    <w:p w14:paraId="091612A5" w14:textId="77777777" w:rsidR="001F5F2B" w:rsidRDefault="004F7709" w:rsidP="004877C9">
      <w:pPr>
        <w:ind w:left="708"/>
      </w:pPr>
      <w:r>
        <w:t>Weiterhin ist der durchschnittliche PDI</w:t>
      </w:r>
      <w:r w:rsidR="001F5F2B">
        <w:t xml:space="preserve"> beim Microfluidizer mit 0,018 (</w:t>
      </w:r>
      <w:r w:rsidR="001F5F2B">
        <w:sym w:font="Symbol" w:char="F0B1"/>
      </w:r>
      <w:r w:rsidR="00255B17">
        <w:t>0,008) niedriger</w:t>
      </w:r>
      <w:r w:rsidR="001F5F2B">
        <w:t xml:space="preserve"> als beim Ultra-Turrax mit 0,031 (</w:t>
      </w:r>
      <w:r w:rsidR="001F5F2B">
        <w:sym w:font="Symbol" w:char="F0B1"/>
      </w:r>
      <w:r w:rsidR="001F5F2B">
        <w:t>0,008). Demzufolge ist die Partikelgrößenverteilung bei der Hochdruckhomogenisation etwas schmaler als bei der Rotor-Stator Homogenisierung.</w:t>
      </w:r>
    </w:p>
    <w:p w14:paraId="2ED5F4F2" w14:textId="77777777" w:rsidR="001F5F2B" w:rsidRDefault="00D00B99" w:rsidP="004877C9">
      <w:pPr>
        <w:ind w:left="708"/>
      </w:pPr>
      <w:r>
        <w:t>Ein möglichst sparsamer Einsatz von Stabilisatoren in pharmazeutischen Produkten ist grundsätzlich erstrebenswert.</w:t>
      </w:r>
      <w:r w:rsidR="009B1E88">
        <w:t xml:space="preserve"> Daher sollten</w:t>
      </w:r>
      <w:r w:rsidR="00AC4266">
        <w:t xml:space="preserve"> vorzugsweise Methoden eingesetzt</w:t>
      </w:r>
      <w:r w:rsidR="009B1E88">
        <w:t xml:space="preserve"> werden</w:t>
      </w:r>
      <w:r w:rsidR="009C7340">
        <w:t>, die eine effiziente</w:t>
      </w:r>
      <w:r>
        <w:t xml:space="preserve"> Nutzung des Stabilisators ermöglichen. Im Vergleich der beiden Homogenisierungsmethoden </w:t>
      </w:r>
      <w:r w:rsidR="009B1E88">
        <w:t xml:space="preserve">miteinander </w:t>
      </w:r>
      <w:r>
        <w:t xml:space="preserve">fällt auf, </w:t>
      </w:r>
      <w:r w:rsidR="00A053D4">
        <w:t>dass bei der Verwendung des M</w:t>
      </w:r>
      <w:r w:rsidR="00AE1522">
        <w:t xml:space="preserve">icrofluidizers </w:t>
      </w:r>
      <w:r w:rsidR="00A053D4">
        <w:t>deutlich geringere Mengen an Stabilisator benötigt wurden</w:t>
      </w:r>
      <w:r w:rsidR="009B1E88">
        <w:t xml:space="preserve"> als beim Ultra-Turrax</w:t>
      </w:r>
      <w:r w:rsidR="00A053D4">
        <w:t>.</w:t>
      </w:r>
      <w:r w:rsidR="00AE1522">
        <w:t xml:space="preserve"> </w:t>
      </w:r>
      <w:r w:rsidR="00715127">
        <w:t>B</w:t>
      </w:r>
      <w:r w:rsidR="00AE1522">
        <w:t>eim Microfluidizer</w:t>
      </w:r>
      <w:r w:rsidR="00715127">
        <w:t xml:space="preserve"> ist eine PVA Konzentration von 0,8% </w:t>
      </w:r>
      <w:r w:rsidR="007D5D51">
        <w:t xml:space="preserve">bereits ausreichend, um Nanopartikel mit einem mittleren Partikeldurchmesser </w:t>
      </w:r>
      <w:r w:rsidR="00255B17">
        <w:t>von 105 nm zu stabilisieren</w:t>
      </w:r>
      <w:r w:rsidR="00AE1522">
        <w:t xml:space="preserve">. Die kleinsten Partikel, die bei dieser Konzentration mit dem Ultra-Turrax </w:t>
      </w:r>
      <w:r w:rsidR="00AE1522">
        <w:lastRenderedPageBreak/>
        <w:t>selbst bei einer</w:t>
      </w:r>
      <w:r w:rsidR="00453AE2">
        <w:t xml:space="preserve"> erhöhten Drehzahl von 18.000 Up</w:t>
      </w:r>
      <w:r w:rsidR="00AE1522">
        <w:t xml:space="preserve">M hergestellt werden konnten, hatten einen mittleren Partikeldurchmesser von 221 nm. </w:t>
      </w:r>
      <w:r w:rsidR="00715127">
        <w:t>Um Partikel mit einem Durchmesser von 150 nm herstellen zu können, mussten beim Ultra-Tur</w:t>
      </w:r>
      <w:r w:rsidR="0021622B">
        <w:t>rax 2,5% PVA eingesetzt werden.</w:t>
      </w:r>
      <w:r w:rsidR="00F126BB">
        <w:t xml:space="preserve"> </w:t>
      </w:r>
      <w:r w:rsidR="00EF2173">
        <w:t>Bei anderen in der Fachliteratur beschriebenen Herstellungsverfahren von Doppelemulsionen sind solche Konzentrationen ebenfalls üblich</w:t>
      </w:r>
      <w:r w:rsidR="00D605B4">
        <w:t>.</w:t>
      </w:r>
      <w:r w:rsidR="0021622B">
        <w:t xml:space="preserve"> </w:t>
      </w:r>
      <w:r w:rsidR="00EF2173">
        <w:t>Die Homogenisierung von Doppelemulsionen mit</w:t>
      </w:r>
      <w:r w:rsidR="0021622B">
        <w:t xml:space="preserve"> Ultraschallsonden </w:t>
      </w:r>
      <w:r w:rsidR="00EF2173">
        <w:t>wird</w:t>
      </w:r>
      <w:r w:rsidR="00F126BB">
        <w:t xml:space="preserve"> beispielsweise</w:t>
      </w:r>
      <w:r w:rsidR="00EF2173">
        <w:t xml:space="preserve"> mit</w:t>
      </w:r>
      <w:r w:rsidR="0021622B">
        <w:t xml:space="preserve"> PVA Konzentrationen</w:t>
      </w:r>
      <w:r w:rsidR="00F126BB">
        <w:t xml:space="preserve"> zwischen 2% und 5% </w:t>
      </w:r>
      <w:r w:rsidR="00EF2173">
        <w:t>beschrieben</w:t>
      </w:r>
      <w:r w:rsidR="00EF2173">
        <w:rPr>
          <w:rStyle w:val="Endnotenzeichen"/>
        </w:rPr>
        <w:endnoteReference w:id="133"/>
      </w:r>
      <w:r w:rsidR="004C3E69">
        <w:rPr>
          <w:vertAlign w:val="superscript"/>
        </w:rPr>
        <w:t>,</w:t>
      </w:r>
      <w:r w:rsidR="004C3E69">
        <w:rPr>
          <w:rStyle w:val="Endnotenzeichen"/>
        </w:rPr>
        <w:endnoteReference w:id="134"/>
      </w:r>
      <w:r w:rsidR="0061657F">
        <w:t>.</w:t>
      </w:r>
      <w:r w:rsidR="0021622B">
        <w:t xml:space="preserve"> </w:t>
      </w:r>
      <w:r w:rsidR="00715127">
        <w:t>Ein möglicher Erklärungsansatz für dieses Phänomen ist, dass bei der Hochdruckhomogenisation der Stabilisator effektiver in der Phasengrenz</w:t>
      </w:r>
      <w:r>
        <w:t>fläche angereichert wird als bei der Rotor-Stator Homogenisierung. Die Hochdruckhomogenisation trägt</w:t>
      </w:r>
      <w:r w:rsidR="00B3154C">
        <w:t xml:space="preserve"> demzufolge zu einem sparsamen Einsatz von</w:t>
      </w:r>
      <w:r>
        <w:t xml:space="preserve"> Stabilisatoren bei der Herstellung nanopartikulärer </w:t>
      </w:r>
      <w:r w:rsidR="004F7709">
        <w:t xml:space="preserve">pharmazeutischer </w:t>
      </w:r>
      <w:r>
        <w:t>Formulierungen bei.</w:t>
      </w:r>
    </w:p>
    <w:p w14:paraId="6122B9CF" w14:textId="77777777" w:rsidR="004F7709" w:rsidRDefault="004F7709" w:rsidP="004877C9">
      <w:pPr>
        <w:ind w:left="708"/>
      </w:pPr>
      <w:r>
        <w:t>Im Hinblick auf die Reinheit und die pharmazeutische Qualität der Produkte soll außerdem darauf hingewiesen werden, dass bei der Hochdruckhomogenisation keine rotierenden Metallteile mit der Probe in Berührung kommen. Damit kann eine Verunreinigung durch eventuellen Metallabrieb</w:t>
      </w:r>
      <w:r w:rsidR="00E11D3D">
        <w:t xml:space="preserve"> von rotierenden Teilen</w:t>
      </w:r>
      <w:r>
        <w:t xml:space="preserve"> ausgeschlossen wer</w:t>
      </w:r>
      <w:r w:rsidR="00E11D3D">
        <w:t>den.</w:t>
      </w:r>
    </w:p>
    <w:p w14:paraId="0C3F287F" w14:textId="77777777" w:rsidR="003F46E7" w:rsidRDefault="003F46E7" w:rsidP="004877C9">
      <w:pPr>
        <w:ind w:left="708"/>
      </w:pPr>
      <w:r>
        <w:t>Da beim Ultra-Turrax das Homogenisierungsergebnis auch von der Durchmischung der Emulsion und damit vom eingeset</w:t>
      </w:r>
      <w:r w:rsidR="00C95724">
        <w:t>zten Volumen abhängt</w:t>
      </w:r>
      <w:r>
        <w:t xml:space="preserve">, ist eine Übertragung auf einen größeren Maßstab voraussichtlich nicht ohne </w:t>
      </w:r>
      <w:r w:rsidR="00B3154C">
        <w:t>weiteres</w:t>
      </w:r>
      <w:r>
        <w:t xml:space="preserve"> möglich. Beim Microfluidizer hat das Gesamtvolumen der Emulsion</w:t>
      </w:r>
      <w:r w:rsidR="00453AE2">
        <w:t xml:space="preserve"> bei guter Vorhomogenisierung der Probe</w:t>
      </w:r>
      <w:r>
        <w:t xml:space="preserve"> keinen</w:t>
      </w:r>
      <w:r w:rsidR="00453AE2">
        <w:t xml:space="preserve"> wesentlichen</w:t>
      </w:r>
      <w:r>
        <w:t xml:space="preserve"> Einfluss auf den Homogenisierungsprozess, der in der Prozesskammer unter konstanten Bedingungen abläuft. Es verlängert sich lediglich die zum Durchlauf der Emulsion benötigte Zeit. Bei Verwendung der gleichen Interakt</w:t>
      </w:r>
      <w:r w:rsidR="004F5831">
        <w:t>ionskammer ist eine Durchführung des Prozesses in größeren Maßstäben</w:t>
      </w:r>
      <w:r>
        <w:t xml:space="preserve"> direkt möglich.</w:t>
      </w:r>
    </w:p>
    <w:p w14:paraId="6E0151FF" w14:textId="77777777" w:rsidR="00C00F73" w:rsidRPr="001F5F2B" w:rsidRDefault="000500C1" w:rsidP="004877C9">
      <w:pPr>
        <w:ind w:left="708"/>
      </w:pPr>
      <w:r>
        <w:t>Als Ergebnis der Evaluation der beiden Homogenisierungsmethoden kann festgehalten werden</w:t>
      </w:r>
      <w:r w:rsidR="0035009F">
        <w:t xml:space="preserve">, dass die Hochdruckhomogenisation mit einem Microfluidizer die optimale Methode zur reproduzierbaren und exakten Einstellung der Partikelgröße </w:t>
      </w:r>
      <w:r w:rsidR="009B1E88">
        <w:t xml:space="preserve">bei der Doppelemulsionsmethode </w:t>
      </w:r>
      <w:r w:rsidR="0035009F">
        <w:t>ist und entscheidende Vorteile gegenüber der Verwendung herkömmlicher Homogenisierungsmethoden wie beispielsweise der Rotor-Stator Homogenisierung</w:t>
      </w:r>
      <w:r w:rsidR="009B1E88">
        <w:t xml:space="preserve"> mit einem Ultra-Turrax bietet</w:t>
      </w:r>
      <w:r w:rsidR="0035009F">
        <w:t>.</w:t>
      </w:r>
    </w:p>
    <w:p w14:paraId="43B396E0" w14:textId="77777777" w:rsidR="00FB142B" w:rsidRDefault="003C59A3" w:rsidP="003C59A3">
      <w:pPr>
        <w:pStyle w:val="berschrift4"/>
      </w:pPr>
      <w:bookmarkStart w:id="173" w:name="_Toc294380225"/>
      <w:r>
        <w:t>Aufreinigung</w:t>
      </w:r>
      <w:bookmarkEnd w:id="173"/>
    </w:p>
    <w:p w14:paraId="5BAFF74D" w14:textId="77777777" w:rsidR="003C59A3" w:rsidRDefault="00106BF9" w:rsidP="003C59A3">
      <w:r>
        <w:t xml:space="preserve">Nach der Herstellung enthalten die Suspensionen neben den Polymerpartikeln </w:t>
      </w:r>
      <w:r w:rsidR="00EB4B2C">
        <w:t>noch über</w:t>
      </w:r>
      <w:r w:rsidR="009665ED">
        <w:t>schüssige Mengen an Stabilisator</w:t>
      </w:r>
      <w:r w:rsidR="00B3154C">
        <w:t>en</w:t>
      </w:r>
      <w:r w:rsidR="00145EAF">
        <w:t>. Da diese in der fertigen Formuli</w:t>
      </w:r>
      <w:r w:rsidR="00D85C16">
        <w:t>erung nicht meh</w:t>
      </w:r>
      <w:r w:rsidR="00B3154C">
        <w:t xml:space="preserve">r </w:t>
      </w:r>
      <w:r w:rsidR="00B3154C">
        <w:lastRenderedPageBreak/>
        <w:t>benötigt werden</w:t>
      </w:r>
      <w:r w:rsidR="00145EAF">
        <w:t xml:space="preserve"> u</w:t>
      </w:r>
      <w:r w:rsidR="00D85C16">
        <w:t>nd sich wie</w:t>
      </w:r>
      <w:r w:rsidR="00D46C71">
        <w:t xml:space="preserve"> </w:t>
      </w:r>
      <w:r w:rsidR="00145EAF">
        <w:t>in Abschnitt </w:t>
      </w:r>
      <w:r w:rsidR="00D16240">
        <w:fldChar w:fldCharType="begin"/>
      </w:r>
      <w:r w:rsidR="00145EAF">
        <w:instrText xml:space="preserve"> REF _Ref273379282 \n \h </w:instrText>
      </w:r>
      <w:r w:rsidR="00D16240">
        <w:fldChar w:fldCharType="separate"/>
      </w:r>
      <w:r w:rsidR="00711AB8">
        <w:t>4.2.3</w:t>
      </w:r>
      <w:r w:rsidR="00D16240">
        <w:fldChar w:fldCharType="end"/>
      </w:r>
      <w:r w:rsidR="00145EAF">
        <w:t xml:space="preserve"> </w:t>
      </w:r>
      <w:r w:rsidR="00D85C16">
        <w:t>weiter unten</w:t>
      </w:r>
      <w:r w:rsidR="00D46C71">
        <w:t xml:space="preserve"> </w:t>
      </w:r>
      <w:r w:rsidR="00D85C16">
        <w:t>beschrieben</w:t>
      </w:r>
      <w:r w:rsidR="00D46C71">
        <w:t xml:space="preserve"> </w:t>
      </w:r>
      <w:r w:rsidR="00145EAF">
        <w:t xml:space="preserve">sogar </w:t>
      </w:r>
      <w:r w:rsidR="00AC4266">
        <w:t xml:space="preserve">eher </w:t>
      </w:r>
      <w:r w:rsidR="00145EAF">
        <w:t>negativ auf die Redispergierbarkeit gefrie</w:t>
      </w:r>
      <w:r w:rsidR="00B3154C">
        <w:t>rgetrockneter Partikel auswirk</w:t>
      </w:r>
      <w:r w:rsidR="00AC4266">
        <w:t>t</w:t>
      </w:r>
      <w:r w:rsidR="00B3154C">
        <w:t>en</w:t>
      </w:r>
      <w:r w:rsidR="00145EAF">
        <w:t xml:space="preserve">, </w:t>
      </w:r>
      <w:r w:rsidR="00D46C71">
        <w:t>wurde ein geeignetes und möglichst praktikables Verfahren benötigt, um die Nanopartikel vom Überstand abzutrennen. Die Reduzierung von Restmengen an nicht benötigtem Stabilisator ist bei pharmazeutischen Produkten bereits g</w:t>
      </w:r>
      <w:r w:rsidR="00501308">
        <w:t>rundsätzlich angezeigt. Weiterhin</w:t>
      </w:r>
      <w:r w:rsidR="00C95724">
        <w:t xml:space="preserve"> wird</w:t>
      </w:r>
      <w:r w:rsidR="00D46C71">
        <w:t xml:space="preserve"> durch eine Aufreinigung der Polymergehalt und damit auch der Wirkstoffgehalt der finalen Darreichungsform </w:t>
      </w:r>
      <w:r w:rsidR="008E3221">
        <w:t>erh</w:t>
      </w:r>
      <w:r w:rsidR="00C95724">
        <w:t>öht</w:t>
      </w:r>
      <w:r w:rsidR="00244604">
        <w:t>. Unter Berücksichtigung</w:t>
      </w:r>
      <w:r w:rsidR="008E3221">
        <w:t xml:space="preserve"> </w:t>
      </w:r>
      <w:r w:rsidR="00244604">
        <w:t>des Verhältnisses von eingesetzter PVA Menge</w:t>
      </w:r>
      <w:r w:rsidR="008E3221">
        <w:t xml:space="preserve"> zur Polymermenge kann der Polymergehalt der getrockneten Form</w:t>
      </w:r>
      <w:r w:rsidR="00501308">
        <w:t>ulierung durch eine</w:t>
      </w:r>
      <w:r w:rsidR="00244604">
        <w:t xml:space="preserve"> Aufreinigung </w:t>
      </w:r>
      <w:r w:rsidR="00501308">
        <w:t xml:space="preserve">rechnerisch </w:t>
      </w:r>
      <w:r w:rsidR="00166A66">
        <w:t>von ca. 12% bei vollständiger Entfernung des Stabilisators auf bis zu</w:t>
      </w:r>
      <w:r w:rsidR="00244604">
        <w:t xml:space="preserve"> 20% erhöht werden.</w:t>
      </w:r>
    </w:p>
    <w:p w14:paraId="08AF1C58" w14:textId="77777777" w:rsidR="00C80811" w:rsidRDefault="00DA5888" w:rsidP="003C59A3">
      <w:r>
        <w:t xml:space="preserve">Bei der Aufreinigung mit Zentrifugalkonzentratoren musste die Methode angepasst werden, da nach einer Stunde </w:t>
      </w:r>
      <w:r w:rsidR="00C80811">
        <w:t xml:space="preserve">erst </w:t>
      </w:r>
      <w:r>
        <w:t>die Hälfte der wässrigen Phase die Membran passiert hatte.</w:t>
      </w:r>
      <w:r w:rsidR="00C80811">
        <w:t xml:space="preserve"> Nachdem die Zentrifugationsdauer auf 1,5 Stunden erhöht wurde, konnte das Volumen der Partikeldispersion auf ein Drittel ihres ursprünglichen Volumens reduziert werden. Dann wurde die Kartusche mit Wasser a</w:t>
      </w:r>
      <w:r w:rsidR="00B3154C">
        <w:t>ufgefüllt und die restlichen Wa</w:t>
      </w:r>
      <w:r w:rsidR="00C80811">
        <w:t>schschritte wurden wieder jeweils mit 1,5 stündiger Z</w:t>
      </w:r>
      <w:r w:rsidR="0045121C">
        <w:t xml:space="preserve">entrifugation durchgeführt. Der Prozess dauerte </w:t>
      </w:r>
      <w:r w:rsidR="00501308">
        <w:t xml:space="preserve">somit </w:t>
      </w:r>
      <w:r w:rsidR="0045121C">
        <w:t>insgesamt</w:t>
      </w:r>
      <w:r w:rsidR="00C80811">
        <w:t xml:space="preserve"> 5 Stunden. </w:t>
      </w:r>
      <w:r w:rsidR="0045121C">
        <w:t>Die mittlere Partikelgröße betrug nach der Aufreinigung 197 nm (</w:t>
      </w:r>
      <w:r w:rsidR="0045121C">
        <w:sym w:font="Symbol" w:char="F0B1"/>
      </w:r>
      <w:r w:rsidR="0045121C">
        <w:t>18 nm) mit einem PDI von 0,016.</w:t>
      </w:r>
    </w:p>
    <w:p w14:paraId="40DF0781" w14:textId="77777777" w:rsidR="0045121C" w:rsidRDefault="00C95724" w:rsidP="003C59A3">
      <w:r>
        <w:t>Bei der alternativen Methode sedimentierten die Partikel n</w:t>
      </w:r>
      <w:r w:rsidR="0045121C">
        <w:t xml:space="preserve">ach 15 minütiger Zentrifugation der </w:t>
      </w:r>
      <w:r w:rsidR="00501308">
        <w:t xml:space="preserve">in Eppendorf Tubes eingefüllten </w:t>
      </w:r>
      <w:r w:rsidR="0045121C">
        <w:t>Partikeldispersion</w:t>
      </w:r>
      <w:r w:rsidR="00934FCA">
        <w:t xml:space="preserve"> bei 13.4</w:t>
      </w:r>
      <w:r w:rsidR="00D85C16">
        <w:t xml:space="preserve">00 rcf </w:t>
      </w:r>
      <w:r w:rsidR="0045121C">
        <w:t>vollständig und lagerten sich</w:t>
      </w:r>
      <w:r w:rsidR="00166A66">
        <w:t xml:space="preserve"> bei Färbung mit Lumogen Red</w:t>
      </w:r>
      <w:r w:rsidR="0045121C">
        <w:t xml:space="preserve"> als rosa gefärbtes Pellet am</w:t>
      </w:r>
      <w:r w:rsidR="00501308">
        <w:t xml:space="preserve"> Boden der Gefäße</w:t>
      </w:r>
      <w:r w:rsidR="0045121C">
        <w:t xml:space="preserve"> ab. </w:t>
      </w:r>
      <w:r w:rsidR="00757109">
        <w:t xml:space="preserve">Nachdem der klare Überstand dekantiert </w:t>
      </w:r>
      <w:r w:rsidR="00BF3262">
        <w:t xml:space="preserve">und frisches Wasser aufgefüllt </w:t>
      </w:r>
      <w:r w:rsidR="00757109">
        <w:t>wurde, konnten die sedimentierten Partikel wieder vol</w:t>
      </w:r>
      <w:r w:rsidR="00BF3262">
        <w:t>lständig</w:t>
      </w:r>
      <w:r w:rsidR="00757109">
        <w:t xml:space="preserve"> </w:t>
      </w:r>
      <w:r>
        <w:t>re</w:t>
      </w:r>
      <w:r w:rsidR="00757109">
        <w:t xml:space="preserve">dispergiert werden. </w:t>
      </w:r>
      <w:r w:rsidR="00BF3262">
        <w:t>Dazu mussten die Proben</w:t>
      </w:r>
      <w:r w:rsidR="00757109">
        <w:t xml:space="preserve"> dreimalig für jewe</w:t>
      </w:r>
      <w:r w:rsidR="00501308">
        <w:t>ils eine Minute gevortext und die Eppendorf Tubes</w:t>
      </w:r>
      <w:r w:rsidR="00757109">
        <w:t xml:space="preserve"> zwischendurch mehrfach invertiert</w:t>
      </w:r>
      <w:r w:rsidR="00501308">
        <w:t xml:space="preserve"> werden</w:t>
      </w:r>
      <w:r w:rsidR="00757109">
        <w:t>.</w:t>
      </w:r>
      <w:r w:rsidR="003C2731">
        <w:t xml:space="preserve"> Um das Pellet wieder vollständig zu </w:t>
      </w:r>
      <w:r>
        <w:t>re</w:t>
      </w:r>
      <w:r w:rsidR="003C2731">
        <w:t>dispergieren</w:t>
      </w:r>
      <w:r w:rsidR="00BF3262">
        <w:t>,</w:t>
      </w:r>
      <w:r w:rsidR="003C2731">
        <w:t xml:space="preserve"> wurden jeweils ca. 15 Minuten benötigt. </w:t>
      </w:r>
      <w:r w:rsidR="00BF3262">
        <w:t>Damit dauerte der Prozess insgesamt 1,5 Stunde</w:t>
      </w:r>
      <w:r w:rsidR="00D85C16">
        <w:t>n. Nach der A</w:t>
      </w:r>
      <w:r w:rsidR="00501308">
        <w:t>ufreinigung der Partikeldispersion durch Sedimentation</w:t>
      </w:r>
      <w:r w:rsidR="00BF3262">
        <w:t xml:space="preserve"> </w:t>
      </w:r>
      <w:r w:rsidR="00501308">
        <w:t xml:space="preserve">und Redispergierung </w:t>
      </w:r>
      <w:r w:rsidR="00BF3262">
        <w:t>betrug der mittlere Partikeldurchmesser 211 nm (</w:t>
      </w:r>
      <w:r w:rsidR="00BF3262">
        <w:sym w:font="Symbol" w:char="F0B1"/>
      </w:r>
      <w:r w:rsidR="00BF3262">
        <w:t>21 nm) und der PDI 0,005.</w:t>
      </w:r>
    </w:p>
    <w:p w14:paraId="472FA7CB" w14:textId="77777777" w:rsidR="00BF3262" w:rsidRDefault="006040E4" w:rsidP="003C59A3">
      <w:r>
        <w:t>Hinsichtlich der Resultate</w:t>
      </w:r>
      <w:r w:rsidR="00BF3262">
        <w:t xml:space="preserve"> waren beide Verfahren zur Aufreinigung der Partikeldispersionen </w:t>
      </w:r>
      <w:r w:rsidR="000E0E5F">
        <w:t xml:space="preserve">prinzipiell </w:t>
      </w:r>
      <w:r w:rsidR="00BF3262">
        <w:t>geeignet. Vor dem Waschen betrug der mittlere Partikeldurchmesser 205 nm (</w:t>
      </w:r>
      <w:r w:rsidR="00BF3262">
        <w:sym w:font="Symbol" w:char="F0B1"/>
      </w:r>
      <w:r>
        <w:t>29 nm) mit einem</w:t>
      </w:r>
      <w:r w:rsidR="005552E5">
        <w:t xml:space="preserve"> PDI</w:t>
      </w:r>
      <w:r>
        <w:t xml:space="preserve"> von</w:t>
      </w:r>
      <w:r w:rsidR="00D85C16">
        <w:t xml:space="preserve"> 0,027 und veränderte sich bei</w:t>
      </w:r>
      <w:r w:rsidR="005552E5">
        <w:t xml:space="preserve"> beide</w:t>
      </w:r>
      <w:r w:rsidR="00D85C16">
        <w:t>n</w:t>
      </w:r>
      <w:r w:rsidR="005552E5">
        <w:t xml:space="preserve"> Prozesse</w:t>
      </w:r>
      <w:r w:rsidR="00D85C16">
        <w:t>n nicht signifikant. Nach</w:t>
      </w:r>
      <w:r w:rsidR="005552E5">
        <w:t xml:space="preserve"> der Aufreinigung durch </w:t>
      </w:r>
      <w:r w:rsidR="00D85C16">
        <w:t>Sedimentation betrug der PDI nur noch 0,005. Dies ist dadurch zu erklären, dass ein geringer Anteil an kleinsten Partikeln bei der gewählten Rotationsgeschwindigkeit nicht sedimentiert</w:t>
      </w:r>
      <w:r>
        <w:t>e</w:t>
      </w:r>
      <w:r w:rsidR="00D85C16">
        <w:t xml:space="preserve"> und mit de</w:t>
      </w:r>
      <w:r>
        <w:t>m Überstand entfernt wurde</w:t>
      </w:r>
      <w:r w:rsidR="00501308">
        <w:t>.</w:t>
      </w:r>
      <w:r>
        <w:t xml:space="preserve"> Durch Abtrennung dieser</w:t>
      </w:r>
      <w:r w:rsidR="00501308">
        <w:t xml:space="preserve"> Partikelfraktion</w:t>
      </w:r>
      <w:r w:rsidR="00D85C16">
        <w:t xml:space="preserve"> </w:t>
      </w:r>
      <w:r>
        <w:t>im niedrigen Korngrößenbereich wurde</w:t>
      </w:r>
      <w:r w:rsidR="00D85C16">
        <w:t xml:space="preserve"> die Partikelgrößen</w:t>
      </w:r>
      <w:r>
        <w:t>verteilung schmaler und damit d</w:t>
      </w:r>
      <w:r w:rsidR="00AC4266">
        <w:t>er PDI niedriger. D</w:t>
      </w:r>
      <w:r>
        <w:t>er geringfügige</w:t>
      </w:r>
      <w:r w:rsidR="00D85C16">
        <w:t xml:space="preserve"> Anstieg des </w:t>
      </w:r>
      <w:r w:rsidR="00D85C16">
        <w:lastRenderedPageBreak/>
        <w:t>mittleren Partikel</w:t>
      </w:r>
      <w:r>
        <w:t>durchmessers</w:t>
      </w:r>
      <w:r w:rsidR="00AC4266">
        <w:t xml:space="preserve"> ist</w:t>
      </w:r>
      <w:r w:rsidR="00D85C16">
        <w:t xml:space="preserve"> ebenfalls dadurch zu erkl</w:t>
      </w:r>
      <w:r w:rsidR="00AC4266">
        <w:t>ären, wobei die Differenz noch innerhald der Standardabweichung liegt und daher vernachlässigbar ist.</w:t>
      </w:r>
    </w:p>
    <w:p w14:paraId="0A44FEFA" w14:textId="77777777" w:rsidR="00755C50" w:rsidRDefault="009C6F1F" w:rsidP="003C59A3">
      <w:r>
        <w:t>Ein wesentlicher Unterschied der beiden getesteten Verfahren besteht in der Zeitdauer, die zur Aufreinigung der P</w:t>
      </w:r>
      <w:r w:rsidR="00F956D1">
        <w:t>artikeldispersion</w:t>
      </w:r>
      <w:r w:rsidR="000E0E5F">
        <w:t>en</w:t>
      </w:r>
      <w:r w:rsidR="00F956D1">
        <w:t xml:space="preserve"> benöt</w:t>
      </w:r>
      <w:r w:rsidR="006040E4">
        <w:t>igt wurde. Sie betrug</w:t>
      </w:r>
      <w:r>
        <w:t xml:space="preserve"> 1,5 Stunden bei der Variante mit Sedimentation gegen</w:t>
      </w:r>
      <w:r w:rsidR="008B1EB1">
        <w:t>über 5 Stunden bei der Filtration</w:t>
      </w:r>
      <w:r>
        <w:t xml:space="preserve"> </w:t>
      </w:r>
      <w:r w:rsidR="008B1EB1">
        <w:t xml:space="preserve">mit </w:t>
      </w:r>
      <w:r>
        <w:t>Zentrifugal</w:t>
      </w:r>
      <w:r w:rsidR="00755C50">
        <w:t>-</w:t>
      </w:r>
      <w:r>
        <w:t>konzentratoren. Die enorme Zeitersparnis ist ein deutlicher Vorteil der erstgenannten Methode.</w:t>
      </w:r>
      <w:r w:rsidR="00755C50">
        <w:t xml:space="preserve"> </w:t>
      </w:r>
    </w:p>
    <w:p w14:paraId="13F66356" w14:textId="77777777" w:rsidR="003C59A3" w:rsidRDefault="00755C50" w:rsidP="003C59A3">
      <w:r>
        <w:t>Die bei der</w:t>
      </w:r>
      <w:r w:rsidR="002A1B5B">
        <w:t xml:space="preserve"> Filtration</w:t>
      </w:r>
      <w:r>
        <w:t xml:space="preserve"> mit den Zentrifugalkonzentratoren</w:t>
      </w:r>
      <w:r w:rsidR="002A1B5B">
        <w:t xml:space="preserve"> benöti</w:t>
      </w:r>
      <w:r>
        <w:t xml:space="preserve">gte extrem lange Dauer kann </w:t>
      </w:r>
      <w:r w:rsidR="002A1B5B">
        <w:t>dadurch erklärt werden, dass die Poren der PES Membran von einem der Inhaltsstoffe blockiert wurden. Das mittlere Molekulargewicht des verwendeten PVA</w:t>
      </w:r>
      <w:r w:rsidR="000E0E5F">
        <w:t>s beträgt 31 kDa und der MWCO der Membran liegt bei 100 kDa. Damit ein Molekül die Membran quantitativ passieren kann, empfiehlt der Hersteller einen MWCO zu wählen, der</w:t>
      </w:r>
      <w:r w:rsidR="00AF554B">
        <w:t xml:space="preserve"> in etwa fünffach über dem</w:t>
      </w:r>
      <w:r w:rsidR="000E0E5F">
        <w:t xml:space="preserve"> Molek</w:t>
      </w:r>
      <w:r w:rsidR="007477C1">
        <w:t>ulargewicht des</w:t>
      </w:r>
      <w:r w:rsidR="000E0E5F">
        <w:t xml:space="preserve"> Stoffes</w:t>
      </w:r>
      <w:r w:rsidR="00AF554B">
        <w:t xml:space="preserve"> liegt</w:t>
      </w:r>
      <w:r w:rsidR="007477C1">
        <w:t>, der</w:t>
      </w:r>
      <w:r w:rsidR="00AC4266">
        <w:t xml:space="preserve"> die Membran</w:t>
      </w:r>
      <w:r w:rsidR="007477C1">
        <w:t xml:space="preserve"> passieren soll</w:t>
      </w:r>
      <w:r w:rsidR="000E0E5F">
        <w:t>. Dies ist im</w:t>
      </w:r>
      <w:r w:rsidR="006040E4">
        <w:t xml:space="preserve"> Falle von PVA nicht gegeben. E</w:t>
      </w:r>
      <w:r w:rsidR="000E0E5F">
        <w:t xml:space="preserve">in vergleichbarer Zentrifugalkozentrator mit </w:t>
      </w:r>
      <w:r w:rsidR="006040E4">
        <w:t>einem größeren</w:t>
      </w:r>
      <w:r w:rsidR="000E0E5F">
        <w:t xml:space="preserve"> MWCO war zum Versuchszeitpunkt </w:t>
      </w:r>
      <w:r w:rsidR="006040E4">
        <w:t xml:space="preserve">jedoch </w:t>
      </w:r>
      <w:r w:rsidR="000E0E5F">
        <w:t xml:space="preserve">nicht im Handel erhältlich. </w:t>
      </w:r>
      <w:r w:rsidR="002E6D37">
        <w:t>Da die Kettenlänge der PVA</w:t>
      </w:r>
      <w:r w:rsidR="006040E4">
        <w:t xml:space="preserve"> Moleküle</w:t>
      </w:r>
      <w:r w:rsidR="00AC4266">
        <w:t>,</w:t>
      </w:r>
      <w:r w:rsidR="006040E4">
        <w:t xml:space="preserve"> wie bei Polymeren üblich</w:t>
      </w:r>
      <w:r w:rsidR="00AC4266">
        <w:t>,</w:t>
      </w:r>
      <w:r w:rsidR="006040E4">
        <w:t xml:space="preserve"> </w:t>
      </w:r>
      <w:r w:rsidR="002E6D37">
        <w:t xml:space="preserve">variiert, sind </w:t>
      </w:r>
      <w:r w:rsidR="006040E4">
        <w:t xml:space="preserve">im Material </w:t>
      </w:r>
      <w:r w:rsidR="002E6D37">
        <w:t>auch Moleküle mit einem Molekulargewich</w:t>
      </w:r>
      <w:r w:rsidR="003A37AC">
        <w:t>t von mehr als 31 kDa enthalten.</w:t>
      </w:r>
      <w:r w:rsidR="00AF554B">
        <w:t xml:space="preserve"> </w:t>
      </w:r>
      <w:r w:rsidR="003A37AC">
        <w:t xml:space="preserve">Vor diesem Hintergrund ist eine Blockierung der Poren durch PVA noch wahrscheinlicher. </w:t>
      </w:r>
      <w:r w:rsidR="00AF554B">
        <w:t>Die Porengröße bei einem MWCO von 100 kDa ist laut Hersteller so klein, dass eine Blockierung durch Nanopartikel mit einer Größe v</w:t>
      </w:r>
      <w:r w:rsidR="003A37AC">
        <w:t>on über 150 nm weitgehend auszuschließen ist.</w:t>
      </w:r>
      <w:r w:rsidR="003A37AC" w:rsidRPr="003A37AC">
        <w:t xml:space="preserve"> </w:t>
      </w:r>
      <w:r w:rsidR="003A37AC">
        <w:t>Daher ist es am wahrscheinlichsten, dass PVA Moleküle für die Blockierung der Poren verantwortlich sind.</w:t>
      </w:r>
    </w:p>
    <w:p w14:paraId="6E4D9BA7" w14:textId="77777777" w:rsidR="009C6F1F" w:rsidRDefault="003A37AC" w:rsidP="003C59A3">
      <w:r>
        <w:t xml:space="preserve">Ein weiterer Unterschied besteht in der Effektivität der beiden Methoden. </w:t>
      </w:r>
      <w:r w:rsidR="009C6F1F">
        <w:t>Die Einengung des Volumens der Dispersion war bei Verwendung</w:t>
      </w:r>
      <w:r>
        <w:t xml:space="preserve"> der Zentrifugal</w:t>
      </w:r>
      <w:r w:rsidR="00F956D1">
        <w:t>konzentratoren</w:t>
      </w:r>
      <w:r w:rsidR="00895C7A">
        <w:t xml:space="preserve"> </w:t>
      </w:r>
      <w:r w:rsidR="00F956D1">
        <w:t xml:space="preserve">maximal bis </w:t>
      </w:r>
      <w:r w:rsidR="00895C7A">
        <w:t>auf ca. ein Drittel möglich. Dies bedeutet, dass</w:t>
      </w:r>
      <w:r w:rsidR="009C6F1F">
        <w:t xml:space="preserve"> </w:t>
      </w:r>
      <w:r w:rsidR="00895C7A">
        <w:t>bei</w:t>
      </w:r>
      <w:r w:rsidR="009C6F1F">
        <w:t xml:space="preserve"> jedem Waschschritt </w:t>
      </w:r>
      <w:r w:rsidR="00895C7A">
        <w:t xml:space="preserve">jeweils </w:t>
      </w:r>
      <w:r w:rsidR="009C6F1F">
        <w:t xml:space="preserve">zwei Drittel </w:t>
      </w:r>
      <w:r w:rsidR="00AC4266">
        <w:t>der Stabilisator-</w:t>
      </w:r>
      <w:r w:rsidR="00895C7A">
        <w:t>haltigen Lösung entfernt wurden.</w:t>
      </w:r>
      <w:r w:rsidR="009C6F1F">
        <w:t xml:space="preserve"> </w:t>
      </w:r>
      <w:r w:rsidR="00895C7A">
        <w:t>Wohingegen d</w:t>
      </w:r>
      <w:r w:rsidR="009C6F1F">
        <w:t>urch Dekantieren des Überstandes nach d</w:t>
      </w:r>
      <w:r w:rsidR="00895C7A">
        <w:t>em Absetzen der Partikel</w:t>
      </w:r>
      <w:r w:rsidR="006040E4">
        <w:t xml:space="preserve"> in den Eppendorf Tubes</w:t>
      </w:r>
      <w:r w:rsidR="009C6F1F">
        <w:t xml:space="preserve"> bei jedem Waschschritt deutlich größere Mengen als zwei Drittel</w:t>
      </w:r>
      <w:r w:rsidR="00895C7A">
        <w:t xml:space="preserve"> der Lösung entfernt wurden.</w:t>
      </w:r>
      <w:r w:rsidR="009C6F1F">
        <w:t xml:space="preserve"> </w:t>
      </w:r>
      <w:r w:rsidR="00895C7A">
        <w:t>Auch ohne dies mit quant</w:t>
      </w:r>
      <w:r w:rsidR="00166A66">
        <w:t>itativen Daten zu belegen</w:t>
      </w:r>
      <w:r w:rsidR="00895C7A">
        <w:t>, kann davon ausgegangen werden</w:t>
      </w:r>
      <w:r w:rsidR="009C6F1F">
        <w:t>, dass bei der Aufreinigung durch Sedimentation</w:t>
      </w:r>
      <w:r w:rsidR="00895C7A">
        <w:t xml:space="preserve"> in Eppendorf Tubes</w:t>
      </w:r>
      <w:r w:rsidR="009C6F1F">
        <w:t xml:space="preserve"> die Restkonzentration an Stabilisator gegenüber der zweiten Variante deutlich</w:t>
      </w:r>
      <w:r w:rsidR="00895C7A">
        <w:t xml:space="preserve"> stärker reduziert werden konnte.</w:t>
      </w:r>
    </w:p>
    <w:p w14:paraId="32594576" w14:textId="77777777" w:rsidR="00B54E65" w:rsidRDefault="00B54E65" w:rsidP="003C59A3">
      <w:r>
        <w:t>Zusammenfassend kann gesagt werde</w:t>
      </w:r>
      <w:r w:rsidR="00D87909">
        <w:t>n, dass die</w:t>
      </w:r>
      <w:r>
        <w:t xml:space="preserve"> </w:t>
      </w:r>
      <w:r w:rsidR="00D87909">
        <w:t>Aufreinigung durch Zentrifugation</w:t>
      </w:r>
      <w:r>
        <w:t xml:space="preserve"> in Eppendorf Gefäßen </w:t>
      </w:r>
      <w:r w:rsidR="00D87909">
        <w:t xml:space="preserve">deutliche Vorteile </w:t>
      </w:r>
      <w:r>
        <w:t>gegenüber der Filtratio</w:t>
      </w:r>
      <w:r w:rsidR="00D87909">
        <w:t>n mit Zentri</w:t>
      </w:r>
      <w:r w:rsidR="006040E4">
        <w:t>fugalkonzentratoren bietet</w:t>
      </w:r>
      <w:r w:rsidR="00D87909">
        <w:t xml:space="preserve">. </w:t>
      </w:r>
      <w:r w:rsidR="00F956D1">
        <w:t>Neben der Zeitersparnis ist</w:t>
      </w:r>
      <w:r w:rsidR="00D87909">
        <w:t xml:space="preserve"> auch ein höherer Reinheitsgrad des Produktes dank </w:t>
      </w:r>
      <w:r w:rsidR="00F956D1">
        <w:t>effektiverer</w:t>
      </w:r>
      <w:r w:rsidR="00D87909">
        <w:t xml:space="preserve"> Abtrennung der wässrigen Phase</w:t>
      </w:r>
      <w:r w:rsidR="00F956D1">
        <w:t xml:space="preserve"> zu beachten</w:t>
      </w:r>
      <w:r w:rsidR="00D87909">
        <w:t>.</w:t>
      </w:r>
      <w:r w:rsidR="00F956D1">
        <w:t xml:space="preserve"> Außerdem können bei Verwendung der ersten Variante die relativ hohen Kosten der Zentrifugalkonzentratoren </w:t>
      </w:r>
      <w:r w:rsidR="003A37AC">
        <w:t>ein</w:t>
      </w:r>
      <w:r w:rsidR="00F956D1">
        <w:t>gespart werden.</w:t>
      </w:r>
    </w:p>
    <w:p w14:paraId="25CA9A02" w14:textId="77777777" w:rsidR="002938EE" w:rsidRDefault="003C59A3" w:rsidP="002938EE">
      <w:pPr>
        <w:pStyle w:val="berschrift3"/>
      </w:pPr>
      <w:bookmarkStart w:id="174" w:name="_Ref273379282"/>
      <w:bookmarkStart w:id="175" w:name="_Toc294380226"/>
      <w:r>
        <w:lastRenderedPageBreak/>
        <w:t>Trocknung</w:t>
      </w:r>
      <w:bookmarkEnd w:id="174"/>
      <w:bookmarkEnd w:id="175"/>
    </w:p>
    <w:p w14:paraId="688305E8" w14:textId="77777777" w:rsidR="00453AE2" w:rsidRPr="00453AE2" w:rsidRDefault="00453AE2" w:rsidP="00453AE2">
      <w:r>
        <w:t xml:space="preserve">Auf die Notwendigkeit der Trocknung der Partikelsuspensionen wurde bereits in der Einleitung zu Kapitel </w:t>
      </w:r>
      <w:r w:rsidR="00D16240">
        <w:fldChar w:fldCharType="begin"/>
      </w:r>
      <w:r>
        <w:instrText xml:space="preserve"> REF _Ref273140541 \n \h </w:instrText>
      </w:r>
      <w:r w:rsidR="00D16240">
        <w:fldChar w:fldCharType="separate"/>
      </w:r>
      <w:r w:rsidR="00711AB8">
        <w:t>4.1.3</w:t>
      </w:r>
      <w:r w:rsidR="00D16240">
        <w:fldChar w:fldCharType="end"/>
      </w:r>
      <w:r>
        <w:t xml:space="preserve"> hingewiesen. Im folgenden Abschnitt werden die Ergebnisse der Optimierung und Evaluation des Trocknungsprozesses vorgestellt.</w:t>
      </w:r>
    </w:p>
    <w:p w14:paraId="0586848E" w14:textId="77777777" w:rsidR="003C59A3" w:rsidRDefault="001143EB" w:rsidP="001143EB">
      <w:pPr>
        <w:pStyle w:val="berschrift4"/>
      </w:pPr>
      <w:bookmarkStart w:id="176" w:name="_Toc294380227"/>
      <w:r>
        <w:t>Gefriertrocknung</w:t>
      </w:r>
      <w:bookmarkEnd w:id="176"/>
    </w:p>
    <w:p w14:paraId="1497E4F3" w14:textId="77777777" w:rsidR="00B9520D" w:rsidRDefault="006B7785" w:rsidP="006B7785">
      <w:r>
        <w:t xml:space="preserve">Es wurden 7 unterschiedliche Formulierungen </w:t>
      </w:r>
      <w:r w:rsidR="00B9520D">
        <w:t>mittels Doppelemulsionsmethode unter Verwendung des Microfluidizers hergestellt und entsprechend der in Kapitel </w:t>
      </w:r>
      <w:r w:rsidR="00D16240">
        <w:fldChar w:fldCharType="begin"/>
      </w:r>
      <w:r w:rsidR="00B9520D">
        <w:instrText xml:space="preserve"> REF _Ref273140541 \n \h </w:instrText>
      </w:r>
      <w:r w:rsidR="00D16240">
        <w:fldChar w:fldCharType="separate"/>
      </w:r>
      <w:r w:rsidR="00711AB8">
        <w:t>4.1.3</w:t>
      </w:r>
      <w:r w:rsidR="00D16240">
        <w:fldChar w:fldCharType="end"/>
      </w:r>
      <w:r w:rsidR="001F05E1">
        <w:t xml:space="preserve"> </w:t>
      </w:r>
      <w:r>
        <w:t>beschrieb</w:t>
      </w:r>
      <w:r w:rsidR="00B9520D">
        <w:t>enen Methode gefrie</w:t>
      </w:r>
      <w:r w:rsidR="001F05E1">
        <w:t>rgetrocknet.</w:t>
      </w:r>
    </w:p>
    <w:p w14:paraId="2236FBF2" w14:textId="77777777" w:rsidR="00AD6887" w:rsidRDefault="006B7785" w:rsidP="00C66003">
      <w:r>
        <w:t>Nach 48 Stunden waren alle Pro</w:t>
      </w:r>
      <w:r w:rsidR="003C6024">
        <w:t xml:space="preserve">ben </w:t>
      </w:r>
      <w:r w:rsidR="00685622">
        <w:t xml:space="preserve">vollständig </w:t>
      </w:r>
      <w:r w:rsidR="003C6024">
        <w:t>trocken. Zu</w:t>
      </w:r>
      <w:r w:rsidR="00AB50D3">
        <w:t>r Beurteilung der Redispergierbarkeit der unterschiedlichen Formulierungen</w:t>
      </w:r>
      <w:r>
        <w:t xml:space="preserve"> wurde die Partikelgröße</w:t>
      </w:r>
      <w:r w:rsidR="003C6024">
        <w:t xml:space="preserve"> jeweils</w:t>
      </w:r>
      <w:r w:rsidR="00685622">
        <w:t xml:space="preserve"> vor der Trocknung und nach</w:t>
      </w:r>
      <w:r w:rsidR="00D729A0">
        <w:t xml:space="preserve"> </w:t>
      </w:r>
      <w:r w:rsidR="00B9520D">
        <w:t xml:space="preserve">der </w:t>
      </w:r>
      <w:r w:rsidR="003C6024">
        <w:t xml:space="preserve">Trocknung und </w:t>
      </w:r>
      <w:r>
        <w:t>R</w:t>
      </w:r>
      <w:r w:rsidR="00DE65B7">
        <w:t>edispergierung</w:t>
      </w:r>
      <w:r w:rsidR="004D0D5A">
        <w:t xml:space="preserve"> in Wasser</w:t>
      </w:r>
      <w:r>
        <w:t xml:space="preserve"> </w:t>
      </w:r>
      <w:r w:rsidR="003C6024">
        <w:t xml:space="preserve">mit der DLS Methode gemessen. Außerdem </w:t>
      </w:r>
      <w:r w:rsidR="00685622">
        <w:t xml:space="preserve">wurden </w:t>
      </w:r>
      <w:r w:rsidR="00CD076D">
        <w:t>weitere</w:t>
      </w:r>
      <w:r w:rsidR="00D75348">
        <w:t xml:space="preserve"> Eigenschaften</w:t>
      </w:r>
      <w:r w:rsidR="00D729A0">
        <w:t xml:space="preserve"> der Lyophilisate wie Hy</w:t>
      </w:r>
      <w:r w:rsidR="00225184">
        <w:t>groskopizität u</w:t>
      </w:r>
      <w:r w:rsidR="00EB4B2C">
        <w:t>nd</w:t>
      </w:r>
      <w:r w:rsidR="00D75348">
        <w:t xml:space="preserve"> Beschaffenheit des</w:t>
      </w:r>
      <w:r w:rsidR="00225184">
        <w:t xml:space="preserve"> Lyophilisatkuchens</w:t>
      </w:r>
      <w:r w:rsidR="00D75348">
        <w:t xml:space="preserve"> organoleptisch geprüft und</w:t>
      </w:r>
      <w:r w:rsidR="00CD076D">
        <w:t xml:space="preserve"> bei</w:t>
      </w:r>
      <w:r w:rsidR="00742DBA">
        <w:t xml:space="preserve"> </w:t>
      </w:r>
      <w:r w:rsidR="00CD076D">
        <w:t xml:space="preserve">der </w:t>
      </w:r>
      <w:r w:rsidR="00742DBA">
        <w:t>Beurteilung der Formulierungen</w:t>
      </w:r>
      <w:r w:rsidR="00CD076D">
        <w:t xml:space="preserve"> mit berücksichtigt</w:t>
      </w:r>
      <w:r w:rsidR="00B9520D">
        <w:t>.</w:t>
      </w:r>
    </w:p>
    <w:p w14:paraId="326C3933" w14:textId="77777777" w:rsidR="00D729A0" w:rsidRDefault="00D729A0" w:rsidP="006D0CF6">
      <w:pPr>
        <w:spacing w:after="0"/>
      </w:pPr>
      <w:r>
        <w:t>Die Ergebnisse</w:t>
      </w:r>
      <w:r w:rsidR="002938EE">
        <w:t xml:space="preserve"> der Versuche</w:t>
      </w:r>
      <w:r>
        <w:t xml:space="preserve"> zur Optimierung der Gefriertrocknungsmethode sind in </w:t>
      </w:r>
      <w:r w:rsidR="00D16240">
        <w:fldChar w:fldCharType="begin"/>
      </w:r>
      <w:r w:rsidR="00C439E1">
        <w:instrText xml:space="preserve"> REF _Ref273132343 \h </w:instrText>
      </w:r>
      <w:r w:rsidR="00D16240">
        <w:fldChar w:fldCharType="separate"/>
      </w:r>
      <w:r w:rsidR="00711AB8" w:rsidRPr="00C439E1">
        <w:rPr>
          <w:color w:val="000000" w:themeColor="text1"/>
        </w:rPr>
        <w:t xml:space="preserve">Tabelle </w:t>
      </w:r>
      <w:r w:rsidR="00711AB8">
        <w:rPr>
          <w:noProof/>
          <w:color w:val="000000" w:themeColor="text1"/>
        </w:rPr>
        <w:t>12</w:t>
      </w:r>
      <w:r w:rsidR="00D16240">
        <w:fldChar w:fldCharType="end"/>
      </w:r>
      <w:r w:rsidR="00C439E1">
        <w:t xml:space="preserve"> dargestellt.</w:t>
      </w:r>
    </w:p>
    <w:p w14:paraId="7CDB1B89" w14:textId="77777777" w:rsidR="006D0CF6" w:rsidRDefault="006D0CF6" w:rsidP="006D0CF6">
      <w:pPr>
        <w:spacing w:after="0"/>
      </w:pPr>
    </w:p>
    <w:p w14:paraId="7CBC57F1" w14:textId="77777777" w:rsidR="00C439E1" w:rsidRPr="00C439E1" w:rsidRDefault="00C439E1" w:rsidP="001856C4">
      <w:pPr>
        <w:pStyle w:val="Beschriftung"/>
        <w:ind w:firstLine="0"/>
        <w:rPr>
          <w:b w:val="0"/>
          <w:color w:val="000000" w:themeColor="text1"/>
        </w:rPr>
      </w:pPr>
      <w:bookmarkStart w:id="177" w:name="_Ref273132343"/>
      <w:r w:rsidRPr="00C439E1">
        <w:rPr>
          <w:color w:val="000000" w:themeColor="text1"/>
        </w:rPr>
        <w:t xml:space="preserve">Tabelle </w:t>
      </w:r>
      <w:r w:rsidR="00D16240" w:rsidRPr="00C439E1">
        <w:rPr>
          <w:color w:val="000000" w:themeColor="text1"/>
        </w:rPr>
        <w:fldChar w:fldCharType="begin"/>
      </w:r>
      <w:r w:rsidRPr="00C439E1">
        <w:rPr>
          <w:color w:val="000000" w:themeColor="text1"/>
        </w:rPr>
        <w:instrText xml:space="preserve"> SEQ Tabelle \* ARABIC </w:instrText>
      </w:r>
      <w:r w:rsidR="00D16240" w:rsidRPr="00C439E1">
        <w:rPr>
          <w:color w:val="000000" w:themeColor="text1"/>
        </w:rPr>
        <w:fldChar w:fldCharType="separate"/>
      </w:r>
      <w:r w:rsidR="00711AB8">
        <w:rPr>
          <w:noProof/>
          <w:color w:val="000000" w:themeColor="text1"/>
        </w:rPr>
        <w:t>12</w:t>
      </w:r>
      <w:r w:rsidR="00D16240" w:rsidRPr="00C439E1">
        <w:rPr>
          <w:color w:val="000000" w:themeColor="text1"/>
        </w:rPr>
        <w:fldChar w:fldCharType="end"/>
      </w:r>
      <w:bookmarkEnd w:id="177"/>
      <w:r>
        <w:rPr>
          <w:color w:val="000000" w:themeColor="text1"/>
        </w:rPr>
        <w:t xml:space="preserve"> </w:t>
      </w:r>
      <w:r w:rsidR="002367E6">
        <w:rPr>
          <w:b w:val="0"/>
          <w:color w:val="000000" w:themeColor="text1"/>
        </w:rPr>
        <w:t>Untersuchung</w:t>
      </w:r>
      <w:r>
        <w:rPr>
          <w:b w:val="0"/>
          <w:color w:val="000000" w:themeColor="text1"/>
        </w:rPr>
        <w:t xml:space="preserve"> unterschiedlicher Hilfsstoffe und Hilfsstoffgemische zur Optimierung der Gefriertrocknung</w:t>
      </w:r>
      <w:r w:rsidR="00AC4266">
        <w:rPr>
          <w:b w:val="0"/>
          <w:color w:val="000000" w:themeColor="text1"/>
        </w:rPr>
        <w:t>.</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1417"/>
        <w:gridCol w:w="2127"/>
        <w:gridCol w:w="1984"/>
        <w:gridCol w:w="1276"/>
        <w:gridCol w:w="1185"/>
      </w:tblGrid>
      <w:tr w:rsidR="002367E6" w:rsidRPr="0019688E" w14:paraId="68894AC0" w14:textId="77777777" w:rsidTr="007D2B29">
        <w:trPr>
          <w:trHeight w:val="1213"/>
          <w:jc w:val="center"/>
        </w:trPr>
        <w:tc>
          <w:tcPr>
            <w:tcW w:w="851" w:type="dxa"/>
            <w:tcBorders>
              <w:top w:val="single" w:sz="8" w:space="0" w:color="auto"/>
              <w:left w:val="single" w:sz="8" w:space="0" w:color="auto"/>
              <w:bottom w:val="single" w:sz="8" w:space="0" w:color="auto"/>
              <w:right w:val="single" w:sz="8" w:space="0" w:color="auto"/>
            </w:tcBorders>
            <w:shd w:val="clear" w:color="auto" w:fill="E6E6E6"/>
            <w:vAlign w:val="center"/>
          </w:tcPr>
          <w:p w14:paraId="6086BE72" w14:textId="77777777" w:rsidR="002367E6" w:rsidRPr="0019688E" w:rsidRDefault="0019688E" w:rsidP="008C6F8A">
            <w:pPr>
              <w:spacing w:after="0" w:line="240" w:lineRule="auto"/>
              <w:jc w:val="center"/>
              <w:rPr>
                <w:rFonts w:eastAsia="SimSun" w:cs="Times New Roman"/>
                <w:b/>
                <w:sz w:val="18"/>
                <w:szCs w:val="18"/>
                <w:lang w:val="en-US" w:eastAsia="de-DE"/>
              </w:rPr>
            </w:pPr>
            <w:r w:rsidRPr="0019688E">
              <w:rPr>
                <w:rFonts w:eastAsia="SimSun" w:cs="Times New Roman"/>
                <w:b/>
                <w:sz w:val="18"/>
                <w:szCs w:val="18"/>
                <w:lang w:val="en-US" w:eastAsia="de-DE"/>
              </w:rPr>
              <w:t>Formu-lierung</w:t>
            </w:r>
            <w:r w:rsidR="002367E6" w:rsidRPr="0019688E">
              <w:rPr>
                <w:rFonts w:eastAsia="SimSun" w:cs="Times New Roman"/>
                <w:b/>
                <w:sz w:val="18"/>
                <w:szCs w:val="18"/>
                <w:lang w:val="en-US" w:eastAsia="de-DE"/>
              </w:rPr>
              <w:t xml:space="preserve"> Nr.</w:t>
            </w:r>
          </w:p>
        </w:tc>
        <w:tc>
          <w:tcPr>
            <w:tcW w:w="1417" w:type="dxa"/>
            <w:tcBorders>
              <w:top w:val="single" w:sz="8" w:space="0" w:color="auto"/>
              <w:left w:val="single" w:sz="8" w:space="0" w:color="auto"/>
              <w:bottom w:val="single" w:sz="8" w:space="0" w:color="auto"/>
              <w:right w:val="single" w:sz="8" w:space="0" w:color="auto"/>
            </w:tcBorders>
            <w:shd w:val="clear" w:color="auto" w:fill="E6E6E6"/>
            <w:vAlign w:val="center"/>
          </w:tcPr>
          <w:p w14:paraId="2C450C08" w14:textId="77777777" w:rsidR="002367E6" w:rsidRPr="0019688E" w:rsidRDefault="002367E6" w:rsidP="008C6F8A">
            <w:pPr>
              <w:spacing w:after="0" w:line="240" w:lineRule="auto"/>
              <w:jc w:val="center"/>
              <w:rPr>
                <w:rFonts w:eastAsia="SimSun" w:cs="Times New Roman"/>
                <w:b/>
                <w:sz w:val="18"/>
                <w:szCs w:val="18"/>
                <w:lang w:val="en-US" w:eastAsia="de-DE"/>
              </w:rPr>
            </w:pPr>
            <w:r w:rsidRPr="0019688E">
              <w:rPr>
                <w:rFonts w:eastAsia="SimSun" w:cs="Times New Roman"/>
                <w:b/>
                <w:sz w:val="18"/>
                <w:szCs w:val="18"/>
                <w:lang w:val="en-US" w:eastAsia="de-DE"/>
              </w:rPr>
              <w:t>Hilfsstoff [%] m/m</w:t>
            </w:r>
          </w:p>
        </w:tc>
        <w:tc>
          <w:tcPr>
            <w:tcW w:w="2127" w:type="dxa"/>
            <w:tcBorders>
              <w:top w:val="single" w:sz="8" w:space="0" w:color="auto"/>
              <w:left w:val="single" w:sz="8" w:space="0" w:color="auto"/>
              <w:bottom w:val="single" w:sz="8" w:space="0" w:color="auto"/>
              <w:right w:val="single" w:sz="8" w:space="0" w:color="auto"/>
            </w:tcBorders>
            <w:shd w:val="clear" w:color="auto" w:fill="E6E6E6"/>
            <w:vAlign w:val="center"/>
          </w:tcPr>
          <w:p w14:paraId="6FEB68F8" w14:textId="77777777" w:rsidR="0019688E" w:rsidRDefault="002367E6" w:rsidP="008C6F8A">
            <w:pPr>
              <w:spacing w:after="0" w:line="240" w:lineRule="auto"/>
              <w:jc w:val="center"/>
              <w:rPr>
                <w:rFonts w:eastAsia="SimSun" w:cs="Times New Roman"/>
                <w:b/>
                <w:sz w:val="18"/>
                <w:szCs w:val="18"/>
                <w:lang w:eastAsia="de-DE"/>
              </w:rPr>
            </w:pPr>
            <w:r w:rsidRPr="0019688E">
              <w:rPr>
                <w:rFonts w:eastAsia="SimSun" w:cs="Times New Roman"/>
                <w:b/>
                <w:sz w:val="18"/>
                <w:szCs w:val="18"/>
                <w:lang w:eastAsia="de-DE"/>
              </w:rPr>
              <w:t>Mittlerer Partikeldurchmes</w:t>
            </w:r>
            <w:r w:rsidR="0019688E">
              <w:rPr>
                <w:rFonts w:eastAsia="SimSun" w:cs="Times New Roman"/>
                <w:b/>
                <w:sz w:val="18"/>
                <w:szCs w:val="18"/>
                <w:lang w:eastAsia="de-DE"/>
              </w:rPr>
              <w:t xml:space="preserve">ser [nm] / PDI </w:t>
            </w:r>
          </w:p>
          <w:p w14:paraId="3526D8AC" w14:textId="77777777" w:rsidR="002367E6" w:rsidRPr="0019688E" w:rsidRDefault="002367E6" w:rsidP="008C6F8A">
            <w:pPr>
              <w:spacing w:after="0" w:line="240" w:lineRule="auto"/>
              <w:jc w:val="center"/>
              <w:rPr>
                <w:rFonts w:eastAsia="SimSun" w:cs="Times New Roman"/>
                <w:b/>
                <w:sz w:val="18"/>
                <w:szCs w:val="18"/>
                <w:lang w:eastAsia="de-DE"/>
              </w:rPr>
            </w:pPr>
            <w:r w:rsidRPr="0019688E">
              <w:rPr>
                <w:rFonts w:eastAsia="SimSun" w:cs="Times New Roman"/>
                <w:b/>
                <w:sz w:val="18"/>
                <w:szCs w:val="18"/>
                <w:lang w:eastAsia="de-DE"/>
              </w:rPr>
              <w:t>vor Trocknung</w:t>
            </w:r>
          </w:p>
        </w:tc>
        <w:tc>
          <w:tcPr>
            <w:tcW w:w="1984" w:type="dxa"/>
            <w:tcBorders>
              <w:top w:val="single" w:sz="8" w:space="0" w:color="auto"/>
              <w:left w:val="single" w:sz="8" w:space="0" w:color="auto"/>
              <w:bottom w:val="single" w:sz="8" w:space="0" w:color="auto"/>
              <w:right w:val="single" w:sz="8" w:space="0" w:color="auto"/>
            </w:tcBorders>
            <w:shd w:val="clear" w:color="auto" w:fill="E6E6E6"/>
            <w:vAlign w:val="center"/>
          </w:tcPr>
          <w:p w14:paraId="2E530B96" w14:textId="77777777" w:rsidR="002367E6" w:rsidRPr="0019688E" w:rsidRDefault="002367E6" w:rsidP="008C6F8A">
            <w:pPr>
              <w:spacing w:after="0" w:line="240" w:lineRule="auto"/>
              <w:jc w:val="center"/>
              <w:rPr>
                <w:rFonts w:eastAsia="SimSun" w:cs="Times New Roman"/>
                <w:b/>
                <w:sz w:val="18"/>
                <w:szCs w:val="18"/>
                <w:lang w:eastAsia="de-DE"/>
              </w:rPr>
            </w:pPr>
            <w:r w:rsidRPr="0019688E">
              <w:rPr>
                <w:rFonts w:eastAsia="SimSun" w:cs="Times New Roman"/>
                <w:b/>
                <w:sz w:val="18"/>
                <w:szCs w:val="18"/>
                <w:lang w:eastAsia="de-DE"/>
              </w:rPr>
              <w:t>Mittlerer Partikeldurchmesser [nm] / PDI             nach Trocknung und Redispergierung</w:t>
            </w:r>
          </w:p>
        </w:tc>
        <w:tc>
          <w:tcPr>
            <w:tcW w:w="1276" w:type="dxa"/>
            <w:tcBorders>
              <w:top w:val="single" w:sz="8" w:space="0" w:color="auto"/>
              <w:left w:val="single" w:sz="8" w:space="0" w:color="auto"/>
              <w:bottom w:val="single" w:sz="8" w:space="0" w:color="auto"/>
              <w:right w:val="single" w:sz="8" w:space="0" w:color="auto"/>
            </w:tcBorders>
            <w:shd w:val="clear" w:color="auto" w:fill="E6E6E6"/>
            <w:vAlign w:val="center"/>
          </w:tcPr>
          <w:p w14:paraId="42F04FCF" w14:textId="77777777" w:rsidR="002367E6" w:rsidRPr="0019688E" w:rsidRDefault="00EC7681" w:rsidP="008C6F8A">
            <w:pPr>
              <w:spacing w:after="0" w:line="240" w:lineRule="auto"/>
              <w:jc w:val="center"/>
              <w:rPr>
                <w:rFonts w:eastAsia="SimSun" w:cs="Times New Roman"/>
                <w:b/>
                <w:sz w:val="18"/>
                <w:szCs w:val="18"/>
                <w:lang w:val="en-US" w:eastAsia="de-DE"/>
              </w:rPr>
            </w:pPr>
            <w:r w:rsidRPr="0019688E">
              <w:rPr>
                <w:rFonts w:eastAsia="SimSun" w:cs="Times New Roman"/>
                <w:b/>
                <w:sz w:val="18"/>
                <w:szCs w:val="18"/>
                <w:lang w:val="en-US" w:eastAsia="de-DE"/>
              </w:rPr>
              <w:t xml:space="preserve">Lyophilisat </w:t>
            </w:r>
            <w:r w:rsidR="008C6F8A" w:rsidRPr="0019688E">
              <w:rPr>
                <w:rFonts w:eastAsia="SimSun" w:cs="Times New Roman"/>
                <w:b/>
                <w:sz w:val="18"/>
                <w:szCs w:val="18"/>
                <w:lang w:val="en-US" w:eastAsia="de-DE"/>
              </w:rPr>
              <w:t>hygrosko-pisch</w:t>
            </w:r>
          </w:p>
        </w:tc>
        <w:tc>
          <w:tcPr>
            <w:tcW w:w="1185" w:type="dxa"/>
            <w:tcBorders>
              <w:top w:val="single" w:sz="8" w:space="0" w:color="auto"/>
              <w:left w:val="single" w:sz="8" w:space="0" w:color="auto"/>
              <w:bottom w:val="single" w:sz="8" w:space="0" w:color="auto"/>
              <w:right w:val="single" w:sz="8" w:space="0" w:color="auto"/>
            </w:tcBorders>
            <w:shd w:val="clear" w:color="auto" w:fill="E6E6E6"/>
            <w:vAlign w:val="center"/>
          </w:tcPr>
          <w:p w14:paraId="18329BA2" w14:textId="77777777" w:rsidR="002367E6" w:rsidRPr="0019688E" w:rsidRDefault="00EC7681" w:rsidP="00EC7681">
            <w:pPr>
              <w:spacing w:after="0" w:line="240" w:lineRule="auto"/>
              <w:jc w:val="center"/>
              <w:rPr>
                <w:rFonts w:eastAsia="SimSun" w:cs="Times New Roman"/>
                <w:b/>
                <w:sz w:val="18"/>
                <w:szCs w:val="18"/>
                <w:lang w:val="en-US" w:eastAsia="de-DE"/>
              </w:rPr>
            </w:pPr>
            <w:r w:rsidRPr="0019688E">
              <w:rPr>
                <w:rFonts w:eastAsia="SimSun" w:cs="Times New Roman"/>
                <w:b/>
                <w:sz w:val="18"/>
                <w:szCs w:val="18"/>
                <w:lang w:val="en-US" w:eastAsia="de-DE"/>
              </w:rPr>
              <w:t>Lyophilisat kollabiert</w:t>
            </w:r>
          </w:p>
        </w:tc>
      </w:tr>
      <w:tr w:rsidR="002367E6" w:rsidRPr="00656CB0" w14:paraId="7AFDF2D5" w14:textId="77777777" w:rsidTr="007D2B29">
        <w:trPr>
          <w:trHeight w:val="397"/>
          <w:jc w:val="center"/>
        </w:trPr>
        <w:tc>
          <w:tcPr>
            <w:tcW w:w="851" w:type="dxa"/>
            <w:tcBorders>
              <w:top w:val="single" w:sz="8" w:space="0" w:color="auto"/>
              <w:left w:val="single" w:sz="8" w:space="0" w:color="auto"/>
            </w:tcBorders>
            <w:vAlign w:val="center"/>
          </w:tcPr>
          <w:p w14:paraId="76058ABA"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1</w:t>
            </w:r>
          </w:p>
        </w:tc>
        <w:tc>
          <w:tcPr>
            <w:tcW w:w="1417" w:type="dxa"/>
            <w:tcBorders>
              <w:top w:val="single" w:sz="8" w:space="0" w:color="auto"/>
            </w:tcBorders>
            <w:shd w:val="clear" w:color="auto" w:fill="auto"/>
            <w:vAlign w:val="center"/>
          </w:tcPr>
          <w:p w14:paraId="4DA7FFC0"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w:t>
            </w:r>
          </w:p>
        </w:tc>
        <w:tc>
          <w:tcPr>
            <w:tcW w:w="2127" w:type="dxa"/>
            <w:tcBorders>
              <w:top w:val="single" w:sz="8" w:space="0" w:color="auto"/>
            </w:tcBorders>
            <w:shd w:val="clear" w:color="auto" w:fill="auto"/>
            <w:vAlign w:val="center"/>
          </w:tcPr>
          <w:p w14:paraId="410B3E18"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352 / 0,084</w:t>
            </w:r>
          </w:p>
        </w:tc>
        <w:tc>
          <w:tcPr>
            <w:tcW w:w="1984" w:type="dxa"/>
            <w:tcBorders>
              <w:top w:val="single" w:sz="8" w:space="0" w:color="auto"/>
            </w:tcBorders>
            <w:vAlign w:val="center"/>
          </w:tcPr>
          <w:p w14:paraId="6759F449" w14:textId="77777777" w:rsidR="002367E6" w:rsidRPr="0019688E" w:rsidRDefault="00233519" w:rsidP="00D729A0">
            <w:pPr>
              <w:spacing w:after="0" w:line="240" w:lineRule="auto"/>
              <w:jc w:val="center"/>
              <w:rPr>
                <w:rFonts w:eastAsia="SimSun" w:cs="Times New Roman"/>
                <w:sz w:val="18"/>
                <w:szCs w:val="18"/>
                <w:lang w:eastAsia="de-DE"/>
              </w:rPr>
            </w:pPr>
            <w:r>
              <w:rPr>
                <w:rFonts w:eastAsia="SimSun" w:cs="Times New Roman"/>
                <w:sz w:val="18"/>
                <w:szCs w:val="18"/>
                <w:lang w:eastAsia="de-DE"/>
              </w:rPr>
              <w:t>403 / 0,</w:t>
            </w:r>
            <w:r w:rsidR="002367E6" w:rsidRPr="0019688E">
              <w:rPr>
                <w:rFonts w:eastAsia="SimSun" w:cs="Times New Roman"/>
                <w:sz w:val="18"/>
                <w:szCs w:val="18"/>
                <w:lang w:eastAsia="de-DE"/>
              </w:rPr>
              <w:t>100</w:t>
            </w:r>
          </w:p>
        </w:tc>
        <w:tc>
          <w:tcPr>
            <w:tcW w:w="1276" w:type="dxa"/>
            <w:tcBorders>
              <w:top w:val="single" w:sz="8" w:space="0" w:color="auto"/>
            </w:tcBorders>
            <w:vAlign w:val="center"/>
          </w:tcPr>
          <w:p w14:paraId="00FD7EFF" w14:textId="77777777" w:rsidR="002367E6" w:rsidRPr="0019688E" w:rsidRDefault="008C6F8A" w:rsidP="008C6F8A">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nein</w:t>
            </w:r>
          </w:p>
        </w:tc>
        <w:tc>
          <w:tcPr>
            <w:tcW w:w="1185" w:type="dxa"/>
            <w:tcBorders>
              <w:top w:val="single" w:sz="8" w:space="0" w:color="auto"/>
              <w:right w:val="single" w:sz="8" w:space="0" w:color="auto"/>
            </w:tcBorders>
            <w:vAlign w:val="center"/>
          </w:tcPr>
          <w:p w14:paraId="17FDB463" w14:textId="77777777" w:rsidR="002367E6" w:rsidRPr="0019688E" w:rsidRDefault="00EC7681" w:rsidP="008C6F8A">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ja</w:t>
            </w:r>
          </w:p>
        </w:tc>
      </w:tr>
      <w:tr w:rsidR="002367E6" w:rsidRPr="00656CB0" w14:paraId="32B86523" w14:textId="77777777" w:rsidTr="007D2B29">
        <w:trPr>
          <w:trHeight w:val="397"/>
          <w:jc w:val="center"/>
        </w:trPr>
        <w:tc>
          <w:tcPr>
            <w:tcW w:w="851" w:type="dxa"/>
            <w:tcBorders>
              <w:top w:val="single" w:sz="4" w:space="0" w:color="auto"/>
              <w:left w:val="single" w:sz="8" w:space="0" w:color="auto"/>
            </w:tcBorders>
            <w:vAlign w:val="center"/>
          </w:tcPr>
          <w:p w14:paraId="7B59DBE9"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2</w:t>
            </w:r>
          </w:p>
        </w:tc>
        <w:tc>
          <w:tcPr>
            <w:tcW w:w="1417" w:type="dxa"/>
            <w:tcBorders>
              <w:top w:val="single" w:sz="4" w:space="0" w:color="auto"/>
            </w:tcBorders>
            <w:shd w:val="clear" w:color="auto" w:fill="auto"/>
            <w:vAlign w:val="center"/>
          </w:tcPr>
          <w:p w14:paraId="41566BE9"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L-Isoleucin 1,0</w:t>
            </w:r>
          </w:p>
        </w:tc>
        <w:tc>
          <w:tcPr>
            <w:tcW w:w="2127" w:type="dxa"/>
            <w:tcBorders>
              <w:top w:val="single" w:sz="4" w:space="0" w:color="auto"/>
            </w:tcBorders>
            <w:shd w:val="clear" w:color="auto" w:fill="auto"/>
            <w:vAlign w:val="center"/>
          </w:tcPr>
          <w:p w14:paraId="2B76A3A3"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135 / 0,020</w:t>
            </w:r>
          </w:p>
        </w:tc>
        <w:tc>
          <w:tcPr>
            <w:tcW w:w="1984" w:type="dxa"/>
            <w:tcBorders>
              <w:top w:val="single" w:sz="4" w:space="0" w:color="auto"/>
            </w:tcBorders>
            <w:vAlign w:val="center"/>
          </w:tcPr>
          <w:p w14:paraId="01705D77"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161 / 0,170</w:t>
            </w:r>
          </w:p>
        </w:tc>
        <w:tc>
          <w:tcPr>
            <w:tcW w:w="1276" w:type="dxa"/>
            <w:tcBorders>
              <w:top w:val="single" w:sz="4" w:space="0" w:color="auto"/>
            </w:tcBorders>
            <w:vAlign w:val="center"/>
          </w:tcPr>
          <w:p w14:paraId="4EBE4904" w14:textId="77777777" w:rsidR="002367E6" w:rsidRPr="0019688E" w:rsidRDefault="008C6F8A" w:rsidP="008C6F8A">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nein</w:t>
            </w:r>
          </w:p>
        </w:tc>
        <w:tc>
          <w:tcPr>
            <w:tcW w:w="1185" w:type="dxa"/>
            <w:tcBorders>
              <w:top w:val="single" w:sz="4" w:space="0" w:color="auto"/>
              <w:right w:val="single" w:sz="8" w:space="0" w:color="auto"/>
            </w:tcBorders>
            <w:vAlign w:val="center"/>
          </w:tcPr>
          <w:p w14:paraId="7503ED6D" w14:textId="77777777" w:rsidR="002367E6" w:rsidRPr="0019688E" w:rsidRDefault="008C6F8A" w:rsidP="008C6F8A">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ja</w:t>
            </w:r>
          </w:p>
        </w:tc>
      </w:tr>
      <w:tr w:rsidR="002367E6" w:rsidRPr="00656CB0" w14:paraId="4F5234A7" w14:textId="77777777" w:rsidTr="007D2B29">
        <w:trPr>
          <w:trHeight w:val="397"/>
          <w:jc w:val="center"/>
        </w:trPr>
        <w:tc>
          <w:tcPr>
            <w:tcW w:w="851" w:type="dxa"/>
            <w:tcBorders>
              <w:left w:val="single" w:sz="8" w:space="0" w:color="auto"/>
            </w:tcBorders>
            <w:vAlign w:val="center"/>
          </w:tcPr>
          <w:p w14:paraId="670CB0FA"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3</w:t>
            </w:r>
          </w:p>
        </w:tc>
        <w:tc>
          <w:tcPr>
            <w:tcW w:w="1417" w:type="dxa"/>
            <w:shd w:val="clear" w:color="auto" w:fill="auto"/>
            <w:vAlign w:val="center"/>
          </w:tcPr>
          <w:p w14:paraId="6CEE48AD"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Mannitol 1,5</w:t>
            </w:r>
          </w:p>
        </w:tc>
        <w:tc>
          <w:tcPr>
            <w:tcW w:w="2127" w:type="dxa"/>
            <w:shd w:val="clear" w:color="auto" w:fill="auto"/>
            <w:vAlign w:val="center"/>
          </w:tcPr>
          <w:p w14:paraId="0C66F73B"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228 / 0,058</w:t>
            </w:r>
          </w:p>
        </w:tc>
        <w:tc>
          <w:tcPr>
            <w:tcW w:w="1984" w:type="dxa"/>
            <w:vAlign w:val="center"/>
          </w:tcPr>
          <w:p w14:paraId="652758F0"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235 / 0,076</w:t>
            </w:r>
          </w:p>
        </w:tc>
        <w:tc>
          <w:tcPr>
            <w:tcW w:w="1276" w:type="dxa"/>
            <w:vAlign w:val="center"/>
          </w:tcPr>
          <w:p w14:paraId="318BEC78" w14:textId="77777777" w:rsidR="002367E6" w:rsidRPr="0019688E" w:rsidRDefault="008C6F8A" w:rsidP="008C6F8A">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nein</w:t>
            </w:r>
          </w:p>
        </w:tc>
        <w:tc>
          <w:tcPr>
            <w:tcW w:w="1185" w:type="dxa"/>
            <w:tcBorders>
              <w:right w:val="single" w:sz="8" w:space="0" w:color="auto"/>
            </w:tcBorders>
            <w:vAlign w:val="center"/>
          </w:tcPr>
          <w:p w14:paraId="5FFB860B" w14:textId="77777777" w:rsidR="002367E6" w:rsidRPr="0019688E" w:rsidRDefault="00EC7681" w:rsidP="008C6F8A">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nein</w:t>
            </w:r>
          </w:p>
        </w:tc>
      </w:tr>
      <w:tr w:rsidR="002367E6" w:rsidRPr="00656CB0" w14:paraId="176571F7" w14:textId="77777777" w:rsidTr="007D2B29">
        <w:trPr>
          <w:trHeight w:val="397"/>
          <w:jc w:val="center"/>
        </w:trPr>
        <w:tc>
          <w:tcPr>
            <w:tcW w:w="851" w:type="dxa"/>
            <w:tcBorders>
              <w:left w:val="single" w:sz="8" w:space="0" w:color="auto"/>
            </w:tcBorders>
            <w:vAlign w:val="center"/>
          </w:tcPr>
          <w:p w14:paraId="1FBAD0A6"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4</w:t>
            </w:r>
          </w:p>
        </w:tc>
        <w:tc>
          <w:tcPr>
            <w:tcW w:w="1417" w:type="dxa"/>
            <w:shd w:val="clear" w:color="auto" w:fill="auto"/>
            <w:vAlign w:val="center"/>
          </w:tcPr>
          <w:p w14:paraId="5CE32BF2"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Sorbitol 3,0</w:t>
            </w:r>
          </w:p>
        </w:tc>
        <w:tc>
          <w:tcPr>
            <w:tcW w:w="2127" w:type="dxa"/>
            <w:shd w:val="clear" w:color="auto" w:fill="auto"/>
            <w:vAlign w:val="center"/>
          </w:tcPr>
          <w:p w14:paraId="1219D33C" w14:textId="77777777" w:rsidR="002367E6" w:rsidRPr="0019688E" w:rsidRDefault="00233519" w:rsidP="00D729A0">
            <w:pPr>
              <w:spacing w:after="0" w:line="240" w:lineRule="auto"/>
              <w:jc w:val="center"/>
              <w:rPr>
                <w:rFonts w:eastAsia="SimSun" w:cs="Times New Roman"/>
                <w:sz w:val="18"/>
                <w:szCs w:val="18"/>
                <w:lang w:eastAsia="de-DE"/>
              </w:rPr>
            </w:pPr>
            <w:r>
              <w:rPr>
                <w:rFonts w:eastAsia="SimSun" w:cs="Times New Roman"/>
                <w:sz w:val="18"/>
                <w:szCs w:val="18"/>
                <w:lang w:eastAsia="de-DE"/>
              </w:rPr>
              <w:t>128 / 0,</w:t>
            </w:r>
            <w:r w:rsidR="002367E6" w:rsidRPr="0019688E">
              <w:rPr>
                <w:rFonts w:eastAsia="SimSun" w:cs="Times New Roman"/>
                <w:sz w:val="18"/>
                <w:szCs w:val="18"/>
                <w:lang w:eastAsia="de-DE"/>
              </w:rPr>
              <w:t>014</w:t>
            </w:r>
          </w:p>
        </w:tc>
        <w:tc>
          <w:tcPr>
            <w:tcW w:w="1984" w:type="dxa"/>
            <w:vAlign w:val="center"/>
          </w:tcPr>
          <w:p w14:paraId="03C962FE"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134 / 0,011</w:t>
            </w:r>
          </w:p>
        </w:tc>
        <w:tc>
          <w:tcPr>
            <w:tcW w:w="1276" w:type="dxa"/>
            <w:vAlign w:val="center"/>
          </w:tcPr>
          <w:p w14:paraId="5FE7549B" w14:textId="77777777" w:rsidR="002367E6" w:rsidRPr="0019688E" w:rsidRDefault="008C6F8A" w:rsidP="008C6F8A">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ja</w:t>
            </w:r>
          </w:p>
        </w:tc>
        <w:tc>
          <w:tcPr>
            <w:tcW w:w="1185" w:type="dxa"/>
            <w:tcBorders>
              <w:right w:val="single" w:sz="8" w:space="0" w:color="auto"/>
            </w:tcBorders>
            <w:vAlign w:val="center"/>
          </w:tcPr>
          <w:p w14:paraId="48A5B033" w14:textId="77777777" w:rsidR="002367E6" w:rsidRPr="0019688E" w:rsidRDefault="00EC7681" w:rsidP="008C6F8A">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ja</w:t>
            </w:r>
          </w:p>
        </w:tc>
      </w:tr>
      <w:tr w:rsidR="002367E6" w:rsidRPr="00656CB0" w14:paraId="0C1073B6" w14:textId="77777777" w:rsidTr="007D2B29">
        <w:trPr>
          <w:trHeight w:val="397"/>
          <w:jc w:val="center"/>
        </w:trPr>
        <w:tc>
          <w:tcPr>
            <w:tcW w:w="851" w:type="dxa"/>
            <w:tcBorders>
              <w:left w:val="single" w:sz="8" w:space="0" w:color="auto"/>
            </w:tcBorders>
            <w:vAlign w:val="center"/>
          </w:tcPr>
          <w:p w14:paraId="29D1D79D"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5</w:t>
            </w:r>
          </w:p>
        </w:tc>
        <w:tc>
          <w:tcPr>
            <w:tcW w:w="1417" w:type="dxa"/>
            <w:shd w:val="clear" w:color="auto" w:fill="auto"/>
            <w:vAlign w:val="center"/>
          </w:tcPr>
          <w:p w14:paraId="7249756D"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PVA 0,6</w:t>
            </w:r>
          </w:p>
          <w:p w14:paraId="072ADD2C"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Sorbitol 3,0</w:t>
            </w:r>
          </w:p>
        </w:tc>
        <w:tc>
          <w:tcPr>
            <w:tcW w:w="2127" w:type="dxa"/>
            <w:shd w:val="clear" w:color="auto" w:fill="auto"/>
            <w:vAlign w:val="center"/>
          </w:tcPr>
          <w:p w14:paraId="12739D28"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128 / 0,014</w:t>
            </w:r>
          </w:p>
        </w:tc>
        <w:tc>
          <w:tcPr>
            <w:tcW w:w="1984" w:type="dxa"/>
            <w:vAlign w:val="center"/>
          </w:tcPr>
          <w:p w14:paraId="7860B589"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143 / 0,097</w:t>
            </w:r>
          </w:p>
        </w:tc>
        <w:tc>
          <w:tcPr>
            <w:tcW w:w="1276" w:type="dxa"/>
            <w:vAlign w:val="center"/>
          </w:tcPr>
          <w:p w14:paraId="312136D7" w14:textId="77777777" w:rsidR="002367E6" w:rsidRPr="0019688E" w:rsidRDefault="008C6F8A" w:rsidP="008C6F8A">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ja</w:t>
            </w:r>
          </w:p>
        </w:tc>
        <w:tc>
          <w:tcPr>
            <w:tcW w:w="1185" w:type="dxa"/>
            <w:tcBorders>
              <w:right w:val="single" w:sz="8" w:space="0" w:color="auto"/>
            </w:tcBorders>
            <w:vAlign w:val="center"/>
          </w:tcPr>
          <w:p w14:paraId="6241A980" w14:textId="77777777" w:rsidR="002367E6" w:rsidRPr="0019688E" w:rsidRDefault="00EC7681" w:rsidP="008C6F8A">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nein</w:t>
            </w:r>
          </w:p>
        </w:tc>
      </w:tr>
      <w:tr w:rsidR="002367E6" w:rsidRPr="00656CB0" w14:paraId="7CFD17BE" w14:textId="77777777" w:rsidTr="007D2B29">
        <w:trPr>
          <w:trHeight w:val="397"/>
          <w:jc w:val="center"/>
        </w:trPr>
        <w:tc>
          <w:tcPr>
            <w:tcW w:w="851" w:type="dxa"/>
            <w:tcBorders>
              <w:left w:val="single" w:sz="8" w:space="0" w:color="auto"/>
            </w:tcBorders>
            <w:vAlign w:val="center"/>
          </w:tcPr>
          <w:p w14:paraId="6E33C948"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6</w:t>
            </w:r>
          </w:p>
        </w:tc>
        <w:tc>
          <w:tcPr>
            <w:tcW w:w="1417" w:type="dxa"/>
            <w:shd w:val="clear" w:color="auto" w:fill="auto"/>
            <w:vAlign w:val="center"/>
          </w:tcPr>
          <w:p w14:paraId="53BDC9E3"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Sorbitol 2,0</w:t>
            </w:r>
          </w:p>
        </w:tc>
        <w:tc>
          <w:tcPr>
            <w:tcW w:w="2127" w:type="dxa"/>
            <w:shd w:val="clear" w:color="auto" w:fill="auto"/>
            <w:vAlign w:val="center"/>
          </w:tcPr>
          <w:p w14:paraId="32F6F7AF"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137 / 0,035</w:t>
            </w:r>
          </w:p>
        </w:tc>
        <w:tc>
          <w:tcPr>
            <w:tcW w:w="1984" w:type="dxa"/>
            <w:vAlign w:val="center"/>
          </w:tcPr>
          <w:p w14:paraId="4788D5D5"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142 / 0,037</w:t>
            </w:r>
          </w:p>
        </w:tc>
        <w:tc>
          <w:tcPr>
            <w:tcW w:w="1276" w:type="dxa"/>
            <w:vAlign w:val="center"/>
          </w:tcPr>
          <w:p w14:paraId="67801D60" w14:textId="77777777" w:rsidR="002367E6" w:rsidRPr="0019688E" w:rsidRDefault="008C6F8A" w:rsidP="008C6F8A">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ja</w:t>
            </w:r>
          </w:p>
        </w:tc>
        <w:tc>
          <w:tcPr>
            <w:tcW w:w="1185" w:type="dxa"/>
            <w:tcBorders>
              <w:right w:val="single" w:sz="8" w:space="0" w:color="auto"/>
            </w:tcBorders>
            <w:vAlign w:val="center"/>
          </w:tcPr>
          <w:p w14:paraId="38F3D347" w14:textId="77777777" w:rsidR="002367E6" w:rsidRPr="0019688E" w:rsidRDefault="00EC7681" w:rsidP="008C6F8A">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ja</w:t>
            </w:r>
          </w:p>
        </w:tc>
      </w:tr>
      <w:tr w:rsidR="002367E6" w:rsidRPr="00656CB0" w14:paraId="15AB11B0" w14:textId="77777777" w:rsidTr="007D2B29">
        <w:trPr>
          <w:trHeight w:val="397"/>
          <w:jc w:val="center"/>
        </w:trPr>
        <w:tc>
          <w:tcPr>
            <w:tcW w:w="851" w:type="dxa"/>
            <w:tcBorders>
              <w:left w:val="single" w:sz="8" w:space="0" w:color="auto"/>
              <w:bottom w:val="single" w:sz="8" w:space="0" w:color="auto"/>
            </w:tcBorders>
            <w:vAlign w:val="center"/>
          </w:tcPr>
          <w:p w14:paraId="1484C2C5"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7</w:t>
            </w:r>
          </w:p>
        </w:tc>
        <w:tc>
          <w:tcPr>
            <w:tcW w:w="1417" w:type="dxa"/>
            <w:tcBorders>
              <w:bottom w:val="single" w:sz="8" w:space="0" w:color="auto"/>
            </w:tcBorders>
            <w:shd w:val="clear" w:color="auto" w:fill="auto"/>
            <w:vAlign w:val="center"/>
          </w:tcPr>
          <w:p w14:paraId="4430C506" w14:textId="77777777" w:rsidR="002367E6" w:rsidRPr="0019688E" w:rsidRDefault="00233519" w:rsidP="00D729A0">
            <w:pPr>
              <w:spacing w:after="0" w:line="240" w:lineRule="auto"/>
              <w:jc w:val="center"/>
              <w:rPr>
                <w:rFonts w:eastAsia="SimSun" w:cs="Times New Roman"/>
                <w:sz w:val="18"/>
                <w:szCs w:val="18"/>
                <w:lang w:eastAsia="de-DE"/>
              </w:rPr>
            </w:pPr>
            <w:r>
              <w:rPr>
                <w:rFonts w:eastAsia="SimSun" w:cs="Times New Roman"/>
                <w:sz w:val="18"/>
                <w:szCs w:val="18"/>
                <w:lang w:eastAsia="de-DE"/>
              </w:rPr>
              <w:t>Sorbitol 0,</w:t>
            </w:r>
            <w:r w:rsidR="002367E6" w:rsidRPr="0019688E">
              <w:rPr>
                <w:rFonts w:eastAsia="SimSun" w:cs="Times New Roman"/>
                <w:sz w:val="18"/>
                <w:szCs w:val="18"/>
                <w:lang w:eastAsia="de-DE"/>
              </w:rPr>
              <w:t>9</w:t>
            </w:r>
          </w:p>
          <w:p w14:paraId="1E035FA2" w14:textId="77777777" w:rsidR="003E4485" w:rsidRPr="0019688E" w:rsidRDefault="002367E6" w:rsidP="003E4485">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Mannitol 0,6</w:t>
            </w:r>
          </w:p>
        </w:tc>
        <w:tc>
          <w:tcPr>
            <w:tcW w:w="2127" w:type="dxa"/>
            <w:tcBorders>
              <w:bottom w:val="single" w:sz="8" w:space="0" w:color="auto"/>
            </w:tcBorders>
            <w:shd w:val="clear" w:color="auto" w:fill="auto"/>
            <w:vAlign w:val="center"/>
          </w:tcPr>
          <w:p w14:paraId="02788546"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311 / 0,048</w:t>
            </w:r>
          </w:p>
        </w:tc>
        <w:tc>
          <w:tcPr>
            <w:tcW w:w="1984" w:type="dxa"/>
            <w:tcBorders>
              <w:bottom w:val="single" w:sz="8" w:space="0" w:color="auto"/>
            </w:tcBorders>
            <w:vAlign w:val="center"/>
          </w:tcPr>
          <w:p w14:paraId="649D837A" w14:textId="77777777" w:rsidR="002367E6" w:rsidRPr="0019688E" w:rsidRDefault="002367E6" w:rsidP="00D729A0">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316 / 0,045</w:t>
            </w:r>
          </w:p>
        </w:tc>
        <w:tc>
          <w:tcPr>
            <w:tcW w:w="1276" w:type="dxa"/>
            <w:tcBorders>
              <w:bottom w:val="single" w:sz="8" w:space="0" w:color="auto"/>
            </w:tcBorders>
            <w:vAlign w:val="center"/>
          </w:tcPr>
          <w:p w14:paraId="09C9D03E" w14:textId="77777777" w:rsidR="002367E6" w:rsidRPr="0019688E" w:rsidRDefault="008C6F8A" w:rsidP="008C6F8A">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nein</w:t>
            </w:r>
          </w:p>
        </w:tc>
        <w:tc>
          <w:tcPr>
            <w:tcW w:w="1185" w:type="dxa"/>
            <w:tcBorders>
              <w:bottom w:val="single" w:sz="8" w:space="0" w:color="auto"/>
              <w:right w:val="single" w:sz="8" w:space="0" w:color="auto"/>
            </w:tcBorders>
            <w:vAlign w:val="center"/>
          </w:tcPr>
          <w:p w14:paraId="1E469ABD" w14:textId="77777777" w:rsidR="002367E6" w:rsidRPr="0019688E" w:rsidRDefault="00EC7681" w:rsidP="008C6F8A">
            <w:pPr>
              <w:spacing w:after="0" w:line="240" w:lineRule="auto"/>
              <w:jc w:val="center"/>
              <w:rPr>
                <w:rFonts w:eastAsia="SimSun" w:cs="Times New Roman"/>
                <w:sz w:val="18"/>
                <w:szCs w:val="18"/>
                <w:lang w:eastAsia="de-DE"/>
              </w:rPr>
            </w:pPr>
            <w:r w:rsidRPr="0019688E">
              <w:rPr>
                <w:rFonts w:eastAsia="SimSun" w:cs="Times New Roman"/>
                <w:sz w:val="18"/>
                <w:szCs w:val="18"/>
                <w:lang w:eastAsia="de-DE"/>
              </w:rPr>
              <w:t>nein</w:t>
            </w:r>
          </w:p>
        </w:tc>
      </w:tr>
    </w:tbl>
    <w:p w14:paraId="5ED25C49" w14:textId="77777777" w:rsidR="00D729A0" w:rsidRDefault="00D729A0" w:rsidP="00412D85"/>
    <w:p w14:paraId="472B4412" w14:textId="77777777" w:rsidR="00CE7BFD" w:rsidRDefault="00352D37" w:rsidP="006B7785">
      <w:r>
        <w:t>Bei den Formulierungen</w:t>
      </w:r>
      <w:r w:rsidR="00762C5B">
        <w:t xml:space="preserve"> </w:t>
      </w:r>
      <w:r w:rsidR="00CE7BFD">
        <w:t>1, 2,</w:t>
      </w:r>
      <w:r>
        <w:t xml:space="preserve"> 4 und 6 waren die Pulver kollabiert und </w:t>
      </w:r>
      <w:r w:rsidR="00874A8A">
        <w:t>teilweise stark verkrustet. Sie</w:t>
      </w:r>
      <w:r>
        <w:t xml:space="preserve"> bildeten nicht den für eine</w:t>
      </w:r>
      <w:r w:rsidR="00337AB2">
        <w:t xml:space="preserve"> optimale</w:t>
      </w:r>
      <w:r>
        <w:t xml:space="preserve"> Gefriertrocknung typischen </w:t>
      </w:r>
      <w:r w:rsidR="0019688E">
        <w:t>„</w:t>
      </w:r>
      <w:r>
        <w:t>Lyophilisatkuchen</w:t>
      </w:r>
      <w:r w:rsidR="0019688E">
        <w:t>“</w:t>
      </w:r>
      <w:r>
        <w:t xml:space="preserve">. </w:t>
      </w:r>
      <w:r w:rsidR="000C67C3">
        <w:t>Die Formulierungen 4,</w:t>
      </w:r>
      <w:r w:rsidR="00337AB2">
        <w:t xml:space="preserve"> </w:t>
      </w:r>
      <w:r w:rsidR="000C67C3">
        <w:t>5 und 6 waren stark hygroskopisch</w:t>
      </w:r>
      <w:r w:rsidR="00041FCE">
        <w:t xml:space="preserve"> und </w:t>
      </w:r>
      <w:r w:rsidR="00041FCE">
        <w:lastRenderedPageBreak/>
        <w:t>entwickelten sich aufgrund der</w:t>
      </w:r>
      <w:r w:rsidR="000C67C3">
        <w:t xml:space="preserve"> Luftfeuchtigkeit im </w:t>
      </w:r>
      <w:r w:rsidR="00EA4923">
        <w:t>geöffneten Gefäß im Labor</w:t>
      </w:r>
      <w:r w:rsidR="000C67C3">
        <w:t xml:space="preserve"> innerhalb von Minuten zu </w:t>
      </w:r>
      <w:r w:rsidR="00F964F9">
        <w:t>e</w:t>
      </w:r>
      <w:r w:rsidR="00041FCE">
        <w:t>iner hochviskosen</w:t>
      </w:r>
      <w:r w:rsidR="00762C5B">
        <w:t xml:space="preserve"> und klebrigen Masse.</w:t>
      </w:r>
    </w:p>
    <w:p w14:paraId="61DF416D" w14:textId="77777777" w:rsidR="004F0ED3" w:rsidRDefault="00762C5B" w:rsidP="004F0ED3">
      <w:r>
        <w:t>Für die Formulierungen 4 und 5 wurde eine Partikelsuspension aus dem gleichen Herstellungsgang gewählt. Formulierung 4 wurde jedoch vor Zugabe des Sorbitols mit der Zentrif</w:t>
      </w:r>
      <w:r w:rsidR="006A361D">
        <w:t>uge aufgereinigt, während bei Formulierung 5 die Suspension nicht aufgereinigt wurde und somit die überschüssige Menge an PVA noch vollständig enthalten war. Die Differenz des mittleren Partikeldurchmessers vor der Trocknung zur redispergierten Probe b</w:t>
      </w:r>
      <w:r w:rsidR="00AC4266">
        <w:t>etrug</w:t>
      </w:r>
      <w:r w:rsidR="006A361D">
        <w:t xml:space="preserve"> bei Formulierung 4 lediglich +6 nm und</w:t>
      </w:r>
      <w:r w:rsidR="00033C9B">
        <w:t xml:space="preserve"> bei Formulierung 5 +15 nm. D</w:t>
      </w:r>
      <w:r w:rsidR="006A361D">
        <w:t xml:space="preserve">er PDI ist </w:t>
      </w:r>
      <w:r w:rsidR="00033C9B">
        <w:t>bei Formulierung 4 etwas kleiner</w:t>
      </w:r>
      <w:r w:rsidR="006A361D">
        <w:t xml:space="preserve"> geworden</w:t>
      </w:r>
      <w:r w:rsidR="00033C9B">
        <w:t xml:space="preserve"> und bei Formulierung 5 von 0,014 auf 0,097 gestiegen</w:t>
      </w:r>
      <w:r w:rsidR="006A361D">
        <w:t xml:space="preserve">. Der Anstieg des mittleren Partikeldurchmessers und </w:t>
      </w:r>
      <w:r w:rsidR="00033C9B">
        <w:t xml:space="preserve">der Polydispersität bei der Trocknung der PVA haltigen Probe deuten auf eine Bildung von Partikelaggregaten hin. </w:t>
      </w:r>
    </w:p>
    <w:p w14:paraId="4CDDD919" w14:textId="77777777" w:rsidR="00762C5B" w:rsidRDefault="00C114B7" w:rsidP="00715DEF">
      <w:pPr>
        <w:spacing w:after="0"/>
      </w:pPr>
      <w:r>
        <w:t>Von der nicht auf</w:t>
      </w:r>
      <w:r w:rsidR="00AC4266">
        <w:t>gereinigten und daher stark PVA-</w:t>
      </w:r>
      <w:r>
        <w:t>haltigen</w:t>
      </w:r>
      <w:r w:rsidR="002821D4">
        <w:t xml:space="preserve"> lyophilisierte</w:t>
      </w:r>
      <w:r>
        <w:t>n</w:t>
      </w:r>
      <w:r w:rsidR="002821D4">
        <w:t xml:space="preserve"> Partikelprobe</w:t>
      </w:r>
      <w:r>
        <w:t xml:space="preserve"> (Formulierung 5 in </w:t>
      </w:r>
      <w:r w:rsidR="00D16240">
        <w:fldChar w:fldCharType="begin"/>
      </w:r>
      <w:r>
        <w:instrText xml:space="preserve"> REF _Ref273132343 \h </w:instrText>
      </w:r>
      <w:r w:rsidR="00D16240">
        <w:fldChar w:fldCharType="separate"/>
      </w:r>
      <w:r w:rsidR="00711AB8" w:rsidRPr="00C439E1">
        <w:rPr>
          <w:color w:val="000000" w:themeColor="text1"/>
        </w:rPr>
        <w:t xml:space="preserve">Tabelle </w:t>
      </w:r>
      <w:r w:rsidR="00711AB8">
        <w:rPr>
          <w:noProof/>
          <w:color w:val="000000" w:themeColor="text1"/>
        </w:rPr>
        <w:t>12</w:t>
      </w:r>
      <w:r w:rsidR="00D16240">
        <w:fldChar w:fldCharType="end"/>
      </w:r>
      <w:r>
        <w:t>) wurden REM Aufnahmen angefertigt.</w:t>
      </w:r>
      <w:r w:rsidR="00715DEF">
        <w:t xml:space="preserve"> </w:t>
      </w:r>
      <w:r>
        <w:t xml:space="preserve">Zwei dieser Aufnahmen sind in </w:t>
      </w:r>
      <w:r w:rsidR="00D16240">
        <w:fldChar w:fldCharType="begin"/>
      </w:r>
      <w:r w:rsidR="00715DEF">
        <w:instrText xml:space="preserve"> REF _Ref284261735 \h </w:instrText>
      </w:r>
      <w:r w:rsidR="00D16240">
        <w:fldChar w:fldCharType="separate"/>
      </w:r>
      <w:r w:rsidR="00711AB8" w:rsidRPr="00641CBB">
        <w:t xml:space="preserve">Abbildung </w:t>
      </w:r>
      <w:r w:rsidR="00711AB8">
        <w:rPr>
          <w:noProof/>
        </w:rPr>
        <w:t>15</w:t>
      </w:r>
      <w:r w:rsidR="00D16240">
        <w:fldChar w:fldCharType="end"/>
      </w:r>
      <w:r>
        <w:t xml:space="preserve"> dargestellt.</w:t>
      </w:r>
    </w:p>
    <w:p w14:paraId="75DE8080" w14:textId="77777777" w:rsidR="001715FD" w:rsidRDefault="001715FD" w:rsidP="006B7785"/>
    <w:p w14:paraId="73F4A855" w14:textId="77777777" w:rsidR="001715FD" w:rsidRDefault="00C114B7" w:rsidP="001856C4">
      <w:pPr>
        <w:widowControl w:val="0"/>
        <w:autoSpaceDE w:val="0"/>
        <w:autoSpaceDN w:val="0"/>
        <w:adjustRightInd w:val="0"/>
        <w:spacing w:after="120" w:line="240" w:lineRule="auto"/>
        <w:jc w:val="center"/>
        <w:rPr>
          <w:rFonts w:ascii="Times" w:hAnsi="Times" w:cs="Times"/>
          <w:noProof/>
          <w:szCs w:val="24"/>
          <w:lang w:eastAsia="de-DE"/>
        </w:rPr>
      </w:pPr>
      <w:r w:rsidRPr="00C66003">
        <w:rPr>
          <w:rFonts w:ascii="Times" w:hAnsi="Times" w:cs="Times"/>
          <w:noProof/>
          <w:szCs w:val="24"/>
          <w:lang w:eastAsia="de-DE"/>
        </w:rPr>
        <w:drawing>
          <wp:inline distT="0" distB="0" distL="0" distR="0" wp14:anchorId="559A6D9A" wp14:editId="206B92A0">
            <wp:extent cx="2742777" cy="2057083"/>
            <wp:effectExtent l="0" t="0" r="0" b="0"/>
            <wp:docPr id="1752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bright="8000" contrast="2000"/>
                              </a14:imgEffect>
                            </a14:imgLayer>
                          </a14:imgProps>
                        </a:ext>
                        <a:ext uri="{28A0092B-C50C-407E-A947-70E740481C1C}">
                          <a14:useLocalDpi xmlns:a14="http://schemas.microsoft.com/office/drawing/2010/main" val="0"/>
                        </a:ext>
                      </a:extLst>
                    </a:blip>
                    <a:srcRect/>
                    <a:stretch>
                      <a:fillRect/>
                    </a:stretch>
                  </pic:blipFill>
                  <pic:spPr bwMode="auto">
                    <a:xfrm>
                      <a:off x="0" y="0"/>
                      <a:ext cx="2743225" cy="2057419"/>
                    </a:xfrm>
                    <a:prstGeom prst="rect">
                      <a:avLst/>
                    </a:prstGeom>
                    <a:noFill/>
                    <a:ln>
                      <a:noFill/>
                    </a:ln>
                  </pic:spPr>
                </pic:pic>
              </a:graphicData>
            </a:graphic>
          </wp:inline>
        </w:drawing>
      </w:r>
      <w:r w:rsidR="00A745E1">
        <w:rPr>
          <w:rFonts w:ascii="Times" w:hAnsi="Times" w:cs="Times"/>
          <w:noProof/>
          <w:szCs w:val="24"/>
          <w:lang w:eastAsia="de-DE"/>
        </w:rPr>
        <w:t xml:space="preserve"> </w:t>
      </w:r>
      <w:r w:rsidR="00355F16" w:rsidRPr="00C66003">
        <w:rPr>
          <w:rFonts w:ascii="Times" w:hAnsi="Times" w:cs="Times"/>
          <w:noProof/>
          <w:szCs w:val="24"/>
          <w:lang w:eastAsia="de-DE"/>
        </w:rPr>
        <w:drawing>
          <wp:inline distT="0" distB="0" distL="0" distR="0" wp14:anchorId="59E4CA42" wp14:editId="3930206A">
            <wp:extent cx="2741295" cy="2055971"/>
            <wp:effectExtent l="0" t="0" r="0" b="0"/>
            <wp:docPr id="1752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BEBA8EAE-BF5A-486C-A8C5-ECC9F3942E4B}">
                          <a14:imgProps xmlns:a14="http://schemas.microsoft.com/office/drawing/2010/main">
                            <a14:imgLayer r:embed="rId32">
                              <a14:imgEffect>
                                <a14:brightnessContrast bright="8000" contrast="2000"/>
                              </a14:imgEffect>
                            </a14:imgLayer>
                          </a14:imgProps>
                        </a:ext>
                        <a:ext uri="{28A0092B-C50C-407E-A947-70E740481C1C}">
                          <a14:useLocalDpi xmlns:a14="http://schemas.microsoft.com/office/drawing/2010/main" val="0"/>
                        </a:ext>
                      </a:extLst>
                    </a:blip>
                    <a:srcRect/>
                    <a:stretch>
                      <a:fillRect/>
                    </a:stretch>
                  </pic:blipFill>
                  <pic:spPr bwMode="auto">
                    <a:xfrm>
                      <a:off x="0" y="0"/>
                      <a:ext cx="2742103" cy="2056577"/>
                    </a:xfrm>
                    <a:prstGeom prst="rect">
                      <a:avLst/>
                    </a:prstGeom>
                    <a:noFill/>
                    <a:ln>
                      <a:noFill/>
                    </a:ln>
                  </pic:spPr>
                </pic:pic>
              </a:graphicData>
            </a:graphic>
          </wp:inline>
        </w:drawing>
      </w:r>
    </w:p>
    <w:p w14:paraId="0BEAAC35" w14:textId="77777777" w:rsidR="001715FD" w:rsidRPr="00641CBB" w:rsidRDefault="00A13856" w:rsidP="001856C4">
      <w:pPr>
        <w:pStyle w:val="Beschriftung"/>
        <w:spacing w:after="120"/>
        <w:ind w:firstLine="0"/>
        <w:rPr>
          <w:rFonts w:ascii="Times" w:hAnsi="Times" w:cs="Times"/>
          <w:b w:val="0"/>
          <w:szCs w:val="24"/>
        </w:rPr>
      </w:pPr>
      <w:bookmarkStart w:id="178" w:name="_Ref284261735"/>
      <w:r w:rsidRPr="00641CBB">
        <w:t xml:space="preserve">Abbildung </w:t>
      </w:r>
      <w:fldSimple w:instr=" SEQ Abbildung \* ARABIC ">
        <w:r w:rsidR="00711AB8">
          <w:rPr>
            <w:noProof/>
          </w:rPr>
          <w:t>15</w:t>
        </w:r>
      </w:fldSimple>
      <w:bookmarkEnd w:id="178"/>
      <w:r w:rsidRPr="00641CBB">
        <w:t xml:space="preserve"> </w:t>
      </w:r>
      <w:r w:rsidRPr="00641CBB">
        <w:rPr>
          <w:b w:val="0"/>
        </w:rPr>
        <w:t>REM Aufnahmen ge</w:t>
      </w:r>
      <w:r w:rsidR="004F0ED3" w:rsidRPr="00641CBB">
        <w:rPr>
          <w:b w:val="0"/>
        </w:rPr>
        <w:t>friergetrockneter Resomer</w:t>
      </w:r>
      <w:r w:rsidR="001856C4" w:rsidRPr="00902C2E">
        <w:rPr>
          <w:vertAlign w:val="superscript"/>
        </w:rPr>
        <w:t>®</w:t>
      </w:r>
      <w:r w:rsidR="004F0ED3" w:rsidRPr="00641CBB">
        <w:rPr>
          <w:b w:val="0"/>
        </w:rPr>
        <w:t xml:space="preserve"> RG 503 H Partikel</w:t>
      </w:r>
      <w:r w:rsidRPr="00641CBB">
        <w:rPr>
          <w:b w:val="0"/>
        </w:rPr>
        <w:t xml:space="preserve">, die vor der Trocknung nicht aufgereinigt wurden und noch überschüssiges PVA enthalten, </w:t>
      </w:r>
      <w:r w:rsidR="00342F75" w:rsidRPr="00641CBB">
        <w:rPr>
          <w:b w:val="0"/>
        </w:rPr>
        <w:t xml:space="preserve">Formulierung 5 in </w:t>
      </w:r>
      <w:r w:rsidR="00057BAF">
        <w:fldChar w:fldCharType="begin"/>
      </w:r>
      <w:r w:rsidR="00057BAF">
        <w:instrText xml:space="preserve"> REF _Ref273132343 \h  \* MERGEFORMAT </w:instrText>
      </w:r>
      <w:r w:rsidR="00057BAF">
        <w:fldChar w:fldCharType="separate"/>
      </w:r>
      <w:r w:rsidR="00711AB8" w:rsidRPr="00711AB8">
        <w:rPr>
          <w:b w:val="0"/>
          <w:color w:val="000000" w:themeColor="text1"/>
        </w:rPr>
        <w:t xml:space="preserve">Tabelle </w:t>
      </w:r>
      <w:r w:rsidR="00711AB8" w:rsidRPr="00711AB8">
        <w:rPr>
          <w:b w:val="0"/>
          <w:noProof/>
          <w:color w:val="000000" w:themeColor="text1"/>
        </w:rPr>
        <w:t>12</w:t>
      </w:r>
      <w:r w:rsidR="00057BAF">
        <w:fldChar w:fldCharType="end"/>
      </w:r>
      <w:r w:rsidR="00342F75" w:rsidRPr="00641CBB">
        <w:rPr>
          <w:b w:val="0"/>
        </w:rPr>
        <w:t xml:space="preserve">, </w:t>
      </w:r>
      <w:r w:rsidR="004F0ED3" w:rsidRPr="00641CBB">
        <w:rPr>
          <w:b w:val="0"/>
        </w:rPr>
        <w:t>hergestellt mittels Doppelemulsionsmethode unter Verwendung des Microfluidizers</w:t>
      </w:r>
      <w:r w:rsidR="00AC4266">
        <w:rPr>
          <w:b w:val="0"/>
        </w:rPr>
        <w:t>.</w:t>
      </w:r>
    </w:p>
    <w:p w14:paraId="44DD3350" w14:textId="77777777" w:rsidR="00342F75" w:rsidRDefault="00342F75" w:rsidP="00084090">
      <w:pPr>
        <w:spacing w:after="120"/>
      </w:pPr>
    </w:p>
    <w:p w14:paraId="75065788" w14:textId="77777777" w:rsidR="00084090" w:rsidRDefault="006226E4" w:rsidP="006B7785">
      <w:r>
        <w:t>In beiden</w:t>
      </w:r>
      <w:r w:rsidR="00C114B7">
        <w:t xml:space="preserve"> REM Aufnahmen von Formulierung 5 in </w:t>
      </w:r>
      <w:r w:rsidR="00D16240">
        <w:fldChar w:fldCharType="begin"/>
      </w:r>
      <w:r w:rsidR="00C114B7">
        <w:instrText xml:space="preserve"> REF _Ref284261735 \h </w:instrText>
      </w:r>
      <w:r w:rsidR="00D16240">
        <w:fldChar w:fldCharType="separate"/>
      </w:r>
      <w:r w:rsidR="00711AB8" w:rsidRPr="00641CBB">
        <w:t xml:space="preserve">Abbildung </w:t>
      </w:r>
      <w:r w:rsidR="00711AB8">
        <w:rPr>
          <w:noProof/>
        </w:rPr>
        <w:t>15</w:t>
      </w:r>
      <w:r w:rsidR="00D16240">
        <w:fldChar w:fldCharType="end"/>
      </w:r>
      <w:r w:rsidR="00C114B7">
        <w:t xml:space="preserve"> sind keine partikulär geformten Strukturen zu erkennen. Die Pr</w:t>
      </w:r>
      <w:r w:rsidR="00D06C6A">
        <w:t>obe enthält jeweils bezogen auf den Feststoffanteil 73</w:t>
      </w:r>
      <w:r w:rsidR="00C114B7">
        <w:t xml:space="preserve">% Sorbitol, 14% PVA und </w:t>
      </w:r>
      <w:r>
        <w:t>13% PLGA</w:t>
      </w:r>
      <w:r w:rsidR="00D06C6A">
        <w:t>. Der Polymeranteil sollte</w:t>
      </w:r>
      <w:r w:rsidR="000B367D">
        <w:t xml:space="preserve"> damit</w:t>
      </w:r>
      <w:r w:rsidR="00D06C6A">
        <w:t xml:space="preserve"> ausreichend hoch sein, um Partikel erkennen zu können. Es ist also davon auszugehen, dass das enthaltene Polymer nicht mehr partikulär gefor</w:t>
      </w:r>
      <w:r>
        <w:t>mt ist. Die</w:t>
      </w:r>
      <w:r w:rsidR="00D06C6A">
        <w:t xml:space="preserve"> Bestandteile</w:t>
      </w:r>
      <w:r>
        <w:t xml:space="preserve"> scheinen</w:t>
      </w:r>
      <w:r w:rsidR="00D06C6A">
        <w:t xml:space="preserve"> miteina</w:t>
      </w:r>
      <w:r>
        <w:t>nder zu einem Film verschmolzen zu sein.</w:t>
      </w:r>
    </w:p>
    <w:p w14:paraId="0F58E396" w14:textId="77777777" w:rsidR="00D06C6A" w:rsidRDefault="004F0ED3" w:rsidP="006B7785">
      <w:r>
        <w:t>Bei Verwendung aufgereinigter P</w:t>
      </w:r>
      <w:r w:rsidR="00342F75">
        <w:t>roben hingegen trat keine Aggregation</w:t>
      </w:r>
      <w:r w:rsidR="00D06C6A">
        <w:t xml:space="preserve"> oder Verschmelzung</w:t>
      </w:r>
      <w:r w:rsidR="00342F75">
        <w:t xml:space="preserve"> der </w:t>
      </w:r>
      <w:r w:rsidR="00D06C6A">
        <w:t xml:space="preserve">lyophilisierten </w:t>
      </w:r>
      <w:r w:rsidR="00342F75">
        <w:t>Partikel</w:t>
      </w:r>
      <w:r>
        <w:t xml:space="preserve"> auf (vgl. </w:t>
      </w:r>
      <w:r w:rsidR="00D16240">
        <w:fldChar w:fldCharType="begin"/>
      </w:r>
      <w:r>
        <w:instrText xml:space="preserve"> REF _Ref273140252 \h </w:instrText>
      </w:r>
      <w:r w:rsidR="00D16240">
        <w:fldChar w:fldCharType="separate"/>
      </w:r>
      <w:r w:rsidR="00711AB8" w:rsidRPr="00AB50D3">
        <w:rPr>
          <w:color w:val="000000" w:themeColor="text1"/>
        </w:rPr>
        <w:t xml:space="preserve">Abbildung </w:t>
      </w:r>
      <w:r w:rsidR="00711AB8">
        <w:rPr>
          <w:noProof/>
          <w:color w:val="000000" w:themeColor="text1"/>
        </w:rPr>
        <w:t>16</w:t>
      </w:r>
      <w:r w:rsidR="00D16240">
        <w:fldChar w:fldCharType="end"/>
      </w:r>
      <w:r>
        <w:t>)</w:t>
      </w:r>
      <w:r w:rsidR="00AD6959">
        <w:t>.</w:t>
      </w:r>
    </w:p>
    <w:p w14:paraId="601FA99D" w14:textId="77777777" w:rsidR="004F0ED3" w:rsidRDefault="004F0ED3" w:rsidP="006B7785">
      <w:r>
        <w:lastRenderedPageBreak/>
        <w:t xml:space="preserve">Eine mögliche Erklärung für diese Beobachtung wäre, dass PVA als Weichmacher wirkt und daher die Glasübergangstemperatur von Polymeren senkt. Dies kann zu einem Verschmelzen der Partikel und einer irreversiblen Aggregation führen. </w:t>
      </w:r>
      <w:r w:rsidR="003F6FE1">
        <w:t>Auch wenn der PDI nach dem R</w:t>
      </w:r>
      <w:r w:rsidR="00934FCA">
        <w:t>e</w:t>
      </w:r>
      <w:r w:rsidR="003F6FE1">
        <w:t>dispergieren von Formulierung 5 in Wasser deutlich anstieg, so war die Redispergierung dennoch weitgehend möglich. Dies würden die REM Aufnahmen von Formulierung 5 jedoch keineswegs vermuten lassen. Demzufolge</w:t>
      </w:r>
      <w:r w:rsidR="006226E4">
        <w:t xml:space="preserve"> ist davon auszugehen, dass</w:t>
      </w:r>
      <w:r w:rsidR="00960B93">
        <w:t xml:space="preserve"> die starke Aggregation und Verfilmung der Partikel</w:t>
      </w:r>
      <w:r w:rsidR="006226E4">
        <w:t xml:space="preserve"> vorwiegend im Zuge der Probenaufbereitung zur REM Analyse</w:t>
      </w:r>
      <w:r w:rsidR="00960B93">
        <w:t xml:space="preserve"> erfolgte</w:t>
      </w:r>
      <w:r w:rsidR="006226E4">
        <w:t xml:space="preserve">. </w:t>
      </w:r>
      <w:r w:rsidR="00AD6959">
        <w:t>Der Anstieg des PDI mit</w:t>
      </w:r>
      <w:r w:rsidR="003F6FE1">
        <w:t xml:space="preserve"> gleichzeitiger Zunahme</w:t>
      </w:r>
      <w:r w:rsidR="00AD6959">
        <w:t xml:space="preserve"> der Partikelgröße</w:t>
      </w:r>
      <w:r w:rsidR="00960B93">
        <w:t xml:space="preserve"> nach</w:t>
      </w:r>
      <w:r w:rsidR="00AD6959">
        <w:t xml:space="preserve"> der Redispergierung des Lyophilisats</w:t>
      </w:r>
      <w:r w:rsidR="00960B93">
        <w:t xml:space="preserve"> deutet jedoch</w:t>
      </w:r>
      <w:r w:rsidR="003F6FE1">
        <w:t xml:space="preserve"> auf eine Aggregation von Partikeln</w:t>
      </w:r>
      <w:r w:rsidR="00960B93">
        <w:t xml:space="preserve"> auch bereits vor der REM Analyse</w:t>
      </w:r>
      <w:r w:rsidR="003F6FE1">
        <w:t xml:space="preserve"> hin. Daher ist d</w:t>
      </w:r>
      <w:r>
        <w:t>ie Aufreinigung der Partikelsuspension vo</w:t>
      </w:r>
      <w:r w:rsidR="006226E4">
        <w:t>r de</w:t>
      </w:r>
      <w:r w:rsidR="003F6FE1">
        <w:t xml:space="preserve">r Gefriertrocknung </w:t>
      </w:r>
      <w:r w:rsidR="006226E4">
        <w:t>in jedem Fall</w:t>
      </w:r>
      <w:r>
        <w:t xml:space="preserve"> empfehlenswert.</w:t>
      </w:r>
    </w:p>
    <w:p w14:paraId="39BAC7C0" w14:textId="77777777" w:rsidR="00352D37" w:rsidRDefault="00CE7BFD" w:rsidP="006B7785">
      <w:r>
        <w:t xml:space="preserve">Obwohl die Redispergierbarkeit der Formulierungen </w:t>
      </w:r>
      <w:r w:rsidR="00384431">
        <w:t>4 und 6 hervorragend war, konnten</w:t>
      </w:r>
      <w:r>
        <w:t xml:space="preserve"> sie noch nicht als optimiert angesehen werden. I</w:t>
      </w:r>
      <w:r w:rsidR="00384431">
        <w:t>hre starke Hygroskopizität würde</w:t>
      </w:r>
      <w:r>
        <w:t xml:space="preserve"> eine weitere Handhabung</w:t>
      </w:r>
      <w:r w:rsidR="007D332C">
        <w:t xml:space="preserve"> der Pulver</w:t>
      </w:r>
      <w:r>
        <w:t xml:space="preserve"> extrem schwierig</w:t>
      </w:r>
      <w:r w:rsidR="00384431">
        <w:t xml:space="preserve"> machen</w:t>
      </w:r>
      <w:r>
        <w:t>. Da Sorbitol</w:t>
      </w:r>
      <w:r w:rsidR="003E4485">
        <w:t xml:space="preserve"> zwar hygroskopisch ist, aber</w:t>
      </w:r>
      <w:r>
        <w:t xml:space="preserve"> sehr gute</w:t>
      </w:r>
      <w:r w:rsidR="00EC7681">
        <w:t xml:space="preserve"> Stabilisierungseigenschaften zeigte, wurde versucht die Hygroskopizität zu reduziere</w:t>
      </w:r>
      <w:r>
        <w:t>n, ohne</w:t>
      </w:r>
      <w:r w:rsidR="00762C5B">
        <w:t xml:space="preserve"> jedoch</w:t>
      </w:r>
      <w:r>
        <w:t xml:space="preserve"> ganz auf diesen Hilfsstoff</w:t>
      </w:r>
      <w:r w:rsidR="00EC7681">
        <w:t xml:space="preserve"> verzichten zu müssen. </w:t>
      </w:r>
      <w:r>
        <w:t xml:space="preserve">Eine Reduzierung des </w:t>
      </w:r>
      <w:r w:rsidR="003E4485">
        <w:t>Sorbitola</w:t>
      </w:r>
      <w:r>
        <w:t>nteils auf 2% bei Formulierun</w:t>
      </w:r>
      <w:r w:rsidR="00874A8A">
        <w:t>g 6 war nicht erfolgreich. Also</w:t>
      </w:r>
      <w:r w:rsidR="003E4485">
        <w:t xml:space="preserve"> wurde er</w:t>
      </w:r>
      <w:r>
        <w:t xml:space="preserve"> weiter reduziert und</w:t>
      </w:r>
      <w:r w:rsidR="003E4485">
        <w:t xml:space="preserve"> stattdessen zusätzlich Mannitol zugegeben</w:t>
      </w:r>
      <w:r w:rsidR="00762C5B">
        <w:t>, da dieses in Formulierung 3 ein Kollabieren verhinderte</w:t>
      </w:r>
      <w:r w:rsidR="00B9520D">
        <w:t xml:space="preserve"> und nicht</w:t>
      </w:r>
      <w:r w:rsidR="003E4485">
        <w:t xml:space="preserve"> hygroskopisch war</w:t>
      </w:r>
      <w:r w:rsidR="00225184">
        <w:t>.</w:t>
      </w:r>
      <w:r w:rsidR="003E4485">
        <w:t xml:space="preserve"> </w:t>
      </w:r>
      <w:r w:rsidR="00337AB2">
        <w:t>Nachdem zunächst unterschiedliche Mischungsverhältnisse von Sorbitol und Mannitol getestet wurden, erwies sich ein</w:t>
      </w:r>
      <w:r w:rsidR="003E4485">
        <w:t xml:space="preserve"> 3:2-</w:t>
      </w:r>
      <w:r w:rsidR="00762C5B">
        <w:t>Verhältnis</w:t>
      </w:r>
      <w:r w:rsidR="00337AB2">
        <w:t xml:space="preserve"> in Formulierung 7</w:t>
      </w:r>
      <w:r w:rsidR="007A41A3">
        <w:t xml:space="preserve"> </w:t>
      </w:r>
      <w:r w:rsidR="00337AB2">
        <w:t xml:space="preserve">schließlich </w:t>
      </w:r>
      <w:r w:rsidR="007A41A3">
        <w:t>als optimal in Bezug auf alle</w:t>
      </w:r>
      <w:r w:rsidR="007D332C">
        <w:t xml:space="preserve"> geprüften Faktoren.</w:t>
      </w:r>
    </w:p>
    <w:p w14:paraId="4D8DD0D0" w14:textId="77777777" w:rsidR="001F05E1" w:rsidRDefault="001F05E1" w:rsidP="006B7785"/>
    <w:p w14:paraId="5490A104" w14:textId="77777777" w:rsidR="007F5324" w:rsidRDefault="001F05E1" w:rsidP="006B7785">
      <w:pPr>
        <w:rPr>
          <w:noProof/>
          <w:lang w:eastAsia="de-DE"/>
        </w:rPr>
      </w:pPr>
      <w:r>
        <w:t xml:space="preserve">Unabhängig von der Optimierung der Redispergierbarkeit wurden REM Aufnahmen von gefriergetrockneten Partikeln angefertigt. Anhand dieser Aufnahmen wurden die Partikel morphologisch charakterisiert. </w:t>
      </w:r>
      <w:r w:rsidR="00934FCA">
        <w:t>Es konnten</w:t>
      </w:r>
      <w:r w:rsidR="00167651">
        <w:t xml:space="preserve"> nur dann aussagekräftige Aufnahmen generiert werden</w:t>
      </w:r>
      <w:r w:rsidR="007A41A3">
        <w:t>, wenn die Suspension vor der Trocknung aufgereinigt</w:t>
      </w:r>
      <w:r w:rsidR="00AB50D3">
        <w:t xml:space="preserve"> wurde</w:t>
      </w:r>
      <w:r w:rsidR="00F62053">
        <w:t xml:space="preserve"> und</w:t>
      </w:r>
      <w:r w:rsidR="00B9520D">
        <w:t xml:space="preserve"> die </w:t>
      </w:r>
      <w:r w:rsidR="007A41A3">
        <w:t xml:space="preserve">Gefriertrocknung </w:t>
      </w:r>
      <w:r w:rsidR="00B9520D">
        <w:t xml:space="preserve">ohne jeglichen Zusatz von Hilfsstoffen erfolgte. In </w:t>
      </w:r>
      <w:r w:rsidR="00D16240">
        <w:fldChar w:fldCharType="begin"/>
      </w:r>
      <w:r w:rsidR="00B9520D">
        <w:instrText xml:space="preserve"> REF _Ref273140252 \h </w:instrText>
      </w:r>
      <w:r w:rsidR="00D16240">
        <w:fldChar w:fldCharType="separate"/>
      </w:r>
      <w:r w:rsidR="00711AB8" w:rsidRPr="00AB50D3">
        <w:rPr>
          <w:color w:val="000000" w:themeColor="text1"/>
        </w:rPr>
        <w:t xml:space="preserve">Abbildung </w:t>
      </w:r>
      <w:r w:rsidR="00711AB8">
        <w:rPr>
          <w:noProof/>
          <w:color w:val="000000" w:themeColor="text1"/>
        </w:rPr>
        <w:t>16</w:t>
      </w:r>
      <w:r w:rsidR="00D16240">
        <w:fldChar w:fldCharType="end"/>
      </w:r>
      <w:r w:rsidR="007A41A3">
        <w:t xml:space="preserve"> werden Aufnahmen der gefriergetrockneten Formulierung 1 </w:t>
      </w:r>
      <w:r w:rsidR="008F5FC4">
        <w:t xml:space="preserve">aus </w:t>
      </w:r>
      <w:r w:rsidR="00D16240">
        <w:fldChar w:fldCharType="begin"/>
      </w:r>
      <w:r w:rsidR="008F5FC4">
        <w:instrText xml:space="preserve"> REF _Ref273132343 \h </w:instrText>
      </w:r>
      <w:r w:rsidR="00D16240">
        <w:fldChar w:fldCharType="separate"/>
      </w:r>
      <w:r w:rsidR="00711AB8" w:rsidRPr="00C439E1">
        <w:rPr>
          <w:color w:val="000000" w:themeColor="text1"/>
        </w:rPr>
        <w:t xml:space="preserve">Tabelle </w:t>
      </w:r>
      <w:r w:rsidR="00711AB8">
        <w:rPr>
          <w:noProof/>
          <w:color w:val="000000" w:themeColor="text1"/>
        </w:rPr>
        <w:t>12</w:t>
      </w:r>
      <w:r w:rsidR="00D16240">
        <w:fldChar w:fldCharType="end"/>
      </w:r>
      <w:r w:rsidR="008F5FC4">
        <w:t xml:space="preserve"> </w:t>
      </w:r>
      <w:r w:rsidR="007A41A3">
        <w:t>gezeigt.</w:t>
      </w:r>
    </w:p>
    <w:p w14:paraId="4B7DEE0B" w14:textId="77777777" w:rsidR="004033DC" w:rsidRDefault="004033DC" w:rsidP="004033DC">
      <w:pPr>
        <w:spacing w:after="0"/>
      </w:pPr>
    </w:p>
    <w:p w14:paraId="392202CC" w14:textId="77777777" w:rsidR="007A41A3" w:rsidRDefault="006A01AB" w:rsidP="006A01AB">
      <w:pPr>
        <w:spacing w:after="120"/>
        <w:jc w:val="center"/>
      </w:pPr>
      <w:r>
        <w:rPr>
          <w:noProof/>
          <w:lang w:eastAsia="de-DE"/>
        </w:rPr>
        <w:lastRenderedPageBreak/>
        <w:drawing>
          <wp:inline distT="0" distB="0" distL="0" distR="0" wp14:anchorId="06586591" wp14:editId="083D241A">
            <wp:extent cx="2793658" cy="1953380"/>
            <wp:effectExtent l="25400" t="25400" r="26035" b="27940"/>
            <wp:docPr id="17507" name="Grafik 17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9681_final.tif"/>
                    <pic:cNvPicPr/>
                  </pic:nvPicPr>
                  <pic:blipFill>
                    <a:blip r:embed="rId33">
                      <a:extLst>
                        <a:ext uri="{BEBA8EAE-BF5A-486C-A8C5-ECC9F3942E4B}">
                          <a14:imgProps xmlns:a14="http://schemas.microsoft.com/office/drawing/2010/main">
                            <a14:imgLayer r:embed="rId34">
                              <a14:imgEffect>
                                <a14:brightnessContrast bright="26000" contrast="9000"/>
                              </a14:imgEffect>
                            </a14:imgLayer>
                          </a14:imgProps>
                        </a:ext>
                        <a:ext uri="{28A0092B-C50C-407E-A947-70E740481C1C}">
                          <a14:useLocalDpi xmlns:a14="http://schemas.microsoft.com/office/drawing/2010/main" val="0"/>
                        </a:ext>
                      </a:extLst>
                    </a:blip>
                    <a:stretch>
                      <a:fillRect/>
                    </a:stretch>
                  </pic:blipFill>
                  <pic:spPr>
                    <a:xfrm>
                      <a:off x="0" y="0"/>
                      <a:ext cx="2811487" cy="1965846"/>
                    </a:xfrm>
                    <a:prstGeom prst="rect">
                      <a:avLst/>
                    </a:prstGeom>
                    <a:ln w="6350">
                      <a:solidFill>
                        <a:schemeClr val="tx1"/>
                      </a:solidFill>
                    </a:ln>
                  </pic:spPr>
                </pic:pic>
              </a:graphicData>
            </a:graphic>
          </wp:inline>
        </w:drawing>
      </w:r>
      <w:r>
        <w:rPr>
          <w:noProof/>
          <w:lang w:eastAsia="de-DE"/>
        </w:rPr>
        <w:drawing>
          <wp:inline distT="0" distB="0" distL="0" distR="0" wp14:anchorId="2C9EA44E" wp14:editId="5D121A47">
            <wp:extent cx="2802450" cy="1961711"/>
            <wp:effectExtent l="25400" t="25400" r="17145" b="19685"/>
            <wp:docPr id="1750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9691.jpg"/>
                    <pic:cNvPicPr/>
                  </pic:nvPicPr>
                  <pic:blipFill>
                    <a:blip r:embed="rId35" cstate="print">
                      <a:extLst>
                        <a:ext uri="{BEBA8EAE-BF5A-486C-A8C5-ECC9F3942E4B}">
                          <a14:imgProps xmlns:a14="http://schemas.microsoft.com/office/drawing/2010/main">
                            <a14:imgLayer r:embed="rId36">
                              <a14:imgEffect>
                                <a14:brightnessContrast bright="26000" contrast="6000"/>
                              </a14:imgEffect>
                            </a14:imgLayer>
                          </a14:imgProps>
                        </a:ext>
                        <a:ext uri="{28A0092B-C50C-407E-A947-70E740481C1C}">
                          <a14:useLocalDpi xmlns:a14="http://schemas.microsoft.com/office/drawing/2010/main" val="0"/>
                        </a:ext>
                      </a:extLst>
                    </a:blip>
                    <a:stretch>
                      <a:fillRect/>
                    </a:stretch>
                  </pic:blipFill>
                  <pic:spPr>
                    <a:xfrm>
                      <a:off x="0" y="0"/>
                      <a:ext cx="2803163" cy="1962210"/>
                    </a:xfrm>
                    <a:prstGeom prst="rect">
                      <a:avLst/>
                    </a:prstGeom>
                    <a:ln w="6350">
                      <a:solidFill>
                        <a:schemeClr val="tx1"/>
                      </a:solidFill>
                    </a:ln>
                  </pic:spPr>
                </pic:pic>
              </a:graphicData>
            </a:graphic>
          </wp:inline>
        </w:drawing>
      </w:r>
    </w:p>
    <w:p w14:paraId="68D22E0A" w14:textId="77777777" w:rsidR="00AB50D3" w:rsidRDefault="00AB50D3" w:rsidP="00934FCA">
      <w:pPr>
        <w:pStyle w:val="Beschriftung"/>
        <w:spacing w:after="120"/>
        <w:ind w:firstLine="0"/>
        <w:rPr>
          <w:b w:val="0"/>
          <w:color w:val="000000" w:themeColor="text1"/>
        </w:rPr>
      </w:pPr>
      <w:bookmarkStart w:id="179" w:name="_Ref273140252"/>
      <w:r w:rsidRPr="00AB50D3">
        <w:rPr>
          <w:color w:val="000000" w:themeColor="text1"/>
        </w:rPr>
        <w:t xml:space="preserve">Abbildung </w:t>
      </w:r>
      <w:r w:rsidR="00D16240" w:rsidRPr="00AB50D3">
        <w:rPr>
          <w:color w:val="000000" w:themeColor="text1"/>
        </w:rPr>
        <w:fldChar w:fldCharType="begin"/>
      </w:r>
      <w:r w:rsidRPr="00AB50D3">
        <w:rPr>
          <w:color w:val="000000" w:themeColor="text1"/>
        </w:rPr>
        <w:instrText xml:space="preserve"> SEQ Abbildung \* ARABIC </w:instrText>
      </w:r>
      <w:r w:rsidR="00D16240" w:rsidRPr="00AB50D3">
        <w:rPr>
          <w:color w:val="000000" w:themeColor="text1"/>
        </w:rPr>
        <w:fldChar w:fldCharType="separate"/>
      </w:r>
      <w:r w:rsidR="00711AB8">
        <w:rPr>
          <w:noProof/>
          <w:color w:val="000000" w:themeColor="text1"/>
        </w:rPr>
        <w:t>16</w:t>
      </w:r>
      <w:r w:rsidR="00D16240" w:rsidRPr="00AB50D3">
        <w:rPr>
          <w:color w:val="000000" w:themeColor="text1"/>
        </w:rPr>
        <w:fldChar w:fldCharType="end"/>
      </w:r>
      <w:bookmarkEnd w:id="179"/>
      <w:r>
        <w:rPr>
          <w:color w:val="000000" w:themeColor="text1"/>
        </w:rPr>
        <w:t xml:space="preserve"> </w:t>
      </w:r>
      <w:r w:rsidRPr="00AB50D3">
        <w:rPr>
          <w:b w:val="0"/>
          <w:color w:val="000000" w:themeColor="text1"/>
        </w:rPr>
        <w:t xml:space="preserve">REM Aufnahmen </w:t>
      </w:r>
      <w:r>
        <w:rPr>
          <w:b w:val="0"/>
          <w:color w:val="000000" w:themeColor="text1"/>
        </w:rPr>
        <w:t>gefriergetrockneter Resomer</w:t>
      </w:r>
      <w:r w:rsidR="001856C4" w:rsidRPr="00902C2E">
        <w:rPr>
          <w:vertAlign w:val="superscript"/>
        </w:rPr>
        <w:t>®</w:t>
      </w:r>
      <w:r>
        <w:rPr>
          <w:b w:val="0"/>
          <w:color w:val="000000" w:themeColor="text1"/>
        </w:rPr>
        <w:t xml:space="preserve"> RG 503 H Partikel, Formulierung 1 </w:t>
      </w:r>
      <w:r w:rsidRPr="00762898">
        <w:rPr>
          <w:b w:val="0"/>
          <w:color w:val="000000" w:themeColor="text1"/>
        </w:rPr>
        <w:t xml:space="preserve">aus </w:t>
      </w:r>
      <w:r w:rsidR="00057BAF">
        <w:fldChar w:fldCharType="begin"/>
      </w:r>
      <w:r w:rsidR="00057BAF">
        <w:instrText xml:space="preserve"> REF _Ref273132343 \h  \* MERGEFORMAT </w:instrText>
      </w:r>
      <w:r w:rsidR="00057BAF">
        <w:fldChar w:fldCharType="separate"/>
      </w:r>
      <w:r w:rsidR="00711AB8" w:rsidRPr="00711AB8">
        <w:rPr>
          <w:b w:val="0"/>
          <w:color w:val="000000" w:themeColor="text1"/>
        </w:rPr>
        <w:t xml:space="preserve">Tabelle </w:t>
      </w:r>
      <w:r w:rsidR="00711AB8" w:rsidRPr="00711AB8">
        <w:rPr>
          <w:b w:val="0"/>
          <w:noProof/>
          <w:color w:val="000000" w:themeColor="text1"/>
        </w:rPr>
        <w:t>12</w:t>
      </w:r>
      <w:r w:rsidR="00057BAF">
        <w:fldChar w:fldCharType="end"/>
      </w:r>
      <w:r w:rsidR="00B9520D" w:rsidRPr="00762898">
        <w:rPr>
          <w:b w:val="0"/>
          <w:color w:val="000000" w:themeColor="text1"/>
        </w:rPr>
        <w:t>,</w:t>
      </w:r>
      <w:r w:rsidR="00B9520D">
        <w:rPr>
          <w:b w:val="0"/>
          <w:color w:val="000000" w:themeColor="text1"/>
        </w:rPr>
        <w:t xml:space="preserve"> hergestellt mittels</w:t>
      </w:r>
      <w:r>
        <w:rPr>
          <w:b w:val="0"/>
          <w:color w:val="000000" w:themeColor="text1"/>
        </w:rPr>
        <w:t xml:space="preserve"> Doppelemulsionsmethode unter Verwendung des Microfluidizers</w:t>
      </w:r>
      <w:r w:rsidR="00906DB9">
        <w:rPr>
          <w:b w:val="0"/>
          <w:color w:val="000000" w:themeColor="text1"/>
        </w:rPr>
        <w:t>.</w:t>
      </w:r>
    </w:p>
    <w:p w14:paraId="623D1EFB" w14:textId="77777777" w:rsidR="007F5324" w:rsidRDefault="007F5324" w:rsidP="004033DC">
      <w:pPr>
        <w:spacing w:after="120"/>
      </w:pPr>
    </w:p>
    <w:p w14:paraId="5DDA6BDB" w14:textId="77777777" w:rsidR="008F5FC4" w:rsidRDefault="008F5FC4" w:rsidP="008F5FC4">
      <w:r w:rsidRPr="008F5FC4">
        <w:t>Der mittlere Partikeldurchmesser der abgebildeten Partikel</w:t>
      </w:r>
      <w:r w:rsidR="00A02B33">
        <w:t xml:space="preserve"> lag</w:t>
      </w:r>
      <w:r>
        <w:t xml:space="preserve"> laut DLS-Messung </w:t>
      </w:r>
      <w:r w:rsidR="00DD28BB">
        <w:t xml:space="preserve">vor der Trocknung </w:t>
      </w:r>
      <w:r>
        <w:t>bei 352 </w:t>
      </w:r>
      <w:r w:rsidRPr="008F5FC4">
        <w:t>nm mit einem PDI</w:t>
      </w:r>
      <w:r w:rsidR="007F5324">
        <w:t xml:space="preserve"> von 0,084. Dieses Ergebnis kann mit den</w:t>
      </w:r>
      <w:r w:rsidRPr="008F5FC4">
        <w:t xml:space="preserve"> R</w:t>
      </w:r>
      <w:r>
        <w:t xml:space="preserve">EM Aufnahmen </w:t>
      </w:r>
      <w:r w:rsidR="007F5324">
        <w:t xml:space="preserve">sehr gut </w:t>
      </w:r>
      <w:r>
        <w:t>untermauert</w:t>
      </w:r>
      <w:r w:rsidR="007F5324">
        <w:t xml:space="preserve"> werden</w:t>
      </w:r>
      <w:r w:rsidR="00DD28BB">
        <w:t>: Es sind einzelne sphärische</w:t>
      </w:r>
      <w:r w:rsidR="007F5324">
        <w:t xml:space="preserve"> Partikel mit einem Durchmesser zwischen 200 nm und 500 nm zu erkennen. Neben einigen wenigen deutlich größeren Partikeln erscheint die Probe in der Gesamtansicht bezüglich der Partikelgröße</w:t>
      </w:r>
      <w:r w:rsidR="001F05E1">
        <w:t>nverteilung</w:t>
      </w:r>
      <w:r w:rsidR="007F5324">
        <w:t xml:space="preserve"> weitgehend homogen.</w:t>
      </w:r>
    </w:p>
    <w:p w14:paraId="1F68A73F" w14:textId="77777777" w:rsidR="008F5FC4" w:rsidRPr="008F5FC4" w:rsidRDefault="008F5FC4" w:rsidP="008F5FC4">
      <w:r w:rsidRPr="008F5FC4">
        <w:t xml:space="preserve">Makroskopisch ordnen sich die Partikel als Plättchen und Nadeln an. </w:t>
      </w:r>
      <w:r>
        <w:t xml:space="preserve">Die linke Aufnahme in </w:t>
      </w:r>
      <w:r w:rsidR="00D16240">
        <w:fldChar w:fldCharType="begin"/>
      </w:r>
      <w:r>
        <w:instrText xml:space="preserve"> REF _Ref273140252 \h </w:instrText>
      </w:r>
      <w:r w:rsidR="00D16240">
        <w:fldChar w:fldCharType="separate"/>
      </w:r>
      <w:r w:rsidR="00711AB8" w:rsidRPr="00AB50D3">
        <w:rPr>
          <w:color w:val="000000" w:themeColor="text1"/>
        </w:rPr>
        <w:t xml:space="preserve">Abbildung </w:t>
      </w:r>
      <w:r w:rsidR="00711AB8">
        <w:rPr>
          <w:noProof/>
          <w:color w:val="000000" w:themeColor="text1"/>
        </w:rPr>
        <w:t>16</w:t>
      </w:r>
      <w:r w:rsidR="00D16240">
        <w:fldChar w:fldCharType="end"/>
      </w:r>
      <w:r>
        <w:t xml:space="preserve"> zeigt die Aufsicht au</w:t>
      </w:r>
      <w:r w:rsidR="00DD28BB">
        <w:t>f die</w:t>
      </w:r>
      <w:r>
        <w:t xml:space="preserve"> Bruchstelle</w:t>
      </w:r>
      <w:r w:rsidR="00DD28BB">
        <w:t xml:space="preserve"> eines </w:t>
      </w:r>
      <w:r w:rsidR="00E84CF2">
        <w:t>p</w:t>
      </w:r>
      <w:r w:rsidR="00DD28BB">
        <w:t>lättchenförmigen Aggregates</w:t>
      </w:r>
      <w:r w:rsidR="007F5324">
        <w:t>.</w:t>
      </w:r>
      <w:r>
        <w:t xml:space="preserve"> </w:t>
      </w:r>
      <w:r w:rsidR="00906DB9">
        <w:t>Da kein Matrix-</w:t>
      </w:r>
      <w:r w:rsidRPr="008F5FC4">
        <w:t xml:space="preserve">bildender Hilfsstoff </w:t>
      </w:r>
      <w:r>
        <w:t>bei der</w:t>
      </w:r>
      <w:r w:rsidRPr="008F5FC4">
        <w:t xml:space="preserve"> Trocknung zuges</w:t>
      </w:r>
      <w:r>
        <w:t xml:space="preserve">etzt wurde, besteht </w:t>
      </w:r>
      <w:r w:rsidR="00B51A6E">
        <w:t>ein</w:t>
      </w:r>
      <w:r w:rsidR="00342F75">
        <w:t xml:space="preserve"> relativ</w:t>
      </w:r>
      <w:r w:rsidR="00B51A6E">
        <w:t xml:space="preserve"> </w:t>
      </w:r>
      <w:r>
        <w:t>dichter Kon</w:t>
      </w:r>
      <w:r w:rsidRPr="008F5FC4">
        <w:t xml:space="preserve">takt zwischen den Partikeln. Die Redispergierung </w:t>
      </w:r>
      <w:r w:rsidR="00742DBA">
        <w:t xml:space="preserve">der Partikel </w:t>
      </w:r>
      <w:r w:rsidRPr="008F5FC4">
        <w:t>ist denno</w:t>
      </w:r>
      <w:r>
        <w:t>ch weitgehend möglich</w:t>
      </w:r>
      <w:r w:rsidR="002938EE">
        <w:t>. Nach Red</w:t>
      </w:r>
      <w:r w:rsidR="00742DBA">
        <w:t xml:space="preserve">ispergierung </w:t>
      </w:r>
      <w:r w:rsidR="007F5324" w:rsidRPr="008F5FC4">
        <w:t xml:space="preserve">der Probe in destilliertem Wasser wurde ein </w:t>
      </w:r>
      <w:r w:rsidR="00742DBA">
        <w:t xml:space="preserve">mittlerer </w:t>
      </w:r>
      <w:r w:rsidR="007F5324" w:rsidRPr="008F5FC4">
        <w:t>Partikeldurch</w:t>
      </w:r>
      <w:r w:rsidR="007F5324">
        <w:t>messer von 403 nm gemessen (PDI </w:t>
      </w:r>
      <w:r w:rsidR="007F5324" w:rsidRPr="008F5FC4">
        <w:t>0,100)</w:t>
      </w:r>
      <w:r w:rsidR="007F5324">
        <w:t>. Dies bestätigt die Beobachtung,</w:t>
      </w:r>
      <w:r w:rsidR="00742DBA">
        <w:t xml:space="preserve"> dass die gefriergetrockneten Partikel </w:t>
      </w:r>
      <w:r w:rsidR="00DD28BB">
        <w:t>nur reversibel agglomeriert und nicht aggregiert sind.</w:t>
      </w:r>
    </w:p>
    <w:p w14:paraId="0CE4EAF1" w14:textId="77777777" w:rsidR="001143EB" w:rsidRDefault="001143EB" w:rsidP="001143EB">
      <w:pPr>
        <w:pStyle w:val="berschrift4"/>
      </w:pPr>
      <w:bookmarkStart w:id="180" w:name="_Toc294380228"/>
      <w:r>
        <w:t>Sprühtrocknung</w:t>
      </w:r>
      <w:bookmarkEnd w:id="180"/>
    </w:p>
    <w:p w14:paraId="4515C4DD" w14:textId="77777777" w:rsidR="003E04DF" w:rsidRDefault="00366DD2" w:rsidP="003E04DF">
      <w:r>
        <w:t>Zur U</w:t>
      </w:r>
      <w:r w:rsidR="00B75C49">
        <w:t xml:space="preserve">ntersuchung </w:t>
      </w:r>
      <w:r w:rsidR="009C67D4">
        <w:t xml:space="preserve">des Effektes unterschiedlicher Stabilisatorzusätze bei </w:t>
      </w:r>
      <w:r w:rsidR="00B75C49">
        <w:t>der Sprühtrocknung</w:t>
      </w:r>
      <w:r>
        <w:t xml:space="preserve"> </w:t>
      </w:r>
      <w:r w:rsidR="00B75C49">
        <w:t>wurde</w:t>
      </w:r>
      <w:r>
        <w:t xml:space="preserve"> </w:t>
      </w:r>
      <w:r w:rsidR="00B75C49">
        <w:t>eine S</w:t>
      </w:r>
      <w:r w:rsidR="008A4FDC">
        <w:t>uspens</w:t>
      </w:r>
      <w:r w:rsidR="00B75C49">
        <w:t>ion mit</w:t>
      </w:r>
      <w:r w:rsidR="009C67D4">
        <w:t xml:space="preserve"> Partikeln aus</w:t>
      </w:r>
      <w:r w:rsidR="00B75C49">
        <w:t xml:space="preserve"> Resomer</w:t>
      </w:r>
      <w:r w:rsidR="00A02B33" w:rsidRPr="00902C2E">
        <w:rPr>
          <w:vertAlign w:val="superscript"/>
        </w:rPr>
        <w:t>®</w:t>
      </w:r>
      <w:r w:rsidR="00B75C49">
        <w:t> RG 503 H verwendet</w:t>
      </w:r>
      <w:r w:rsidR="009C67D4">
        <w:t>, die mittels Doppelemulsionsmethode hergestellt wurde</w:t>
      </w:r>
      <w:r w:rsidR="00B75C49">
        <w:t>.</w:t>
      </w:r>
      <w:r w:rsidR="008A4FDC">
        <w:t xml:space="preserve"> </w:t>
      </w:r>
      <w:r w:rsidR="009C67D4">
        <w:t>Der mittlere Durchmesser der Partikel in dieser Suspension</w:t>
      </w:r>
      <w:r w:rsidR="008A4FDC">
        <w:t xml:space="preserve"> betrug vor der Trocknung 128 nm und der PDI 0,014.</w:t>
      </w:r>
    </w:p>
    <w:p w14:paraId="6F2E3DA8" w14:textId="77777777" w:rsidR="008A4FDC" w:rsidRDefault="008A4FDC" w:rsidP="003E04DF">
      <w:r>
        <w:t xml:space="preserve">Die Ergebnisse der Optimierung des Sprühtrocknungsprozesses sind in </w:t>
      </w:r>
      <w:r w:rsidR="00D16240">
        <w:fldChar w:fldCharType="begin"/>
      </w:r>
      <w:r w:rsidR="00A03A65">
        <w:instrText xml:space="preserve"> REF _Ref275451935 \h </w:instrText>
      </w:r>
      <w:r w:rsidR="00D16240">
        <w:fldChar w:fldCharType="separate"/>
      </w:r>
      <w:r w:rsidR="00711AB8" w:rsidRPr="00A03A65">
        <w:t xml:space="preserve">Tabelle </w:t>
      </w:r>
      <w:r w:rsidR="00711AB8">
        <w:rPr>
          <w:noProof/>
        </w:rPr>
        <w:t>13</w:t>
      </w:r>
      <w:r w:rsidR="00D16240">
        <w:fldChar w:fldCharType="end"/>
      </w:r>
      <w:r w:rsidR="00A03A65">
        <w:t xml:space="preserve"> zusammengefasst.</w:t>
      </w:r>
      <w:r w:rsidR="002958AE">
        <w:t xml:space="preserve"> Der Erfolg der Sprühtrocknung wurde am PDI der Partikelsuspension nach der Trocknung und Redispergierung in Wasser gemessen. Bei der Optimierung wu</w:t>
      </w:r>
      <w:r w:rsidR="00015466">
        <w:t>rde ein möglichst niedriger PDI unter 0,1</w:t>
      </w:r>
      <w:r w:rsidR="002958AE">
        <w:t xml:space="preserve"> angestrebt.</w:t>
      </w:r>
    </w:p>
    <w:p w14:paraId="5C003B08" w14:textId="77777777" w:rsidR="00A03A65" w:rsidRDefault="00A03A65" w:rsidP="00A03A65">
      <w:pPr>
        <w:spacing w:after="0"/>
      </w:pPr>
    </w:p>
    <w:p w14:paraId="0FE59C6B" w14:textId="77777777" w:rsidR="00A03A65" w:rsidRPr="00A03A65" w:rsidRDefault="00A03A65" w:rsidP="00B73A79">
      <w:pPr>
        <w:pStyle w:val="Beschriftung"/>
        <w:ind w:firstLine="0"/>
        <w:rPr>
          <w:b w:val="0"/>
        </w:rPr>
      </w:pPr>
      <w:bookmarkStart w:id="181" w:name="_Ref275451935"/>
      <w:r w:rsidRPr="00A03A65">
        <w:t xml:space="preserve">Tabelle </w:t>
      </w:r>
      <w:fldSimple w:instr=" SEQ Tabelle \* ARABIC ">
        <w:r w:rsidR="00711AB8">
          <w:rPr>
            <w:noProof/>
          </w:rPr>
          <w:t>13</w:t>
        </w:r>
      </w:fldSimple>
      <w:bookmarkEnd w:id="181"/>
      <w:r>
        <w:t xml:space="preserve"> </w:t>
      </w:r>
      <w:r w:rsidRPr="00A03A65">
        <w:rPr>
          <w:b w:val="0"/>
        </w:rPr>
        <w:t xml:space="preserve">Einfluss </w:t>
      </w:r>
      <w:r>
        <w:rPr>
          <w:b w:val="0"/>
        </w:rPr>
        <w:t>unterschiedlicher Zusammensetzungen der Sprühlösung auf den PDI der Partikelgrößenverteilung nach Sprühtrocknung und Redispergierung in Wasser</w:t>
      </w:r>
      <w:r w:rsidR="00906DB9">
        <w:rPr>
          <w:b w:val="0"/>
        </w:rPr>
        <w:t>.</w:t>
      </w:r>
    </w:p>
    <w:tbl>
      <w:tblPr>
        <w:tblW w:w="8505"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1418"/>
        <w:gridCol w:w="2145"/>
        <w:gridCol w:w="1824"/>
        <w:gridCol w:w="1984"/>
      </w:tblGrid>
      <w:tr w:rsidR="008A4FDC" w:rsidRPr="008A4FDC" w14:paraId="4EA5E185" w14:textId="77777777" w:rsidTr="00412D85">
        <w:trPr>
          <w:trHeight w:val="525"/>
          <w:jc w:val="center"/>
        </w:trPr>
        <w:tc>
          <w:tcPr>
            <w:tcW w:w="1134" w:type="dxa"/>
            <w:tcBorders>
              <w:top w:val="single" w:sz="8" w:space="0" w:color="auto"/>
              <w:left w:val="single" w:sz="8" w:space="0" w:color="auto"/>
              <w:bottom w:val="single" w:sz="8" w:space="0" w:color="auto"/>
              <w:right w:val="single" w:sz="8" w:space="0" w:color="auto"/>
            </w:tcBorders>
            <w:shd w:val="clear" w:color="auto" w:fill="E6E6E6"/>
            <w:vAlign w:val="center"/>
          </w:tcPr>
          <w:p w14:paraId="76AE67AB" w14:textId="77777777" w:rsidR="008A4FDC" w:rsidRPr="00A03A65" w:rsidRDefault="00DF4DC6" w:rsidP="008A4FDC">
            <w:pPr>
              <w:spacing w:after="0" w:line="240" w:lineRule="auto"/>
              <w:jc w:val="center"/>
              <w:rPr>
                <w:rFonts w:eastAsia="SimSun" w:cs="Times New Roman"/>
                <w:b/>
                <w:bCs/>
                <w:sz w:val="18"/>
                <w:szCs w:val="18"/>
                <w:lang w:eastAsia="de-DE"/>
              </w:rPr>
            </w:pPr>
            <w:r>
              <w:rPr>
                <w:rFonts w:eastAsia="SimSun" w:cs="Times New Roman"/>
                <w:b/>
                <w:bCs/>
                <w:sz w:val="18"/>
                <w:szCs w:val="18"/>
                <w:lang w:eastAsia="de-DE"/>
              </w:rPr>
              <w:t>Versuch</w:t>
            </w:r>
            <w:r w:rsidR="008A4FDC" w:rsidRPr="00A03A65">
              <w:rPr>
                <w:rFonts w:eastAsia="SimSun" w:cs="Times New Roman"/>
                <w:b/>
                <w:bCs/>
                <w:sz w:val="18"/>
                <w:szCs w:val="18"/>
                <w:lang w:eastAsia="de-DE"/>
              </w:rPr>
              <w:t xml:space="preserve"> Nr.</w:t>
            </w:r>
          </w:p>
        </w:tc>
        <w:tc>
          <w:tcPr>
            <w:tcW w:w="1418" w:type="dxa"/>
            <w:tcBorders>
              <w:top w:val="single" w:sz="8" w:space="0" w:color="auto"/>
              <w:left w:val="single" w:sz="8" w:space="0" w:color="auto"/>
              <w:bottom w:val="single" w:sz="8" w:space="0" w:color="auto"/>
              <w:right w:val="single" w:sz="8" w:space="0" w:color="auto"/>
            </w:tcBorders>
            <w:shd w:val="clear" w:color="auto" w:fill="E6E6E6"/>
            <w:vAlign w:val="center"/>
          </w:tcPr>
          <w:p w14:paraId="1BCC112C" w14:textId="77777777" w:rsidR="008A4FDC" w:rsidRPr="00A03A65" w:rsidRDefault="008A4FDC" w:rsidP="008A4FDC">
            <w:pPr>
              <w:spacing w:after="0" w:line="240" w:lineRule="auto"/>
              <w:jc w:val="center"/>
              <w:rPr>
                <w:rFonts w:eastAsia="Times New Roman" w:cs="Times New Roman"/>
                <w:sz w:val="18"/>
                <w:szCs w:val="18"/>
                <w:lang w:eastAsia="de-DE"/>
              </w:rPr>
            </w:pPr>
            <w:r w:rsidRPr="00A03A65">
              <w:rPr>
                <w:rFonts w:eastAsia="SimSun" w:cs="Times New Roman"/>
                <w:b/>
                <w:bCs/>
                <w:sz w:val="18"/>
                <w:szCs w:val="18"/>
                <w:lang w:eastAsia="de-DE"/>
              </w:rPr>
              <w:t>PVA Konz.</w:t>
            </w:r>
          </w:p>
        </w:tc>
        <w:tc>
          <w:tcPr>
            <w:tcW w:w="2145" w:type="dxa"/>
            <w:tcBorders>
              <w:top w:val="single" w:sz="8" w:space="0" w:color="auto"/>
              <w:left w:val="single" w:sz="8" w:space="0" w:color="auto"/>
              <w:bottom w:val="single" w:sz="8" w:space="0" w:color="auto"/>
              <w:right w:val="single" w:sz="8" w:space="0" w:color="auto"/>
            </w:tcBorders>
            <w:shd w:val="clear" w:color="auto" w:fill="E6E6E6"/>
            <w:vAlign w:val="center"/>
          </w:tcPr>
          <w:p w14:paraId="7EBB76CF" w14:textId="77777777" w:rsidR="008A4FDC" w:rsidRPr="00A03A65" w:rsidRDefault="008A4FDC" w:rsidP="008A4FDC">
            <w:pPr>
              <w:spacing w:after="0" w:line="240" w:lineRule="auto"/>
              <w:jc w:val="center"/>
              <w:rPr>
                <w:rFonts w:eastAsia="Times New Roman" w:cs="Times New Roman"/>
                <w:sz w:val="18"/>
                <w:szCs w:val="18"/>
                <w:lang w:eastAsia="de-DE"/>
              </w:rPr>
            </w:pPr>
            <w:r w:rsidRPr="00A03A65">
              <w:rPr>
                <w:rFonts w:eastAsia="SimSun" w:cs="Times New Roman"/>
                <w:b/>
                <w:bCs/>
                <w:sz w:val="18"/>
                <w:szCs w:val="18"/>
                <w:lang w:eastAsia="de-DE"/>
              </w:rPr>
              <w:t>L-Isoleucin Konz.</w:t>
            </w:r>
          </w:p>
        </w:tc>
        <w:tc>
          <w:tcPr>
            <w:tcW w:w="1824" w:type="dxa"/>
            <w:tcBorders>
              <w:top w:val="single" w:sz="8" w:space="0" w:color="auto"/>
              <w:left w:val="single" w:sz="8" w:space="0" w:color="auto"/>
              <w:bottom w:val="single" w:sz="8" w:space="0" w:color="auto"/>
              <w:right w:val="single" w:sz="8" w:space="0" w:color="auto"/>
            </w:tcBorders>
            <w:shd w:val="clear" w:color="auto" w:fill="E6E6E6"/>
            <w:vAlign w:val="center"/>
          </w:tcPr>
          <w:p w14:paraId="78C9DB62" w14:textId="77777777" w:rsidR="008A4FDC" w:rsidRPr="00A03A65" w:rsidRDefault="008A4FDC" w:rsidP="008A4FDC">
            <w:pPr>
              <w:spacing w:after="0" w:line="240" w:lineRule="auto"/>
              <w:jc w:val="center"/>
              <w:rPr>
                <w:rFonts w:eastAsia="Times New Roman" w:cs="Times New Roman"/>
                <w:sz w:val="18"/>
                <w:szCs w:val="18"/>
                <w:lang w:eastAsia="de-DE"/>
              </w:rPr>
            </w:pPr>
            <w:r w:rsidRPr="00A03A65">
              <w:rPr>
                <w:rFonts w:eastAsia="SimSun" w:cs="Times New Roman"/>
                <w:b/>
                <w:bCs/>
                <w:sz w:val="18"/>
                <w:szCs w:val="18"/>
                <w:lang w:eastAsia="de-DE"/>
              </w:rPr>
              <w:t>Polymer Konz. (Partikel)</w:t>
            </w:r>
          </w:p>
        </w:tc>
        <w:tc>
          <w:tcPr>
            <w:tcW w:w="1984" w:type="dxa"/>
            <w:tcBorders>
              <w:top w:val="single" w:sz="8" w:space="0" w:color="auto"/>
              <w:left w:val="single" w:sz="8" w:space="0" w:color="auto"/>
              <w:bottom w:val="single" w:sz="8" w:space="0" w:color="auto"/>
              <w:right w:val="single" w:sz="8" w:space="0" w:color="auto"/>
            </w:tcBorders>
            <w:shd w:val="clear" w:color="auto" w:fill="E6E6E6"/>
            <w:vAlign w:val="center"/>
          </w:tcPr>
          <w:p w14:paraId="72F225ED" w14:textId="77777777" w:rsidR="008A4FDC" w:rsidRPr="00A03A65" w:rsidRDefault="008A4FDC" w:rsidP="008A4FDC">
            <w:pPr>
              <w:spacing w:after="0" w:line="240" w:lineRule="auto"/>
              <w:jc w:val="center"/>
              <w:rPr>
                <w:rFonts w:eastAsia="SimSun" w:cs="Times New Roman"/>
                <w:b/>
                <w:bCs/>
                <w:sz w:val="18"/>
                <w:szCs w:val="18"/>
                <w:lang w:val="en-US" w:eastAsia="de-DE"/>
              </w:rPr>
            </w:pPr>
            <w:r w:rsidRPr="00A03A65">
              <w:rPr>
                <w:rFonts w:eastAsia="SimSun" w:cs="Times New Roman"/>
                <w:b/>
                <w:bCs/>
                <w:sz w:val="18"/>
                <w:szCs w:val="18"/>
                <w:lang w:val="en-US" w:eastAsia="de-DE"/>
              </w:rPr>
              <w:t>PDI</w:t>
            </w:r>
          </w:p>
        </w:tc>
      </w:tr>
      <w:tr w:rsidR="008A4FDC" w:rsidRPr="008A4FDC" w14:paraId="5957A6E5" w14:textId="77777777" w:rsidTr="00412D85">
        <w:trPr>
          <w:trHeight w:val="397"/>
          <w:jc w:val="center"/>
        </w:trPr>
        <w:tc>
          <w:tcPr>
            <w:tcW w:w="1134" w:type="dxa"/>
            <w:tcBorders>
              <w:top w:val="single" w:sz="8" w:space="0" w:color="auto"/>
              <w:left w:val="single" w:sz="8" w:space="0" w:color="auto"/>
            </w:tcBorders>
            <w:shd w:val="clear" w:color="auto" w:fill="auto"/>
            <w:vAlign w:val="center"/>
          </w:tcPr>
          <w:p w14:paraId="4CC97EDC" w14:textId="77777777" w:rsidR="008A4FDC" w:rsidRPr="008A4FDC" w:rsidRDefault="008A4FDC" w:rsidP="008A4FDC">
            <w:pPr>
              <w:spacing w:after="0" w:line="240" w:lineRule="auto"/>
              <w:jc w:val="center"/>
              <w:rPr>
                <w:rFonts w:eastAsia="Times New Roman" w:cs="Times New Roman"/>
                <w:sz w:val="18"/>
                <w:szCs w:val="18"/>
                <w:lang w:eastAsia="de-DE"/>
              </w:rPr>
            </w:pPr>
            <w:r w:rsidRPr="008A4FDC">
              <w:rPr>
                <w:rFonts w:eastAsia="SimSun" w:cs="Times New Roman"/>
                <w:bCs/>
                <w:sz w:val="18"/>
                <w:szCs w:val="18"/>
                <w:lang w:eastAsia="de-DE"/>
              </w:rPr>
              <w:t>1</w:t>
            </w:r>
          </w:p>
        </w:tc>
        <w:tc>
          <w:tcPr>
            <w:tcW w:w="1418" w:type="dxa"/>
            <w:tcBorders>
              <w:top w:val="single" w:sz="8" w:space="0" w:color="auto"/>
            </w:tcBorders>
            <w:shd w:val="clear" w:color="auto" w:fill="auto"/>
            <w:vAlign w:val="center"/>
          </w:tcPr>
          <w:p w14:paraId="6914AC10"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bCs/>
                <w:sz w:val="18"/>
                <w:szCs w:val="18"/>
                <w:lang w:eastAsia="de-DE"/>
              </w:rPr>
              <w:t>0,</w:t>
            </w:r>
            <w:r w:rsidR="008A4FDC" w:rsidRPr="008A4FDC">
              <w:rPr>
                <w:rFonts w:eastAsia="SimSun" w:cs="Times New Roman"/>
                <w:bCs/>
                <w:sz w:val="18"/>
                <w:szCs w:val="18"/>
                <w:lang w:eastAsia="de-DE"/>
              </w:rPr>
              <w:t>8</w:t>
            </w:r>
            <w:r>
              <w:rPr>
                <w:rFonts w:eastAsia="SimSun" w:cs="Times New Roman"/>
                <w:bCs/>
                <w:sz w:val="18"/>
                <w:szCs w:val="18"/>
                <w:lang w:eastAsia="de-DE"/>
              </w:rPr>
              <w:t>0</w:t>
            </w:r>
            <w:r w:rsidR="008A4FDC" w:rsidRPr="008A4FDC">
              <w:rPr>
                <w:rFonts w:eastAsia="SimSun" w:cs="Times New Roman"/>
                <w:bCs/>
                <w:sz w:val="18"/>
                <w:szCs w:val="18"/>
                <w:lang w:eastAsia="de-DE"/>
              </w:rPr>
              <w:t>%</w:t>
            </w:r>
          </w:p>
        </w:tc>
        <w:tc>
          <w:tcPr>
            <w:tcW w:w="2145" w:type="dxa"/>
            <w:tcBorders>
              <w:top w:val="single" w:sz="8" w:space="0" w:color="auto"/>
            </w:tcBorders>
            <w:shd w:val="clear" w:color="auto" w:fill="auto"/>
            <w:vAlign w:val="center"/>
          </w:tcPr>
          <w:p w14:paraId="5919E277" w14:textId="77777777" w:rsidR="008A4FDC" w:rsidRPr="008A4FDC" w:rsidRDefault="008A4FDC" w:rsidP="008A4FDC">
            <w:pPr>
              <w:spacing w:after="0" w:line="240" w:lineRule="auto"/>
              <w:jc w:val="center"/>
              <w:rPr>
                <w:rFonts w:eastAsia="Times New Roman" w:cs="Times New Roman"/>
                <w:sz w:val="18"/>
                <w:szCs w:val="18"/>
                <w:lang w:eastAsia="de-DE"/>
              </w:rPr>
            </w:pPr>
            <w:r w:rsidRPr="008A4FDC">
              <w:rPr>
                <w:rFonts w:eastAsia="SimSun" w:cs="Times New Roman"/>
                <w:bCs/>
                <w:sz w:val="18"/>
                <w:szCs w:val="18"/>
                <w:lang w:eastAsia="de-DE"/>
              </w:rPr>
              <w:t>---</w:t>
            </w:r>
          </w:p>
        </w:tc>
        <w:tc>
          <w:tcPr>
            <w:tcW w:w="1824" w:type="dxa"/>
            <w:tcBorders>
              <w:top w:val="single" w:sz="8" w:space="0" w:color="auto"/>
            </w:tcBorders>
            <w:shd w:val="clear" w:color="auto" w:fill="auto"/>
            <w:vAlign w:val="center"/>
          </w:tcPr>
          <w:p w14:paraId="5111C459"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bCs/>
                <w:sz w:val="18"/>
                <w:szCs w:val="18"/>
                <w:lang w:eastAsia="de-DE"/>
              </w:rPr>
              <w:t>0,</w:t>
            </w:r>
            <w:r w:rsidR="008A4FDC" w:rsidRPr="008A4FDC">
              <w:rPr>
                <w:rFonts w:eastAsia="SimSun" w:cs="Times New Roman"/>
                <w:bCs/>
                <w:sz w:val="18"/>
                <w:szCs w:val="18"/>
                <w:lang w:eastAsia="de-DE"/>
              </w:rPr>
              <w:t>27%</w:t>
            </w:r>
          </w:p>
        </w:tc>
        <w:tc>
          <w:tcPr>
            <w:tcW w:w="1984" w:type="dxa"/>
            <w:tcBorders>
              <w:top w:val="single" w:sz="8" w:space="0" w:color="auto"/>
              <w:right w:val="single" w:sz="8" w:space="0" w:color="auto"/>
            </w:tcBorders>
            <w:shd w:val="clear" w:color="auto" w:fill="auto"/>
            <w:vAlign w:val="center"/>
          </w:tcPr>
          <w:p w14:paraId="31A6715C"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bCs/>
                <w:sz w:val="18"/>
                <w:szCs w:val="18"/>
                <w:lang w:eastAsia="de-DE"/>
              </w:rPr>
              <w:t>0,</w:t>
            </w:r>
            <w:r w:rsidR="008A4FDC" w:rsidRPr="008A4FDC">
              <w:rPr>
                <w:rFonts w:eastAsia="SimSun" w:cs="Times New Roman"/>
                <w:bCs/>
                <w:sz w:val="18"/>
                <w:szCs w:val="18"/>
                <w:lang w:eastAsia="de-DE"/>
              </w:rPr>
              <w:t>475</w:t>
            </w:r>
          </w:p>
        </w:tc>
      </w:tr>
      <w:tr w:rsidR="008A4FDC" w:rsidRPr="008A4FDC" w14:paraId="0246DB7C" w14:textId="77777777" w:rsidTr="00412D85">
        <w:trPr>
          <w:trHeight w:val="397"/>
          <w:jc w:val="center"/>
        </w:trPr>
        <w:tc>
          <w:tcPr>
            <w:tcW w:w="1134" w:type="dxa"/>
            <w:tcBorders>
              <w:left w:val="single" w:sz="8" w:space="0" w:color="auto"/>
            </w:tcBorders>
            <w:shd w:val="clear" w:color="auto" w:fill="auto"/>
            <w:vAlign w:val="center"/>
          </w:tcPr>
          <w:p w14:paraId="12AA7C2E" w14:textId="77777777" w:rsidR="008A4FDC" w:rsidRPr="008A4FDC" w:rsidRDefault="008A4FDC" w:rsidP="008A4FDC">
            <w:pPr>
              <w:spacing w:after="0" w:line="240" w:lineRule="auto"/>
              <w:jc w:val="center"/>
              <w:rPr>
                <w:rFonts w:eastAsia="Times New Roman" w:cs="Times New Roman"/>
                <w:sz w:val="18"/>
                <w:szCs w:val="18"/>
                <w:lang w:eastAsia="de-DE"/>
              </w:rPr>
            </w:pPr>
            <w:r w:rsidRPr="008A4FDC">
              <w:rPr>
                <w:rFonts w:eastAsia="SimSun" w:cs="Times New Roman"/>
                <w:sz w:val="18"/>
                <w:szCs w:val="18"/>
                <w:lang w:eastAsia="de-DE"/>
              </w:rPr>
              <w:t>2</w:t>
            </w:r>
          </w:p>
        </w:tc>
        <w:tc>
          <w:tcPr>
            <w:tcW w:w="1418" w:type="dxa"/>
            <w:shd w:val="clear" w:color="auto" w:fill="auto"/>
            <w:vAlign w:val="center"/>
          </w:tcPr>
          <w:p w14:paraId="316AB426"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sz w:val="18"/>
                <w:szCs w:val="18"/>
                <w:lang w:eastAsia="de-DE"/>
              </w:rPr>
              <w:t>0,</w:t>
            </w:r>
            <w:r w:rsidR="008A4FDC" w:rsidRPr="008A4FDC">
              <w:rPr>
                <w:rFonts w:eastAsia="SimSun" w:cs="Times New Roman"/>
                <w:sz w:val="18"/>
                <w:szCs w:val="18"/>
                <w:lang w:eastAsia="de-DE"/>
              </w:rPr>
              <w:t>08%</w:t>
            </w:r>
          </w:p>
        </w:tc>
        <w:tc>
          <w:tcPr>
            <w:tcW w:w="2145" w:type="dxa"/>
            <w:shd w:val="clear" w:color="auto" w:fill="auto"/>
            <w:vAlign w:val="center"/>
          </w:tcPr>
          <w:p w14:paraId="658DDB90"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sz w:val="18"/>
                <w:szCs w:val="18"/>
                <w:lang w:eastAsia="de-DE"/>
              </w:rPr>
              <w:t>0,</w:t>
            </w:r>
            <w:r w:rsidR="008A4FDC" w:rsidRPr="008A4FDC">
              <w:rPr>
                <w:rFonts w:eastAsia="SimSun" w:cs="Times New Roman"/>
                <w:sz w:val="18"/>
                <w:szCs w:val="18"/>
                <w:lang w:eastAsia="de-DE"/>
              </w:rPr>
              <w:t>20%</w:t>
            </w:r>
          </w:p>
        </w:tc>
        <w:tc>
          <w:tcPr>
            <w:tcW w:w="1824" w:type="dxa"/>
            <w:shd w:val="clear" w:color="auto" w:fill="auto"/>
            <w:vAlign w:val="center"/>
          </w:tcPr>
          <w:p w14:paraId="0E2D0147"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sz w:val="18"/>
                <w:szCs w:val="18"/>
                <w:lang w:eastAsia="de-DE"/>
              </w:rPr>
              <w:t>0,</w:t>
            </w:r>
            <w:r w:rsidR="008A4FDC" w:rsidRPr="008A4FDC">
              <w:rPr>
                <w:rFonts w:eastAsia="SimSun" w:cs="Times New Roman"/>
                <w:sz w:val="18"/>
                <w:szCs w:val="18"/>
                <w:lang w:eastAsia="de-DE"/>
              </w:rPr>
              <w:t>20%</w:t>
            </w:r>
          </w:p>
        </w:tc>
        <w:tc>
          <w:tcPr>
            <w:tcW w:w="1984" w:type="dxa"/>
            <w:tcBorders>
              <w:right w:val="single" w:sz="8" w:space="0" w:color="auto"/>
            </w:tcBorders>
            <w:shd w:val="clear" w:color="auto" w:fill="auto"/>
            <w:vAlign w:val="center"/>
          </w:tcPr>
          <w:p w14:paraId="6F96ABB9"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sz w:val="18"/>
                <w:szCs w:val="18"/>
                <w:lang w:eastAsia="de-DE"/>
              </w:rPr>
              <w:t>0,</w:t>
            </w:r>
            <w:r w:rsidR="008A4FDC" w:rsidRPr="008A4FDC">
              <w:rPr>
                <w:rFonts w:eastAsia="SimSun" w:cs="Times New Roman"/>
                <w:sz w:val="18"/>
                <w:szCs w:val="18"/>
                <w:lang w:eastAsia="de-DE"/>
              </w:rPr>
              <w:t>366</w:t>
            </w:r>
          </w:p>
        </w:tc>
      </w:tr>
      <w:tr w:rsidR="008A4FDC" w:rsidRPr="008A4FDC" w14:paraId="3D43BF49" w14:textId="77777777" w:rsidTr="00412D85">
        <w:trPr>
          <w:trHeight w:val="397"/>
          <w:jc w:val="center"/>
        </w:trPr>
        <w:tc>
          <w:tcPr>
            <w:tcW w:w="1134" w:type="dxa"/>
            <w:tcBorders>
              <w:left w:val="single" w:sz="8" w:space="0" w:color="auto"/>
            </w:tcBorders>
            <w:shd w:val="clear" w:color="auto" w:fill="auto"/>
            <w:vAlign w:val="center"/>
          </w:tcPr>
          <w:p w14:paraId="735EE083" w14:textId="77777777" w:rsidR="008A4FDC" w:rsidRPr="008A4FDC" w:rsidRDefault="008A4FDC" w:rsidP="008A4FDC">
            <w:pPr>
              <w:spacing w:after="0" w:line="240" w:lineRule="auto"/>
              <w:jc w:val="center"/>
              <w:rPr>
                <w:rFonts w:eastAsia="Times New Roman" w:cs="Times New Roman"/>
                <w:sz w:val="18"/>
                <w:szCs w:val="18"/>
                <w:lang w:eastAsia="de-DE"/>
              </w:rPr>
            </w:pPr>
            <w:r w:rsidRPr="008A4FDC">
              <w:rPr>
                <w:rFonts w:eastAsia="SimSun" w:cs="Times New Roman"/>
                <w:sz w:val="18"/>
                <w:szCs w:val="18"/>
                <w:lang w:eastAsia="de-DE"/>
              </w:rPr>
              <w:t>3</w:t>
            </w:r>
          </w:p>
        </w:tc>
        <w:tc>
          <w:tcPr>
            <w:tcW w:w="1418" w:type="dxa"/>
            <w:shd w:val="clear" w:color="auto" w:fill="auto"/>
            <w:vAlign w:val="center"/>
          </w:tcPr>
          <w:p w14:paraId="19D7F1D6"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sz w:val="18"/>
                <w:szCs w:val="18"/>
                <w:lang w:eastAsia="de-DE"/>
              </w:rPr>
              <w:t>0,</w:t>
            </w:r>
            <w:r w:rsidR="008A4FDC" w:rsidRPr="008A4FDC">
              <w:rPr>
                <w:rFonts w:eastAsia="SimSun" w:cs="Times New Roman"/>
                <w:sz w:val="18"/>
                <w:szCs w:val="18"/>
                <w:lang w:eastAsia="de-DE"/>
              </w:rPr>
              <w:t>50%</w:t>
            </w:r>
          </w:p>
        </w:tc>
        <w:tc>
          <w:tcPr>
            <w:tcW w:w="2145" w:type="dxa"/>
            <w:shd w:val="clear" w:color="auto" w:fill="auto"/>
            <w:vAlign w:val="center"/>
          </w:tcPr>
          <w:p w14:paraId="0C656D0C"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sz w:val="18"/>
                <w:szCs w:val="18"/>
                <w:lang w:eastAsia="de-DE"/>
              </w:rPr>
              <w:t>0,</w:t>
            </w:r>
            <w:r w:rsidR="008A4FDC" w:rsidRPr="008A4FDC">
              <w:rPr>
                <w:rFonts w:eastAsia="SimSun" w:cs="Times New Roman"/>
                <w:sz w:val="18"/>
                <w:szCs w:val="18"/>
                <w:lang w:eastAsia="de-DE"/>
              </w:rPr>
              <w:t>27%</w:t>
            </w:r>
          </w:p>
        </w:tc>
        <w:tc>
          <w:tcPr>
            <w:tcW w:w="1824" w:type="dxa"/>
            <w:shd w:val="clear" w:color="auto" w:fill="auto"/>
            <w:vAlign w:val="center"/>
          </w:tcPr>
          <w:p w14:paraId="2A1511B8"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sz w:val="18"/>
                <w:szCs w:val="18"/>
                <w:lang w:eastAsia="de-DE"/>
              </w:rPr>
              <w:t>0,</w:t>
            </w:r>
            <w:r w:rsidR="008A4FDC" w:rsidRPr="008A4FDC">
              <w:rPr>
                <w:rFonts w:eastAsia="SimSun" w:cs="Times New Roman"/>
                <w:sz w:val="18"/>
                <w:szCs w:val="18"/>
                <w:lang w:eastAsia="de-DE"/>
              </w:rPr>
              <w:t>13%</w:t>
            </w:r>
          </w:p>
        </w:tc>
        <w:tc>
          <w:tcPr>
            <w:tcW w:w="1984" w:type="dxa"/>
            <w:tcBorders>
              <w:right w:val="single" w:sz="8" w:space="0" w:color="auto"/>
            </w:tcBorders>
            <w:shd w:val="clear" w:color="auto" w:fill="auto"/>
            <w:vAlign w:val="center"/>
          </w:tcPr>
          <w:p w14:paraId="055587B4"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sz w:val="18"/>
                <w:szCs w:val="18"/>
                <w:lang w:eastAsia="de-DE"/>
              </w:rPr>
              <w:t>0,</w:t>
            </w:r>
            <w:r w:rsidR="008A4FDC" w:rsidRPr="008A4FDC">
              <w:rPr>
                <w:rFonts w:eastAsia="SimSun" w:cs="Times New Roman"/>
                <w:sz w:val="18"/>
                <w:szCs w:val="18"/>
                <w:lang w:eastAsia="de-DE"/>
              </w:rPr>
              <w:t>228</w:t>
            </w:r>
          </w:p>
        </w:tc>
      </w:tr>
      <w:tr w:rsidR="008A4FDC" w:rsidRPr="008A4FDC" w14:paraId="3430AC38" w14:textId="77777777" w:rsidTr="00412D85">
        <w:trPr>
          <w:trHeight w:val="397"/>
          <w:jc w:val="center"/>
        </w:trPr>
        <w:tc>
          <w:tcPr>
            <w:tcW w:w="1134" w:type="dxa"/>
            <w:tcBorders>
              <w:left w:val="single" w:sz="8" w:space="0" w:color="auto"/>
            </w:tcBorders>
            <w:shd w:val="clear" w:color="auto" w:fill="auto"/>
            <w:vAlign w:val="center"/>
          </w:tcPr>
          <w:p w14:paraId="6B0E2484" w14:textId="77777777" w:rsidR="008A4FDC" w:rsidRPr="008A4FDC" w:rsidRDefault="008A4FDC" w:rsidP="008A4FDC">
            <w:pPr>
              <w:spacing w:after="0" w:line="240" w:lineRule="auto"/>
              <w:jc w:val="center"/>
              <w:rPr>
                <w:rFonts w:eastAsia="Times New Roman" w:cs="Times New Roman"/>
                <w:sz w:val="18"/>
                <w:szCs w:val="18"/>
                <w:lang w:eastAsia="de-DE"/>
              </w:rPr>
            </w:pPr>
            <w:r w:rsidRPr="008A4FDC">
              <w:rPr>
                <w:rFonts w:eastAsia="SimSun" w:cs="Times New Roman"/>
                <w:b/>
                <w:bCs/>
                <w:sz w:val="18"/>
                <w:szCs w:val="18"/>
                <w:lang w:eastAsia="de-DE"/>
              </w:rPr>
              <w:t>4</w:t>
            </w:r>
          </w:p>
        </w:tc>
        <w:tc>
          <w:tcPr>
            <w:tcW w:w="1418" w:type="dxa"/>
            <w:shd w:val="clear" w:color="auto" w:fill="auto"/>
            <w:vAlign w:val="center"/>
          </w:tcPr>
          <w:p w14:paraId="189BC35B"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b/>
                <w:bCs/>
                <w:sz w:val="18"/>
                <w:szCs w:val="18"/>
                <w:lang w:eastAsia="de-DE"/>
              </w:rPr>
              <w:t>0,</w:t>
            </w:r>
            <w:r w:rsidR="008A4FDC" w:rsidRPr="008A4FDC">
              <w:rPr>
                <w:rFonts w:eastAsia="SimSun" w:cs="Times New Roman"/>
                <w:b/>
                <w:bCs/>
                <w:sz w:val="18"/>
                <w:szCs w:val="18"/>
                <w:lang w:eastAsia="de-DE"/>
              </w:rPr>
              <w:t>80%</w:t>
            </w:r>
          </w:p>
        </w:tc>
        <w:tc>
          <w:tcPr>
            <w:tcW w:w="2145" w:type="dxa"/>
            <w:shd w:val="clear" w:color="auto" w:fill="auto"/>
            <w:vAlign w:val="center"/>
          </w:tcPr>
          <w:p w14:paraId="2AA24703"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b/>
                <w:bCs/>
                <w:sz w:val="18"/>
                <w:szCs w:val="18"/>
                <w:lang w:eastAsia="de-DE"/>
              </w:rPr>
              <w:t>0,</w:t>
            </w:r>
            <w:r w:rsidR="008A4FDC" w:rsidRPr="008A4FDC">
              <w:rPr>
                <w:rFonts w:eastAsia="SimSun" w:cs="Times New Roman"/>
                <w:b/>
                <w:bCs/>
                <w:sz w:val="18"/>
                <w:szCs w:val="18"/>
                <w:lang w:eastAsia="de-DE"/>
              </w:rPr>
              <w:t>50%</w:t>
            </w:r>
          </w:p>
        </w:tc>
        <w:tc>
          <w:tcPr>
            <w:tcW w:w="1824" w:type="dxa"/>
            <w:shd w:val="clear" w:color="auto" w:fill="auto"/>
            <w:vAlign w:val="center"/>
          </w:tcPr>
          <w:p w14:paraId="2E8B0679"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b/>
                <w:bCs/>
                <w:sz w:val="18"/>
                <w:szCs w:val="18"/>
                <w:lang w:eastAsia="de-DE"/>
              </w:rPr>
              <w:t>0,</w:t>
            </w:r>
            <w:r w:rsidR="008A4FDC" w:rsidRPr="008A4FDC">
              <w:rPr>
                <w:rFonts w:eastAsia="SimSun" w:cs="Times New Roman"/>
                <w:b/>
                <w:bCs/>
                <w:sz w:val="18"/>
                <w:szCs w:val="18"/>
                <w:lang w:eastAsia="de-DE"/>
              </w:rPr>
              <w:t>27%</w:t>
            </w:r>
          </w:p>
        </w:tc>
        <w:tc>
          <w:tcPr>
            <w:tcW w:w="1984" w:type="dxa"/>
            <w:tcBorders>
              <w:right w:val="single" w:sz="8" w:space="0" w:color="auto"/>
            </w:tcBorders>
            <w:shd w:val="clear" w:color="auto" w:fill="auto"/>
            <w:vAlign w:val="center"/>
          </w:tcPr>
          <w:p w14:paraId="26841545"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b/>
                <w:bCs/>
                <w:sz w:val="18"/>
                <w:szCs w:val="18"/>
                <w:lang w:eastAsia="de-DE"/>
              </w:rPr>
              <w:t>0,</w:t>
            </w:r>
            <w:r w:rsidR="008A4FDC" w:rsidRPr="008A4FDC">
              <w:rPr>
                <w:rFonts w:eastAsia="SimSun" w:cs="Times New Roman"/>
                <w:b/>
                <w:bCs/>
                <w:sz w:val="18"/>
                <w:szCs w:val="18"/>
                <w:lang w:eastAsia="de-DE"/>
              </w:rPr>
              <w:t>072</w:t>
            </w:r>
          </w:p>
        </w:tc>
      </w:tr>
      <w:tr w:rsidR="008A4FDC" w:rsidRPr="008A4FDC" w14:paraId="06E67A37" w14:textId="77777777" w:rsidTr="00412D85">
        <w:trPr>
          <w:trHeight w:val="397"/>
          <w:jc w:val="center"/>
        </w:trPr>
        <w:tc>
          <w:tcPr>
            <w:tcW w:w="1134" w:type="dxa"/>
            <w:tcBorders>
              <w:left w:val="single" w:sz="8" w:space="0" w:color="auto"/>
            </w:tcBorders>
            <w:shd w:val="clear" w:color="auto" w:fill="auto"/>
            <w:vAlign w:val="center"/>
          </w:tcPr>
          <w:p w14:paraId="4A4BA401" w14:textId="77777777" w:rsidR="008A4FDC" w:rsidRPr="008A4FDC" w:rsidRDefault="008A4FDC" w:rsidP="008A4FDC">
            <w:pPr>
              <w:spacing w:after="0" w:line="240" w:lineRule="auto"/>
              <w:jc w:val="center"/>
              <w:rPr>
                <w:rFonts w:eastAsia="Times New Roman" w:cs="Times New Roman"/>
                <w:sz w:val="18"/>
                <w:szCs w:val="18"/>
                <w:lang w:eastAsia="de-DE"/>
              </w:rPr>
            </w:pPr>
            <w:r w:rsidRPr="008A4FDC">
              <w:rPr>
                <w:rFonts w:eastAsia="SimSun" w:cs="Times New Roman"/>
                <w:sz w:val="18"/>
                <w:szCs w:val="18"/>
                <w:lang w:eastAsia="de-DE"/>
              </w:rPr>
              <w:t>5</w:t>
            </w:r>
          </w:p>
        </w:tc>
        <w:tc>
          <w:tcPr>
            <w:tcW w:w="1418" w:type="dxa"/>
            <w:shd w:val="clear" w:color="auto" w:fill="auto"/>
            <w:vAlign w:val="center"/>
          </w:tcPr>
          <w:p w14:paraId="52DF9507"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sz w:val="18"/>
                <w:szCs w:val="18"/>
                <w:lang w:eastAsia="de-DE"/>
              </w:rPr>
              <w:t>0,</w:t>
            </w:r>
            <w:r w:rsidR="008A4FDC" w:rsidRPr="008A4FDC">
              <w:rPr>
                <w:rFonts w:eastAsia="SimSun" w:cs="Times New Roman"/>
                <w:sz w:val="18"/>
                <w:szCs w:val="18"/>
                <w:lang w:eastAsia="de-DE"/>
              </w:rPr>
              <w:t>80%</w:t>
            </w:r>
          </w:p>
        </w:tc>
        <w:tc>
          <w:tcPr>
            <w:tcW w:w="2145" w:type="dxa"/>
            <w:shd w:val="clear" w:color="auto" w:fill="auto"/>
            <w:vAlign w:val="center"/>
          </w:tcPr>
          <w:p w14:paraId="6664FF23"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sz w:val="18"/>
                <w:szCs w:val="18"/>
                <w:lang w:eastAsia="de-DE"/>
              </w:rPr>
              <w:t>0,</w:t>
            </w:r>
            <w:r w:rsidR="008A4FDC" w:rsidRPr="008A4FDC">
              <w:rPr>
                <w:rFonts w:eastAsia="SimSun" w:cs="Times New Roman"/>
                <w:sz w:val="18"/>
                <w:szCs w:val="18"/>
                <w:lang w:eastAsia="de-DE"/>
              </w:rPr>
              <w:t>83%</w:t>
            </w:r>
          </w:p>
        </w:tc>
        <w:tc>
          <w:tcPr>
            <w:tcW w:w="1824" w:type="dxa"/>
            <w:shd w:val="clear" w:color="auto" w:fill="auto"/>
            <w:vAlign w:val="center"/>
          </w:tcPr>
          <w:p w14:paraId="4B9CDA80"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sz w:val="18"/>
                <w:szCs w:val="18"/>
                <w:lang w:eastAsia="de-DE"/>
              </w:rPr>
              <w:t>0,</w:t>
            </w:r>
            <w:r w:rsidR="008A4FDC" w:rsidRPr="008A4FDC">
              <w:rPr>
                <w:rFonts w:eastAsia="SimSun" w:cs="Times New Roman"/>
                <w:sz w:val="18"/>
                <w:szCs w:val="18"/>
                <w:lang w:eastAsia="de-DE"/>
              </w:rPr>
              <w:t>27%</w:t>
            </w:r>
          </w:p>
        </w:tc>
        <w:tc>
          <w:tcPr>
            <w:tcW w:w="1984" w:type="dxa"/>
            <w:tcBorders>
              <w:right w:val="single" w:sz="8" w:space="0" w:color="auto"/>
            </w:tcBorders>
            <w:shd w:val="clear" w:color="auto" w:fill="auto"/>
            <w:vAlign w:val="center"/>
          </w:tcPr>
          <w:p w14:paraId="5B7732D8"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sz w:val="18"/>
                <w:szCs w:val="18"/>
                <w:lang w:eastAsia="de-DE"/>
              </w:rPr>
              <w:t>0,</w:t>
            </w:r>
            <w:r w:rsidR="008A4FDC" w:rsidRPr="008A4FDC">
              <w:rPr>
                <w:rFonts w:eastAsia="SimSun" w:cs="Times New Roman"/>
                <w:sz w:val="18"/>
                <w:szCs w:val="18"/>
                <w:lang w:eastAsia="de-DE"/>
              </w:rPr>
              <w:t>121</w:t>
            </w:r>
          </w:p>
        </w:tc>
      </w:tr>
      <w:tr w:rsidR="008A4FDC" w:rsidRPr="008A4FDC" w14:paraId="6E19433B" w14:textId="77777777" w:rsidTr="00412D85">
        <w:trPr>
          <w:trHeight w:val="397"/>
          <w:jc w:val="center"/>
        </w:trPr>
        <w:tc>
          <w:tcPr>
            <w:tcW w:w="1134" w:type="dxa"/>
            <w:tcBorders>
              <w:left w:val="single" w:sz="8" w:space="0" w:color="auto"/>
              <w:bottom w:val="single" w:sz="8" w:space="0" w:color="auto"/>
            </w:tcBorders>
            <w:shd w:val="clear" w:color="auto" w:fill="auto"/>
            <w:vAlign w:val="center"/>
          </w:tcPr>
          <w:p w14:paraId="52EB391E" w14:textId="77777777" w:rsidR="008A4FDC" w:rsidRPr="008A4FDC" w:rsidRDefault="008A4FDC" w:rsidP="008A4FDC">
            <w:pPr>
              <w:spacing w:after="0" w:line="240" w:lineRule="auto"/>
              <w:jc w:val="center"/>
              <w:rPr>
                <w:rFonts w:eastAsia="Times New Roman" w:cs="Times New Roman"/>
                <w:sz w:val="18"/>
                <w:szCs w:val="18"/>
                <w:lang w:eastAsia="de-DE"/>
              </w:rPr>
            </w:pPr>
            <w:r w:rsidRPr="008A4FDC">
              <w:rPr>
                <w:rFonts w:eastAsia="SimSun" w:cs="Times New Roman"/>
                <w:sz w:val="18"/>
                <w:szCs w:val="18"/>
                <w:lang w:eastAsia="de-DE"/>
              </w:rPr>
              <w:t>6</w:t>
            </w:r>
          </w:p>
        </w:tc>
        <w:tc>
          <w:tcPr>
            <w:tcW w:w="1418" w:type="dxa"/>
            <w:tcBorders>
              <w:bottom w:val="single" w:sz="8" w:space="0" w:color="auto"/>
            </w:tcBorders>
            <w:shd w:val="clear" w:color="auto" w:fill="auto"/>
            <w:vAlign w:val="center"/>
          </w:tcPr>
          <w:p w14:paraId="24FB0306"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sz w:val="18"/>
                <w:szCs w:val="18"/>
                <w:lang w:eastAsia="de-DE"/>
              </w:rPr>
              <w:t>0,</w:t>
            </w:r>
            <w:r w:rsidR="008A4FDC" w:rsidRPr="008A4FDC">
              <w:rPr>
                <w:rFonts w:eastAsia="SimSun" w:cs="Times New Roman"/>
                <w:sz w:val="18"/>
                <w:szCs w:val="18"/>
                <w:lang w:eastAsia="de-DE"/>
              </w:rPr>
              <w:t>80%</w:t>
            </w:r>
          </w:p>
        </w:tc>
        <w:tc>
          <w:tcPr>
            <w:tcW w:w="2145" w:type="dxa"/>
            <w:tcBorders>
              <w:bottom w:val="single" w:sz="8" w:space="0" w:color="auto"/>
            </w:tcBorders>
            <w:shd w:val="clear" w:color="auto" w:fill="auto"/>
            <w:vAlign w:val="center"/>
          </w:tcPr>
          <w:p w14:paraId="4CAFCFD3"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sz w:val="18"/>
                <w:szCs w:val="18"/>
                <w:lang w:eastAsia="de-DE"/>
              </w:rPr>
              <w:t>1,</w:t>
            </w:r>
            <w:r w:rsidR="008A4FDC" w:rsidRPr="008A4FDC">
              <w:rPr>
                <w:rFonts w:eastAsia="SimSun" w:cs="Times New Roman"/>
                <w:sz w:val="18"/>
                <w:szCs w:val="18"/>
                <w:lang w:eastAsia="de-DE"/>
              </w:rPr>
              <w:t>00%</w:t>
            </w:r>
          </w:p>
        </w:tc>
        <w:tc>
          <w:tcPr>
            <w:tcW w:w="1824" w:type="dxa"/>
            <w:tcBorders>
              <w:bottom w:val="single" w:sz="8" w:space="0" w:color="auto"/>
            </w:tcBorders>
            <w:shd w:val="clear" w:color="auto" w:fill="auto"/>
            <w:vAlign w:val="center"/>
          </w:tcPr>
          <w:p w14:paraId="0FC4B8E8"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sz w:val="18"/>
                <w:szCs w:val="18"/>
                <w:lang w:eastAsia="de-DE"/>
              </w:rPr>
              <w:t>0,</w:t>
            </w:r>
            <w:r w:rsidR="008A4FDC" w:rsidRPr="008A4FDC">
              <w:rPr>
                <w:rFonts w:eastAsia="SimSun" w:cs="Times New Roman"/>
                <w:sz w:val="18"/>
                <w:szCs w:val="18"/>
                <w:lang w:eastAsia="de-DE"/>
              </w:rPr>
              <w:t>27%</w:t>
            </w:r>
          </w:p>
        </w:tc>
        <w:tc>
          <w:tcPr>
            <w:tcW w:w="1984" w:type="dxa"/>
            <w:tcBorders>
              <w:bottom w:val="single" w:sz="8" w:space="0" w:color="auto"/>
              <w:right w:val="single" w:sz="8" w:space="0" w:color="auto"/>
            </w:tcBorders>
            <w:shd w:val="clear" w:color="auto" w:fill="auto"/>
            <w:vAlign w:val="center"/>
          </w:tcPr>
          <w:p w14:paraId="08F65B4D" w14:textId="77777777" w:rsidR="008A4FDC" w:rsidRPr="008A4FDC" w:rsidRDefault="00015466" w:rsidP="008A4FDC">
            <w:pPr>
              <w:spacing w:after="0" w:line="240" w:lineRule="auto"/>
              <w:jc w:val="center"/>
              <w:rPr>
                <w:rFonts w:eastAsia="Times New Roman" w:cs="Times New Roman"/>
                <w:sz w:val="18"/>
                <w:szCs w:val="18"/>
                <w:lang w:eastAsia="de-DE"/>
              </w:rPr>
            </w:pPr>
            <w:r>
              <w:rPr>
                <w:rFonts w:eastAsia="SimSun" w:cs="Times New Roman"/>
                <w:sz w:val="18"/>
                <w:szCs w:val="18"/>
                <w:lang w:eastAsia="de-DE"/>
              </w:rPr>
              <w:t>0,</w:t>
            </w:r>
            <w:r w:rsidR="008A4FDC" w:rsidRPr="008A4FDC">
              <w:rPr>
                <w:rFonts w:eastAsia="SimSun" w:cs="Times New Roman"/>
                <w:sz w:val="18"/>
                <w:szCs w:val="18"/>
                <w:lang w:eastAsia="de-DE"/>
              </w:rPr>
              <w:t>150</w:t>
            </w:r>
          </w:p>
        </w:tc>
      </w:tr>
    </w:tbl>
    <w:p w14:paraId="5A35195B" w14:textId="77777777" w:rsidR="008A4FDC" w:rsidRDefault="008A4FDC" w:rsidP="003E04DF"/>
    <w:p w14:paraId="421A99B1" w14:textId="77777777" w:rsidR="00A03A65" w:rsidRDefault="002958AE" w:rsidP="003E04DF">
      <w:r>
        <w:t>Die durchschnittliche Ausbeute des Sprühtrocknungsprozesses betrug 65,8% (</w:t>
      </w:r>
      <w:r>
        <w:sym w:font="Symbol" w:char="F0B1"/>
      </w:r>
      <w:r>
        <w:t>8,4</w:t>
      </w:r>
      <w:r w:rsidR="00DF4DC6">
        <w:t>%</w:t>
      </w:r>
      <w:r>
        <w:t>) bezogen auf die eingesetzte Menge an Feststoffen.</w:t>
      </w:r>
    </w:p>
    <w:p w14:paraId="1186E8C8" w14:textId="77777777" w:rsidR="00C828ED" w:rsidRDefault="00015466" w:rsidP="003E04DF">
      <w:r>
        <w:t xml:space="preserve">Ohne Zusatz von L-Isoleucin (Versuch Nr.1 in </w:t>
      </w:r>
      <w:r w:rsidR="00D16240">
        <w:fldChar w:fldCharType="begin"/>
      </w:r>
      <w:r>
        <w:instrText xml:space="preserve"> REF _Ref275451935 \h </w:instrText>
      </w:r>
      <w:r w:rsidR="00D16240">
        <w:fldChar w:fldCharType="separate"/>
      </w:r>
      <w:r w:rsidR="00711AB8" w:rsidRPr="00A03A65">
        <w:t xml:space="preserve">Tabelle </w:t>
      </w:r>
      <w:r w:rsidR="00711AB8">
        <w:rPr>
          <w:noProof/>
        </w:rPr>
        <w:t>13</w:t>
      </w:r>
      <w:r w:rsidR="00D16240">
        <w:fldChar w:fldCharType="end"/>
      </w:r>
      <w:r>
        <w:t xml:space="preserve">) war der PDI mit 0,475 </w:t>
      </w:r>
      <w:r w:rsidR="00C828ED">
        <w:t>unter</w:t>
      </w:r>
      <w:r w:rsidR="00DF4DC6">
        <w:t xml:space="preserve"> allen durchgeführten Versuchen </w:t>
      </w:r>
      <w:r>
        <w:t>am höchsten. Ein Zusatz von 0,27% L-Isoleucin in Versuch Nr. 3 verbesserte die Redispergierbarkeit bereits deutlich, wobei die Anwesenheit von PVA einen positiven Effekt h</w:t>
      </w:r>
      <w:r w:rsidR="00DF4DC6">
        <w:t>atte. In Versuch Nr. 2 wurde</w:t>
      </w:r>
      <w:r>
        <w:t xml:space="preserve"> PVA vor der Trocknung ausgewaschen und ausschließlich L-Isoleucin zugesetzt, was zu einem PDI von 0,366 führte. Durch Erhöhung der Konzentration von L-Isoleucin auf 0,5% bei Anwesenheit der ursprünglich eingesetzten Menge an PVA von 0,8%</w:t>
      </w:r>
      <w:r w:rsidR="00DF4DC6">
        <w:t xml:space="preserve"> wurde in Versuch Nr. 4 der niedrigste PDI von 0,072 erhalten. Eine weitere Erhöhung der L-Isoleucin Konzentration in den Versuchen Nr. 5 un</w:t>
      </w:r>
      <w:r w:rsidR="00671FAA">
        <w:t>d 6 führte</w:t>
      </w:r>
      <w:r w:rsidR="00DF4DC6">
        <w:t xml:space="preserve"> zu einem Anstieg des PDI mit steigender Konzentration.</w:t>
      </w:r>
    </w:p>
    <w:p w14:paraId="7F9CED16" w14:textId="77777777" w:rsidR="002958AE" w:rsidRDefault="00BB5E67" w:rsidP="003E04DF">
      <w:r>
        <w:t>Das beste Ergebnis</w:t>
      </w:r>
      <w:r w:rsidR="00C828ED">
        <w:t xml:space="preserve"> bezüglich der Redispergierbarkeit der getrockneten Partikel wurde durch einen Zusatz von 0,5% L-Isoleucin zur nicht aufgereinigten PVA halti</w:t>
      </w:r>
      <w:r>
        <w:t>gen Partikelsuspension erreicht (Versuch Nr. 4). Die optimale Konzentration von L-Isoleucin erreicht</w:t>
      </w:r>
      <w:r w:rsidR="00412D85">
        <w:t>e</w:t>
      </w:r>
      <w:r>
        <w:t xml:space="preserve"> bei ca. 0,5% ein Maximum, höhere Konzentrationen wirk</w:t>
      </w:r>
      <w:r w:rsidR="00412D85">
        <w:t>t</w:t>
      </w:r>
      <w:r>
        <w:t>en sich negativ aus.</w:t>
      </w:r>
    </w:p>
    <w:p w14:paraId="42405A2E" w14:textId="77777777" w:rsidR="00671FAA" w:rsidRDefault="00D16240" w:rsidP="003E04DF">
      <w:r>
        <w:fldChar w:fldCharType="begin"/>
      </w:r>
      <w:r w:rsidR="00671FAA">
        <w:instrText xml:space="preserve"> REF _Ref275454007 \h </w:instrText>
      </w:r>
      <w:r>
        <w:fldChar w:fldCharType="separate"/>
      </w:r>
      <w:r w:rsidR="00711AB8" w:rsidRPr="00671FAA">
        <w:t xml:space="preserve">Abbildung </w:t>
      </w:r>
      <w:r w:rsidR="00711AB8">
        <w:rPr>
          <w:noProof/>
        </w:rPr>
        <w:t>17</w:t>
      </w:r>
      <w:r>
        <w:fldChar w:fldCharType="end"/>
      </w:r>
      <w:r w:rsidR="00671FAA">
        <w:t xml:space="preserve"> zeigt eine REM Aufnahme der optimierten sprühgetrockneten Formulierung Nr. 4 in </w:t>
      </w:r>
      <w:r>
        <w:fldChar w:fldCharType="begin"/>
      </w:r>
      <w:r w:rsidR="00671FAA">
        <w:instrText xml:space="preserve"> REF _Ref275451935 \h </w:instrText>
      </w:r>
      <w:r>
        <w:fldChar w:fldCharType="separate"/>
      </w:r>
      <w:r w:rsidR="00711AB8" w:rsidRPr="00A03A65">
        <w:t xml:space="preserve">Tabelle </w:t>
      </w:r>
      <w:r w:rsidR="00711AB8">
        <w:rPr>
          <w:noProof/>
        </w:rPr>
        <w:t>13</w:t>
      </w:r>
      <w:r>
        <w:fldChar w:fldCharType="end"/>
      </w:r>
      <w:r w:rsidR="00671FAA">
        <w:t>.</w:t>
      </w:r>
    </w:p>
    <w:p w14:paraId="39D073D9" w14:textId="77777777" w:rsidR="0071347C" w:rsidRDefault="0071347C" w:rsidP="0071347C">
      <w:pPr>
        <w:spacing w:after="0"/>
      </w:pPr>
    </w:p>
    <w:p w14:paraId="0CF91D35" w14:textId="77777777" w:rsidR="00671FAA" w:rsidRDefault="00671FAA" w:rsidP="00671FAA">
      <w:pPr>
        <w:spacing w:after="120"/>
        <w:jc w:val="center"/>
      </w:pPr>
      <w:r>
        <w:rPr>
          <w:noProof/>
          <w:lang w:eastAsia="de-DE"/>
        </w:rPr>
        <w:lastRenderedPageBreak/>
        <w:drawing>
          <wp:inline distT="0" distB="0" distL="0" distR="0" wp14:anchorId="1A86FCBF" wp14:editId="479AF4E4">
            <wp:extent cx="3062703" cy="2147247"/>
            <wp:effectExtent l="25400" t="25400" r="36195" b="37465"/>
            <wp:docPr id="21509"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9576.jpg"/>
                    <pic:cNvPicPr/>
                  </pic:nvPicPr>
                  <pic:blipFill>
                    <a:blip r:embed="rId37" cstate="print">
                      <a:extLst>
                        <a:ext uri="{BEBA8EAE-BF5A-486C-A8C5-ECC9F3942E4B}">
                          <a14:imgProps xmlns:a14="http://schemas.microsoft.com/office/drawing/2010/main">
                            <a14:imgLayer r:embed="rId38">
                              <a14:imgEffect>
                                <a14:brightnessContrast bright="40000" contrast="6000"/>
                              </a14:imgEffect>
                            </a14:imgLayer>
                          </a14:imgProps>
                        </a:ext>
                        <a:ext uri="{28A0092B-C50C-407E-A947-70E740481C1C}">
                          <a14:useLocalDpi xmlns:a14="http://schemas.microsoft.com/office/drawing/2010/main" val="0"/>
                        </a:ext>
                      </a:extLst>
                    </a:blip>
                    <a:stretch>
                      <a:fillRect/>
                    </a:stretch>
                  </pic:blipFill>
                  <pic:spPr>
                    <a:xfrm>
                      <a:off x="0" y="0"/>
                      <a:ext cx="3064891" cy="2148781"/>
                    </a:xfrm>
                    <a:prstGeom prst="rect">
                      <a:avLst/>
                    </a:prstGeom>
                    <a:ln w="6350">
                      <a:solidFill>
                        <a:schemeClr val="tx1"/>
                      </a:solidFill>
                    </a:ln>
                  </pic:spPr>
                </pic:pic>
              </a:graphicData>
            </a:graphic>
          </wp:inline>
        </w:drawing>
      </w:r>
    </w:p>
    <w:p w14:paraId="4BE237C5" w14:textId="77777777" w:rsidR="00671FAA" w:rsidRDefault="00671FAA" w:rsidP="00064F9B">
      <w:pPr>
        <w:pStyle w:val="Beschriftung"/>
        <w:ind w:firstLine="0"/>
        <w:rPr>
          <w:b w:val="0"/>
        </w:rPr>
      </w:pPr>
      <w:bookmarkStart w:id="182" w:name="_Ref275454007"/>
      <w:r w:rsidRPr="00671FAA">
        <w:t xml:space="preserve">Abbildung </w:t>
      </w:r>
      <w:fldSimple w:instr=" SEQ Abbildung \* ARABIC ">
        <w:r w:rsidR="00711AB8">
          <w:rPr>
            <w:noProof/>
          </w:rPr>
          <w:t>17</w:t>
        </w:r>
      </w:fldSimple>
      <w:bookmarkEnd w:id="182"/>
      <w:r>
        <w:t xml:space="preserve"> </w:t>
      </w:r>
      <w:r>
        <w:rPr>
          <w:b w:val="0"/>
        </w:rPr>
        <w:t>REM Aufnahme der gefriergetrockneten Formulierung Nr. 4 (</w:t>
      </w:r>
      <w:r w:rsidR="00057BAF">
        <w:fldChar w:fldCharType="begin"/>
      </w:r>
      <w:r w:rsidR="00057BAF">
        <w:instrText xml:space="preserve"> REF _Ref275451935 \h  \* MERGEFORMAT </w:instrText>
      </w:r>
      <w:r w:rsidR="00057BAF">
        <w:fldChar w:fldCharType="separate"/>
      </w:r>
      <w:r w:rsidR="00711AB8" w:rsidRPr="00711AB8">
        <w:rPr>
          <w:b w:val="0"/>
        </w:rPr>
        <w:t xml:space="preserve">Tabelle </w:t>
      </w:r>
      <w:r w:rsidR="00711AB8" w:rsidRPr="00711AB8">
        <w:rPr>
          <w:b w:val="0"/>
          <w:noProof/>
        </w:rPr>
        <w:t>13</w:t>
      </w:r>
      <w:r w:rsidR="00057BAF">
        <w:fldChar w:fldCharType="end"/>
      </w:r>
      <w:r>
        <w:rPr>
          <w:b w:val="0"/>
        </w:rPr>
        <w:t>), enthält Nanopartikel aus Resomer</w:t>
      </w:r>
      <w:r w:rsidR="00064F9B" w:rsidRPr="00902C2E">
        <w:rPr>
          <w:vertAlign w:val="superscript"/>
        </w:rPr>
        <w:t>®</w:t>
      </w:r>
      <w:r>
        <w:rPr>
          <w:b w:val="0"/>
        </w:rPr>
        <w:t> RG 503 H sowie PVA und L-Isoleucin</w:t>
      </w:r>
      <w:r w:rsidR="00906DB9">
        <w:rPr>
          <w:b w:val="0"/>
        </w:rPr>
        <w:t>.</w:t>
      </w:r>
    </w:p>
    <w:p w14:paraId="40825F47" w14:textId="77777777" w:rsidR="00671FAA" w:rsidRDefault="00671FAA" w:rsidP="00671FAA">
      <w:pPr>
        <w:spacing w:after="0"/>
      </w:pPr>
    </w:p>
    <w:p w14:paraId="648DF10C" w14:textId="77777777" w:rsidR="00274E42" w:rsidRDefault="00671FAA" w:rsidP="00671FAA">
      <w:r>
        <w:t xml:space="preserve">In der REM Aufnahme des sprühgetrockneten Pulvers in </w:t>
      </w:r>
      <w:r w:rsidR="00D16240">
        <w:fldChar w:fldCharType="begin"/>
      </w:r>
      <w:r>
        <w:instrText xml:space="preserve"> REF _Ref275454007 \h </w:instrText>
      </w:r>
      <w:r w:rsidR="00D16240">
        <w:fldChar w:fldCharType="separate"/>
      </w:r>
      <w:r w:rsidR="00711AB8" w:rsidRPr="00671FAA">
        <w:t xml:space="preserve">Abbildung </w:t>
      </w:r>
      <w:r w:rsidR="00711AB8">
        <w:rPr>
          <w:noProof/>
        </w:rPr>
        <w:t>17</w:t>
      </w:r>
      <w:r w:rsidR="00D16240">
        <w:fldChar w:fldCharType="end"/>
      </w:r>
      <w:r>
        <w:t xml:space="preserve"> sind </w:t>
      </w:r>
      <w:r w:rsidR="00274E42">
        <w:t>einzeln</w:t>
      </w:r>
      <w:r w:rsidR="00C828ED">
        <w:t xml:space="preserve"> vorliegende</w:t>
      </w:r>
      <w:r w:rsidR="005A0461">
        <w:t>, sphärische Partik</w:t>
      </w:r>
      <w:r w:rsidR="006040E4">
        <w:t>el mit einer Größe zwischen 100 nm bis zu mehreren Mi</w:t>
      </w:r>
      <w:r w:rsidR="005A0461">
        <w:t xml:space="preserve">krometern zu erkennen. </w:t>
      </w:r>
      <w:r w:rsidR="00C828ED">
        <w:t>Die Primärpartikel aus PLGA können</w:t>
      </w:r>
      <w:r w:rsidR="005A0461">
        <w:t xml:space="preserve"> in der REM Aufnah</w:t>
      </w:r>
      <w:r w:rsidR="00D460EB">
        <w:t>m</w:t>
      </w:r>
      <w:r w:rsidR="005A0461">
        <w:t xml:space="preserve">e nicht von den Hilfsstoffen PVA </w:t>
      </w:r>
      <w:r w:rsidR="00D460EB">
        <w:t>und L-Isol</w:t>
      </w:r>
      <w:r w:rsidR="00C828ED">
        <w:t>eucin differenziert werden</w:t>
      </w:r>
      <w:r w:rsidR="003D7907">
        <w:t xml:space="preserve"> und sind somit als solche nicht zu erkennen. Die </w:t>
      </w:r>
      <w:r w:rsidR="00274E42">
        <w:t>Nanop</w:t>
      </w:r>
      <w:r w:rsidR="003D7907">
        <w:t>artikel konnten jedoch nahezu vollständig in Wasser redispergiert werden. Dabei wurde ein mittlerer Partikeldurchmesser von 139 nm</w:t>
      </w:r>
      <w:r w:rsidR="00274E42">
        <w:t xml:space="preserve"> mit einem PDI von 0,072</w:t>
      </w:r>
      <w:r w:rsidR="003D7907">
        <w:t xml:space="preserve"> ge</w:t>
      </w:r>
      <w:r w:rsidR="00274E42">
        <w:t>messen (vor der</w:t>
      </w:r>
      <w:r w:rsidR="000C5374">
        <w:t xml:space="preserve"> Trocknung: 128 nm, PDI 0,014).</w:t>
      </w:r>
    </w:p>
    <w:p w14:paraId="3465336D" w14:textId="77777777" w:rsidR="00C828ED" w:rsidRPr="00671FAA" w:rsidRDefault="00274E42" w:rsidP="00671FAA">
      <w:r>
        <w:t>Di</w:t>
      </w:r>
      <w:r w:rsidR="000C5374">
        <w:t>e Ergebnisse legen den Schluss</w:t>
      </w:r>
      <w:r>
        <w:t xml:space="preserve"> nahe, dass ein kleinerer Teil der Partikel agglomerierte und nicht </w:t>
      </w:r>
      <w:r w:rsidR="0019688E">
        <w:t xml:space="preserve">in Wasser </w:t>
      </w:r>
      <w:r>
        <w:t>redispergierbar war. Dadurch erhöht</w:t>
      </w:r>
      <w:r w:rsidR="000C5374">
        <w:t>e</w:t>
      </w:r>
      <w:r>
        <w:t xml:space="preserve"> sich der mittlere Partikeldurchmesse</w:t>
      </w:r>
      <w:r w:rsidR="000C5374">
        <w:t>r leicht und die Polydispersität stieg etwas an</w:t>
      </w:r>
      <w:r>
        <w:t xml:space="preserve">. Ein Peak bei Vielfachen des ursprünglichen Partikeldurchmessers </w:t>
      </w:r>
      <w:r w:rsidR="000C5374">
        <w:t xml:space="preserve">würde auf eine Agglomeration von Partikeln hindeuten, </w:t>
      </w:r>
      <w:r>
        <w:t xml:space="preserve">konnte in der DLS Messung </w:t>
      </w:r>
      <w:r w:rsidR="000C5374">
        <w:t xml:space="preserve">jedoch </w:t>
      </w:r>
      <w:r>
        <w:t>nicht getrennt aufgelöst werden. Dies ist bei der gewählten Messmethode</w:t>
      </w:r>
      <w:r w:rsidR="000C5374">
        <w:t xml:space="preserve"> auch</w:t>
      </w:r>
      <w:r>
        <w:t xml:space="preserve"> erst </w:t>
      </w:r>
      <w:r w:rsidR="000C5374">
        <w:t xml:space="preserve">dann </w:t>
      </w:r>
      <w:r>
        <w:t>möglich, wenn eine größere Anzahl an Partikeln agglomeriert ist. Sind nur relativ wenige</w:t>
      </w:r>
      <w:r w:rsidR="0019688E">
        <w:t xml:space="preserve"> deutlich</w:t>
      </w:r>
      <w:r>
        <w:t xml:space="preserve"> größere Partikel enthalten, w</w:t>
      </w:r>
      <w:r w:rsidR="0019688E">
        <w:t xml:space="preserve">ird lediglich eine monomodale Verteilung ausgegeben und alle Partikelgrößen fließen </w:t>
      </w:r>
      <w:r w:rsidR="000C5374">
        <w:t>statistisch in diese Verteilung</w:t>
      </w:r>
      <w:r w:rsidR="0019688E">
        <w:t xml:space="preserve"> mit ein.</w:t>
      </w:r>
    </w:p>
    <w:p w14:paraId="29729CD0" w14:textId="77777777" w:rsidR="0021506B" w:rsidRDefault="00C56D57" w:rsidP="00C56D57">
      <w:pPr>
        <w:pStyle w:val="berschrift3"/>
      </w:pPr>
      <w:bookmarkStart w:id="183" w:name="_Toc294380229"/>
      <w:r>
        <w:t>Verkapselung von Desmopressin</w:t>
      </w:r>
      <w:r w:rsidR="00742DBA">
        <w:t xml:space="preserve"> in PLGA</w:t>
      </w:r>
      <w:bookmarkEnd w:id="183"/>
    </w:p>
    <w:p w14:paraId="2CF6A497" w14:textId="77777777" w:rsidR="003F61EF" w:rsidRDefault="00423D66" w:rsidP="003F61EF">
      <w:r>
        <w:t>Die Verkapselungseffizienz von Desmopressin in Nanopartikel aus Resomer</w:t>
      </w:r>
      <w:r w:rsidR="001207E1">
        <w:rPr>
          <w:vertAlign w:val="superscript"/>
        </w:rPr>
        <w:sym w:font="Symbol" w:char="F0D2"/>
      </w:r>
      <w:r>
        <w:t xml:space="preserve"> RG 503 H wurde </w:t>
      </w:r>
      <w:r w:rsidR="002F75C7">
        <w:t>mittels der optimierten Doppelemulsionsmethode untersucht. Dazu wurden jeweils drei Ansätze mit dem Microfluidizer und mit dem</w:t>
      </w:r>
      <w:r>
        <w:t xml:space="preserve"> Ultra-Turrax hergestellt.</w:t>
      </w:r>
    </w:p>
    <w:p w14:paraId="0D150435" w14:textId="77777777" w:rsidR="00423D66" w:rsidRDefault="00423D66" w:rsidP="003F61EF">
      <w:r>
        <w:t>Um den Desmopressingehalt der Partikel zu bestimmen, wurde</w:t>
      </w:r>
      <w:r w:rsidR="009C67D4">
        <w:t>n die Polymerpartikel zunächst vollständig aufgelöst. Dazu wurde</w:t>
      </w:r>
      <w:r>
        <w:t xml:space="preserve"> eine definierte Menge der Formulierung in destilliertem Wasser suspendiert und anschließend mit </w:t>
      </w:r>
      <w:r w:rsidR="000C5374">
        <w:t>einer 1,0</w:t>
      </w:r>
      <w:r w:rsidR="002F75C7">
        <w:t xml:space="preserve"> molaren Natriumhydroxi</w:t>
      </w:r>
      <w:r>
        <w:t xml:space="preserve">dlösung versetzt </w:t>
      </w:r>
      <w:r>
        <w:lastRenderedPageBreak/>
        <w:t>und für 30 Sekunden inkubiert. Nach Ablauf der 30 Sekunden wurde die Lauge sof</w:t>
      </w:r>
      <w:r w:rsidR="000C5374">
        <w:t>ort mit dem gleichen Volumen 1,0</w:t>
      </w:r>
      <w:r>
        <w:t xml:space="preserve"> molarer Salzsäure neutralisiert. Nun lag eine klare Lösung vor,</w:t>
      </w:r>
      <w:r w:rsidR="000C5374">
        <w:t xml:space="preserve"> die per HPLC Methode analysiert</w:t>
      </w:r>
      <w:r>
        <w:t xml:space="preserve"> werden konnte.</w:t>
      </w:r>
    </w:p>
    <w:p w14:paraId="7A4F2670" w14:textId="77777777" w:rsidR="00423D66" w:rsidRDefault="00423D66" w:rsidP="00C66003">
      <w:r>
        <w:t>Die Ergebnisse der Mik</w:t>
      </w:r>
      <w:r w:rsidR="009B797C">
        <w:t>roverkapselungsversuche</w:t>
      </w:r>
      <w:r w:rsidR="000C5374">
        <w:t xml:space="preserve"> mit Resomer</w:t>
      </w:r>
      <w:r w:rsidR="000C5374">
        <w:rPr>
          <w:vertAlign w:val="superscript"/>
        </w:rPr>
        <w:sym w:font="Symbol" w:char="F0D2"/>
      </w:r>
      <w:r w:rsidR="000C5374">
        <w:t> RG 503 H</w:t>
      </w:r>
      <w:r w:rsidR="009B797C">
        <w:t xml:space="preserve"> wurden in </w:t>
      </w:r>
      <w:r w:rsidR="00D16240">
        <w:fldChar w:fldCharType="begin"/>
      </w:r>
      <w:r w:rsidR="009B797C">
        <w:instrText xml:space="preserve"> REF _Ref275471957 \h </w:instrText>
      </w:r>
      <w:r w:rsidR="00D16240">
        <w:fldChar w:fldCharType="separate"/>
      </w:r>
      <w:r w:rsidR="00711AB8" w:rsidRPr="009B797C">
        <w:t xml:space="preserve">Tabelle </w:t>
      </w:r>
      <w:r w:rsidR="00711AB8">
        <w:rPr>
          <w:noProof/>
        </w:rPr>
        <w:t>14</w:t>
      </w:r>
      <w:r w:rsidR="00D16240">
        <w:fldChar w:fldCharType="end"/>
      </w:r>
      <w:r w:rsidR="009B797C">
        <w:t xml:space="preserve"> zusammengefasst.</w:t>
      </w:r>
    </w:p>
    <w:p w14:paraId="498297F0" w14:textId="77777777" w:rsidR="009B797C" w:rsidRDefault="009B797C" w:rsidP="009B797C">
      <w:pPr>
        <w:spacing w:after="0"/>
      </w:pPr>
    </w:p>
    <w:p w14:paraId="320BB8C4" w14:textId="77777777" w:rsidR="009B797C" w:rsidRPr="009B797C" w:rsidRDefault="009B797C" w:rsidP="00064F9B">
      <w:pPr>
        <w:pStyle w:val="Beschriftung"/>
        <w:ind w:firstLine="0"/>
        <w:rPr>
          <w:b w:val="0"/>
        </w:rPr>
      </w:pPr>
      <w:bookmarkStart w:id="184" w:name="_Ref275471957"/>
      <w:r w:rsidRPr="009B797C">
        <w:t xml:space="preserve">Tabelle </w:t>
      </w:r>
      <w:fldSimple w:instr=" SEQ Tabelle \* ARABIC ">
        <w:r w:rsidR="00711AB8">
          <w:rPr>
            <w:noProof/>
          </w:rPr>
          <w:t>14</w:t>
        </w:r>
      </w:fldSimple>
      <w:bookmarkEnd w:id="184"/>
      <w:r>
        <w:t xml:space="preserve"> </w:t>
      </w:r>
      <w:r>
        <w:rPr>
          <w:b w:val="0"/>
        </w:rPr>
        <w:t>Ergebnisse der Mikroverkapselung von Desmopressin in Resomer</w:t>
      </w:r>
      <w:r w:rsidR="00064F9B" w:rsidRPr="00902C2E">
        <w:rPr>
          <w:vertAlign w:val="superscript"/>
        </w:rPr>
        <w:t>®</w:t>
      </w:r>
      <w:r>
        <w:rPr>
          <w:b w:val="0"/>
        </w:rPr>
        <w:t xml:space="preserve"> RG 503 H mittels optimierter Doppelemulsionsmethode</w:t>
      </w:r>
      <w:r w:rsidR="003642FC">
        <w:rPr>
          <w:b w:val="0"/>
        </w:rPr>
        <w:t>; Verkapselungseffizienz: Anteil an verkapselter Masse zu eingesetzter Masse Desmopressin; Beladungsgrad: Massenanteil von verkapseltem Desmopressin an der Gesamtmasse der Partikel</w:t>
      </w:r>
      <w:r w:rsidR="00906DB9">
        <w:rPr>
          <w:b w:val="0"/>
        </w:rPr>
        <w:t>.</w:t>
      </w:r>
    </w:p>
    <w:tbl>
      <w:tblPr>
        <w:tblStyle w:val="Tabellenraster"/>
        <w:tblW w:w="0" w:type="auto"/>
        <w:jc w:val="center"/>
        <w:tblLook w:val="04A0" w:firstRow="1" w:lastRow="0" w:firstColumn="1" w:lastColumn="0" w:noHBand="0" w:noVBand="1"/>
      </w:tblPr>
      <w:tblGrid>
        <w:gridCol w:w="1813"/>
        <w:gridCol w:w="1825"/>
        <w:gridCol w:w="1825"/>
        <w:gridCol w:w="1829"/>
        <w:gridCol w:w="1996"/>
      </w:tblGrid>
      <w:tr w:rsidR="00423D66" w:rsidRPr="00423D66" w14:paraId="16B3F2F9" w14:textId="77777777" w:rsidTr="00041FCE">
        <w:trPr>
          <w:jc w:val="center"/>
        </w:trPr>
        <w:tc>
          <w:tcPr>
            <w:tcW w:w="1842" w:type="dxa"/>
            <w:tcBorders>
              <w:top w:val="single" w:sz="8" w:space="0" w:color="auto"/>
              <w:left w:val="single" w:sz="8" w:space="0" w:color="auto"/>
              <w:bottom w:val="single" w:sz="8" w:space="0" w:color="auto"/>
              <w:right w:val="single" w:sz="8" w:space="0" w:color="auto"/>
            </w:tcBorders>
            <w:shd w:val="clear" w:color="auto" w:fill="E6E6E6"/>
            <w:vAlign w:val="center"/>
          </w:tcPr>
          <w:p w14:paraId="06BC043C" w14:textId="77777777" w:rsidR="00423D66" w:rsidRPr="00423D66" w:rsidRDefault="00423D66" w:rsidP="00423D66">
            <w:pPr>
              <w:jc w:val="center"/>
              <w:rPr>
                <w:b/>
                <w:sz w:val="18"/>
                <w:szCs w:val="18"/>
              </w:rPr>
            </w:pPr>
            <w:r>
              <w:rPr>
                <w:b/>
                <w:sz w:val="18"/>
                <w:szCs w:val="18"/>
              </w:rPr>
              <w:t>Versuch Nr.</w:t>
            </w:r>
          </w:p>
        </w:tc>
        <w:tc>
          <w:tcPr>
            <w:tcW w:w="1842" w:type="dxa"/>
            <w:tcBorders>
              <w:top w:val="single" w:sz="8" w:space="0" w:color="auto"/>
              <w:left w:val="single" w:sz="8" w:space="0" w:color="auto"/>
              <w:bottom w:val="single" w:sz="8" w:space="0" w:color="auto"/>
              <w:right w:val="single" w:sz="8" w:space="0" w:color="auto"/>
            </w:tcBorders>
            <w:shd w:val="clear" w:color="auto" w:fill="E6E6E6"/>
            <w:vAlign w:val="center"/>
          </w:tcPr>
          <w:p w14:paraId="75FB1AC8" w14:textId="77777777" w:rsidR="00423D66" w:rsidRPr="00423D66" w:rsidRDefault="002337B0" w:rsidP="00423D66">
            <w:pPr>
              <w:jc w:val="center"/>
              <w:rPr>
                <w:b/>
                <w:sz w:val="18"/>
                <w:szCs w:val="18"/>
              </w:rPr>
            </w:pPr>
            <w:r>
              <w:rPr>
                <w:b/>
                <w:sz w:val="18"/>
                <w:szCs w:val="18"/>
              </w:rPr>
              <w:t>Methode</w:t>
            </w:r>
          </w:p>
        </w:tc>
        <w:tc>
          <w:tcPr>
            <w:tcW w:w="1842" w:type="dxa"/>
            <w:tcBorders>
              <w:top w:val="single" w:sz="8" w:space="0" w:color="auto"/>
              <w:left w:val="single" w:sz="8" w:space="0" w:color="auto"/>
              <w:bottom w:val="single" w:sz="8" w:space="0" w:color="auto"/>
              <w:right w:val="single" w:sz="8" w:space="0" w:color="auto"/>
            </w:tcBorders>
            <w:shd w:val="clear" w:color="auto" w:fill="E6E6E6"/>
            <w:vAlign w:val="center"/>
          </w:tcPr>
          <w:p w14:paraId="3D3F5235" w14:textId="77777777" w:rsidR="00423D66" w:rsidRPr="00423D66" w:rsidRDefault="002337B0" w:rsidP="00423D66">
            <w:pPr>
              <w:jc w:val="center"/>
              <w:rPr>
                <w:b/>
                <w:sz w:val="18"/>
                <w:szCs w:val="18"/>
              </w:rPr>
            </w:pPr>
            <w:r>
              <w:rPr>
                <w:b/>
                <w:sz w:val="18"/>
                <w:szCs w:val="18"/>
              </w:rPr>
              <w:t>Partikelgröße [nm] / PDI</w:t>
            </w:r>
          </w:p>
        </w:tc>
        <w:tc>
          <w:tcPr>
            <w:tcW w:w="1843" w:type="dxa"/>
            <w:tcBorders>
              <w:top w:val="single" w:sz="8" w:space="0" w:color="auto"/>
              <w:left w:val="single" w:sz="8" w:space="0" w:color="auto"/>
              <w:bottom w:val="single" w:sz="8" w:space="0" w:color="auto"/>
              <w:right w:val="single" w:sz="8" w:space="0" w:color="auto"/>
            </w:tcBorders>
            <w:shd w:val="clear" w:color="auto" w:fill="E6E6E6"/>
            <w:vAlign w:val="center"/>
          </w:tcPr>
          <w:p w14:paraId="4141964B" w14:textId="77777777" w:rsidR="00423D66" w:rsidRPr="00423D66" w:rsidRDefault="002337B0" w:rsidP="00423D66">
            <w:pPr>
              <w:jc w:val="center"/>
              <w:rPr>
                <w:b/>
                <w:sz w:val="18"/>
                <w:szCs w:val="18"/>
              </w:rPr>
            </w:pPr>
            <w:r>
              <w:rPr>
                <w:b/>
                <w:sz w:val="18"/>
                <w:szCs w:val="18"/>
              </w:rPr>
              <w:t>Beladungsgrad</w:t>
            </w:r>
          </w:p>
        </w:tc>
        <w:tc>
          <w:tcPr>
            <w:tcW w:w="1843" w:type="dxa"/>
            <w:tcBorders>
              <w:top w:val="single" w:sz="8" w:space="0" w:color="auto"/>
              <w:left w:val="single" w:sz="8" w:space="0" w:color="auto"/>
              <w:bottom w:val="single" w:sz="8" w:space="0" w:color="auto"/>
              <w:right w:val="single" w:sz="8" w:space="0" w:color="auto"/>
            </w:tcBorders>
            <w:shd w:val="clear" w:color="auto" w:fill="E6E6E6"/>
            <w:vAlign w:val="center"/>
          </w:tcPr>
          <w:p w14:paraId="0C2F8953" w14:textId="77777777" w:rsidR="00423D66" w:rsidRPr="00423D66" w:rsidRDefault="002337B0" w:rsidP="00423D66">
            <w:pPr>
              <w:jc w:val="center"/>
              <w:rPr>
                <w:b/>
                <w:sz w:val="18"/>
                <w:szCs w:val="18"/>
              </w:rPr>
            </w:pPr>
            <w:r>
              <w:rPr>
                <w:b/>
                <w:sz w:val="18"/>
                <w:szCs w:val="18"/>
              </w:rPr>
              <w:t>Verkapselungseffizienz</w:t>
            </w:r>
          </w:p>
        </w:tc>
      </w:tr>
      <w:tr w:rsidR="00423D66" w14:paraId="113C2549" w14:textId="77777777" w:rsidTr="00041FCE">
        <w:trPr>
          <w:trHeight w:val="340"/>
          <w:jc w:val="center"/>
        </w:trPr>
        <w:tc>
          <w:tcPr>
            <w:tcW w:w="1842" w:type="dxa"/>
            <w:tcBorders>
              <w:top w:val="single" w:sz="8" w:space="0" w:color="auto"/>
              <w:left w:val="single" w:sz="8" w:space="0" w:color="auto"/>
            </w:tcBorders>
            <w:vAlign w:val="center"/>
          </w:tcPr>
          <w:p w14:paraId="107CE851" w14:textId="77777777" w:rsidR="00423D66" w:rsidRPr="00423D66" w:rsidRDefault="002337B0" w:rsidP="000545B3">
            <w:pPr>
              <w:spacing w:line="240" w:lineRule="auto"/>
              <w:jc w:val="center"/>
              <w:rPr>
                <w:sz w:val="18"/>
                <w:szCs w:val="18"/>
              </w:rPr>
            </w:pPr>
            <w:r>
              <w:rPr>
                <w:sz w:val="18"/>
                <w:szCs w:val="18"/>
              </w:rPr>
              <w:t>1</w:t>
            </w:r>
          </w:p>
        </w:tc>
        <w:tc>
          <w:tcPr>
            <w:tcW w:w="1842" w:type="dxa"/>
            <w:tcBorders>
              <w:top w:val="single" w:sz="8" w:space="0" w:color="auto"/>
            </w:tcBorders>
            <w:vAlign w:val="center"/>
          </w:tcPr>
          <w:p w14:paraId="22E92533" w14:textId="77777777" w:rsidR="00423D66" w:rsidRPr="00423D66" w:rsidRDefault="002337B0" w:rsidP="000545B3">
            <w:pPr>
              <w:spacing w:line="240" w:lineRule="auto"/>
              <w:jc w:val="center"/>
              <w:rPr>
                <w:sz w:val="18"/>
                <w:szCs w:val="18"/>
              </w:rPr>
            </w:pPr>
            <w:r>
              <w:rPr>
                <w:sz w:val="18"/>
                <w:szCs w:val="18"/>
              </w:rPr>
              <w:t>Microfluidizer</w:t>
            </w:r>
          </w:p>
        </w:tc>
        <w:tc>
          <w:tcPr>
            <w:tcW w:w="1842" w:type="dxa"/>
            <w:tcBorders>
              <w:top w:val="single" w:sz="8" w:space="0" w:color="auto"/>
            </w:tcBorders>
            <w:vAlign w:val="center"/>
          </w:tcPr>
          <w:p w14:paraId="6544CAB9" w14:textId="77777777" w:rsidR="00423D66" w:rsidRPr="00423D66" w:rsidRDefault="002337B0" w:rsidP="000545B3">
            <w:pPr>
              <w:spacing w:line="240" w:lineRule="auto"/>
              <w:jc w:val="center"/>
              <w:rPr>
                <w:sz w:val="18"/>
                <w:szCs w:val="18"/>
              </w:rPr>
            </w:pPr>
            <w:r>
              <w:rPr>
                <w:sz w:val="18"/>
                <w:szCs w:val="18"/>
              </w:rPr>
              <w:t>165 / 0,008</w:t>
            </w:r>
          </w:p>
        </w:tc>
        <w:tc>
          <w:tcPr>
            <w:tcW w:w="1843" w:type="dxa"/>
            <w:tcBorders>
              <w:top w:val="single" w:sz="8" w:space="0" w:color="auto"/>
            </w:tcBorders>
            <w:vAlign w:val="center"/>
          </w:tcPr>
          <w:p w14:paraId="1B221A10" w14:textId="77777777" w:rsidR="00423D66" w:rsidRPr="00423D66" w:rsidRDefault="002337B0" w:rsidP="000545B3">
            <w:pPr>
              <w:spacing w:line="240" w:lineRule="auto"/>
              <w:jc w:val="center"/>
              <w:rPr>
                <w:sz w:val="18"/>
                <w:szCs w:val="18"/>
              </w:rPr>
            </w:pPr>
            <w:r>
              <w:rPr>
                <w:sz w:val="18"/>
                <w:szCs w:val="18"/>
              </w:rPr>
              <w:t>1,04%</w:t>
            </w:r>
          </w:p>
        </w:tc>
        <w:tc>
          <w:tcPr>
            <w:tcW w:w="1843" w:type="dxa"/>
            <w:tcBorders>
              <w:top w:val="single" w:sz="8" w:space="0" w:color="auto"/>
              <w:right w:val="single" w:sz="8" w:space="0" w:color="auto"/>
            </w:tcBorders>
            <w:vAlign w:val="center"/>
          </w:tcPr>
          <w:p w14:paraId="064E9F26" w14:textId="77777777" w:rsidR="00423D66" w:rsidRPr="00423D66" w:rsidRDefault="002337B0" w:rsidP="000545B3">
            <w:pPr>
              <w:spacing w:line="240" w:lineRule="auto"/>
              <w:jc w:val="center"/>
              <w:rPr>
                <w:sz w:val="18"/>
                <w:szCs w:val="18"/>
              </w:rPr>
            </w:pPr>
            <w:r>
              <w:rPr>
                <w:sz w:val="18"/>
                <w:szCs w:val="18"/>
              </w:rPr>
              <w:t>9,1%</w:t>
            </w:r>
          </w:p>
        </w:tc>
      </w:tr>
      <w:tr w:rsidR="00423D66" w14:paraId="5109E965" w14:textId="77777777" w:rsidTr="00041FCE">
        <w:trPr>
          <w:trHeight w:val="340"/>
          <w:jc w:val="center"/>
        </w:trPr>
        <w:tc>
          <w:tcPr>
            <w:tcW w:w="1842" w:type="dxa"/>
            <w:tcBorders>
              <w:left w:val="single" w:sz="8" w:space="0" w:color="auto"/>
            </w:tcBorders>
            <w:vAlign w:val="center"/>
          </w:tcPr>
          <w:p w14:paraId="4B6F2900" w14:textId="77777777" w:rsidR="00423D66" w:rsidRPr="00423D66" w:rsidRDefault="002337B0" w:rsidP="000545B3">
            <w:pPr>
              <w:spacing w:line="240" w:lineRule="auto"/>
              <w:jc w:val="center"/>
              <w:rPr>
                <w:sz w:val="18"/>
                <w:szCs w:val="18"/>
              </w:rPr>
            </w:pPr>
            <w:r>
              <w:rPr>
                <w:sz w:val="18"/>
                <w:szCs w:val="18"/>
              </w:rPr>
              <w:t>2</w:t>
            </w:r>
          </w:p>
        </w:tc>
        <w:tc>
          <w:tcPr>
            <w:tcW w:w="1842" w:type="dxa"/>
            <w:vAlign w:val="center"/>
          </w:tcPr>
          <w:p w14:paraId="0284C9C8" w14:textId="77777777" w:rsidR="00423D66" w:rsidRPr="00423D66" w:rsidRDefault="002337B0" w:rsidP="000545B3">
            <w:pPr>
              <w:spacing w:line="240" w:lineRule="auto"/>
              <w:jc w:val="center"/>
              <w:rPr>
                <w:sz w:val="18"/>
                <w:szCs w:val="18"/>
              </w:rPr>
            </w:pPr>
            <w:r>
              <w:rPr>
                <w:sz w:val="18"/>
                <w:szCs w:val="18"/>
              </w:rPr>
              <w:t>Microfluidizer</w:t>
            </w:r>
          </w:p>
        </w:tc>
        <w:tc>
          <w:tcPr>
            <w:tcW w:w="1842" w:type="dxa"/>
            <w:vAlign w:val="center"/>
          </w:tcPr>
          <w:p w14:paraId="3B3DBCE5" w14:textId="77777777" w:rsidR="00423D66" w:rsidRPr="00423D66" w:rsidRDefault="002337B0" w:rsidP="000545B3">
            <w:pPr>
              <w:spacing w:line="240" w:lineRule="auto"/>
              <w:jc w:val="center"/>
              <w:rPr>
                <w:sz w:val="18"/>
                <w:szCs w:val="18"/>
              </w:rPr>
            </w:pPr>
            <w:r>
              <w:rPr>
                <w:sz w:val="18"/>
                <w:szCs w:val="18"/>
              </w:rPr>
              <w:t>310 / 0,045</w:t>
            </w:r>
          </w:p>
        </w:tc>
        <w:tc>
          <w:tcPr>
            <w:tcW w:w="1843" w:type="dxa"/>
            <w:vAlign w:val="center"/>
          </w:tcPr>
          <w:p w14:paraId="4A8482B9" w14:textId="77777777" w:rsidR="00423D66" w:rsidRPr="00423D66" w:rsidRDefault="009B797C" w:rsidP="000545B3">
            <w:pPr>
              <w:spacing w:line="240" w:lineRule="auto"/>
              <w:jc w:val="center"/>
              <w:rPr>
                <w:sz w:val="18"/>
                <w:szCs w:val="18"/>
              </w:rPr>
            </w:pPr>
            <w:r>
              <w:rPr>
                <w:sz w:val="18"/>
                <w:szCs w:val="18"/>
              </w:rPr>
              <w:t>0,71%</w:t>
            </w:r>
          </w:p>
        </w:tc>
        <w:tc>
          <w:tcPr>
            <w:tcW w:w="1843" w:type="dxa"/>
            <w:tcBorders>
              <w:right w:val="single" w:sz="8" w:space="0" w:color="auto"/>
            </w:tcBorders>
            <w:vAlign w:val="center"/>
          </w:tcPr>
          <w:p w14:paraId="5897C268" w14:textId="77777777" w:rsidR="00423D66" w:rsidRPr="00423D66" w:rsidRDefault="002337B0" w:rsidP="000545B3">
            <w:pPr>
              <w:spacing w:line="240" w:lineRule="auto"/>
              <w:jc w:val="center"/>
              <w:rPr>
                <w:sz w:val="18"/>
                <w:szCs w:val="18"/>
              </w:rPr>
            </w:pPr>
            <w:r>
              <w:rPr>
                <w:sz w:val="18"/>
                <w:szCs w:val="18"/>
              </w:rPr>
              <w:t>6,8%</w:t>
            </w:r>
          </w:p>
        </w:tc>
      </w:tr>
      <w:tr w:rsidR="00423D66" w14:paraId="45F8C84F" w14:textId="77777777" w:rsidTr="00041FCE">
        <w:trPr>
          <w:trHeight w:val="340"/>
          <w:jc w:val="center"/>
        </w:trPr>
        <w:tc>
          <w:tcPr>
            <w:tcW w:w="1842" w:type="dxa"/>
            <w:tcBorders>
              <w:left w:val="single" w:sz="8" w:space="0" w:color="auto"/>
            </w:tcBorders>
            <w:vAlign w:val="center"/>
          </w:tcPr>
          <w:p w14:paraId="044BAAD3" w14:textId="77777777" w:rsidR="00423D66" w:rsidRPr="00423D66" w:rsidRDefault="002337B0" w:rsidP="000545B3">
            <w:pPr>
              <w:spacing w:line="240" w:lineRule="auto"/>
              <w:jc w:val="center"/>
              <w:rPr>
                <w:sz w:val="18"/>
                <w:szCs w:val="18"/>
              </w:rPr>
            </w:pPr>
            <w:r>
              <w:rPr>
                <w:sz w:val="18"/>
                <w:szCs w:val="18"/>
              </w:rPr>
              <w:t>3</w:t>
            </w:r>
          </w:p>
        </w:tc>
        <w:tc>
          <w:tcPr>
            <w:tcW w:w="1842" w:type="dxa"/>
            <w:vAlign w:val="center"/>
          </w:tcPr>
          <w:p w14:paraId="65E5200A" w14:textId="77777777" w:rsidR="00423D66" w:rsidRPr="00423D66" w:rsidRDefault="002337B0" w:rsidP="000545B3">
            <w:pPr>
              <w:spacing w:line="240" w:lineRule="auto"/>
              <w:jc w:val="center"/>
              <w:rPr>
                <w:sz w:val="18"/>
                <w:szCs w:val="18"/>
              </w:rPr>
            </w:pPr>
            <w:r>
              <w:rPr>
                <w:sz w:val="18"/>
                <w:szCs w:val="18"/>
              </w:rPr>
              <w:t>Microfluidizer</w:t>
            </w:r>
          </w:p>
        </w:tc>
        <w:tc>
          <w:tcPr>
            <w:tcW w:w="1842" w:type="dxa"/>
            <w:vAlign w:val="center"/>
          </w:tcPr>
          <w:p w14:paraId="220B1319" w14:textId="77777777" w:rsidR="00423D66" w:rsidRPr="00423D66" w:rsidRDefault="002337B0" w:rsidP="000545B3">
            <w:pPr>
              <w:spacing w:line="240" w:lineRule="auto"/>
              <w:jc w:val="center"/>
              <w:rPr>
                <w:sz w:val="18"/>
                <w:szCs w:val="18"/>
              </w:rPr>
            </w:pPr>
            <w:r>
              <w:rPr>
                <w:sz w:val="18"/>
                <w:szCs w:val="18"/>
              </w:rPr>
              <w:t>264 / 0,049</w:t>
            </w:r>
          </w:p>
        </w:tc>
        <w:tc>
          <w:tcPr>
            <w:tcW w:w="1843" w:type="dxa"/>
            <w:vAlign w:val="center"/>
          </w:tcPr>
          <w:p w14:paraId="1DE87C67" w14:textId="77777777" w:rsidR="00423D66" w:rsidRPr="00423D66" w:rsidRDefault="002337B0" w:rsidP="000545B3">
            <w:pPr>
              <w:spacing w:line="240" w:lineRule="auto"/>
              <w:jc w:val="center"/>
              <w:rPr>
                <w:sz w:val="18"/>
                <w:szCs w:val="18"/>
              </w:rPr>
            </w:pPr>
            <w:r>
              <w:rPr>
                <w:sz w:val="18"/>
                <w:szCs w:val="18"/>
              </w:rPr>
              <w:t>0,62%</w:t>
            </w:r>
          </w:p>
        </w:tc>
        <w:tc>
          <w:tcPr>
            <w:tcW w:w="1843" w:type="dxa"/>
            <w:tcBorders>
              <w:right w:val="single" w:sz="8" w:space="0" w:color="auto"/>
            </w:tcBorders>
            <w:vAlign w:val="center"/>
          </w:tcPr>
          <w:p w14:paraId="7AF9387B" w14:textId="77777777" w:rsidR="00423D66" w:rsidRPr="00423D66" w:rsidRDefault="002337B0" w:rsidP="000545B3">
            <w:pPr>
              <w:spacing w:line="240" w:lineRule="auto"/>
              <w:jc w:val="center"/>
              <w:rPr>
                <w:sz w:val="18"/>
                <w:szCs w:val="18"/>
              </w:rPr>
            </w:pPr>
            <w:r>
              <w:rPr>
                <w:sz w:val="18"/>
                <w:szCs w:val="18"/>
              </w:rPr>
              <w:t>5,5%</w:t>
            </w:r>
          </w:p>
        </w:tc>
      </w:tr>
      <w:tr w:rsidR="002337B0" w14:paraId="02DBB79C" w14:textId="77777777" w:rsidTr="00041FCE">
        <w:trPr>
          <w:trHeight w:val="340"/>
          <w:jc w:val="center"/>
        </w:trPr>
        <w:tc>
          <w:tcPr>
            <w:tcW w:w="1842" w:type="dxa"/>
            <w:tcBorders>
              <w:left w:val="single" w:sz="8" w:space="0" w:color="auto"/>
            </w:tcBorders>
            <w:vAlign w:val="center"/>
          </w:tcPr>
          <w:p w14:paraId="742961D4" w14:textId="77777777" w:rsidR="002337B0" w:rsidRDefault="002337B0" w:rsidP="000545B3">
            <w:pPr>
              <w:spacing w:line="240" w:lineRule="auto"/>
              <w:jc w:val="center"/>
              <w:rPr>
                <w:sz w:val="18"/>
                <w:szCs w:val="18"/>
              </w:rPr>
            </w:pPr>
            <w:r>
              <w:rPr>
                <w:sz w:val="18"/>
                <w:szCs w:val="18"/>
              </w:rPr>
              <w:t>4</w:t>
            </w:r>
          </w:p>
        </w:tc>
        <w:tc>
          <w:tcPr>
            <w:tcW w:w="1842" w:type="dxa"/>
            <w:vAlign w:val="center"/>
          </w:tcPr>
          <w:p w14:paraId="729AE7C4" w14:textId="77777777" w:rsidR="002337B0" w:rsidRPr="00423D66" w:rsidRDefault="002337B0" w:rsidP="000545B3">
            <w:pPr>
              <w:spacing w:line="240" w:lineRule="auto"/>
              <w:jc w:val="center"/>
              <w:rPr>
                <w:sz w:val="18"/>
                <w:szCs w:val="18"/>
              </w:rPr>
            </w:pPr>
            <w:r>
              <w:rPr>
                <w:sz w:val="18"/>
                <w:szCs w:val="18"/>
              </w:rPr>
              <w:t>Ultra-Turrax</w:t>
            </w:r>
          </w:p>
        </w:tc>
        <w:tc>
          <w:tcPr>
            <w:tcW w:w="1842" w:type="dxa"/>
            <w:vAlign w:val="center"/>
          </w:tcPr>
          <w:p w14:paraId="3BBA3DD1" w14:textId="77777777" w:rsidR="002337B0" w:rsidRPr="00423D66" w:rsidRDefault="009B797C" w:rsidP="000545B3">
            <w:pPr>
              <w:spacing w:line="240" w:lineRule="auto"/>
              <w:jc w:val="center"/>
              <w:rPr>
                <w:sz w:val="18"/>
                <w:szCs w:val="18"/>
              </w:rPr>
            </w:pPr>
            <w:r>
              <w:rPr>
                <w:sz w:val="18"/>
                <w:szCs w:val="18"/>
              </w:rPr>
              <w:t>301 / 0,048</w:t>
            </w:r>
          </w:p>
        </w:tc>
        <w:tc>
          <w:tcPr>
            <w:tcW w:w="1843" w:type="dxa"/>
            <w:vAlign w:val="center"/>
          </w:tcPr>
          <w:p w14:paraId="72E25F41" w14:textId="77777777" w:rsidR="002337B0" w:rsidRPr="00423D66" w:rsidRDefault="009B797C" w:rsidP="000545B3">
            <w:pPr>
              <w:spacing w:line="240" w:lineRule="auto"/>
              <w:jc w:val="center"/>
              <w:rPr>
                <w:sz w:val="18"/>
                <w:szCs w:val="18"/>
              </w:rPr>
            </w:pPr>
            <w:r>
              <w:rPr>
                <w:sz w:val="18"/>
                <w:szCs w:val="18"/>
              </w:rPr>
              <w:t>1,21%</w:t>
            </w:r>
          </w:p>
        </w:tc>
        <w:tc>
          <w:tcPr>
            <w:tcW w:w="1843" w:type="dxa"/>
            <w:tcBorders>
              <w:right w:val="single" w:sz="8" w:space="0" w:color="auto"/>
            </w:tcBorders>
            <w:vAlign w:val="center"/>
          </w:tcPr>
          <w:p w14:paraId="716D22C4" w14:textId="77777777" w:rsidR="002337B0" w:rsidRPr="00423D66" w:rsidRDefault="009B797C" w:rsidP="000545B3">
            <w:pPr>
              <w:spacing w:line="240" w:lineRule="auto"/>
              <w:jc w:val="center"/>
              <w:rPr>
                <w:sz w:val="18"/>
                <w:szCs w:val="18"/>
              </w:rPr>
            </w:pPr>
            <w:r>
              <w:rPr>
                <w:sz w:val="18"/>
                <w:szCs w:val="18"/>
              </w:rPr>
              <w:t>10,3%</w:t>
            </w:r>
          </w:p>
        </w:tc>
      </w:tr>
      <w:tr w:rsidR="002337B0" w14:paraId="5FED10D9" w14:textId="77777777" w:rsidTr="00041FCE">
        <w:trPr>
          <w:trHeight w:val="340"/>
          <w:jc w:val="center"/>
        </w:trPr>
        <w:tc>
          <w:tcPr>
            <w:tcW w:w="1842" w:type="dxa"/>
            <w:tcBorders>
              <w:left w:val="single" w:sz="8" w:space="0" w:color="auto"/>
            </w:tcBorders>
            <w:vAlign w:val="center"/>
          </w:tcPr>
          <w:p w14:paraId="421F9FA2" w14:textId="77777777" w:rsidR="002337B0" w:rsidRDefault="002337B0" w:rsidP="000545B3">
            <w:pPr>
              <w:spacing w:line="240" w:lineRule="auto"/>
              <w:jc w:val="center"/>
              <w:rPr>
                <w:sz w:val="18"/>
                <w:szCs w:val="18"/>
              </w:rPr>
            </w:pPr>
            <w:r>
              <w:rPr>
                <w:sz w:val="18"/>
                <w:szCs w:val="18"/>
              </w:rPr>
              <w:t>5</w:t>
            </w:r>
          </w:p>
        </w:tc>
        <w:tc>
          <w:tcPr>
            <w:tcW w:w="1842" w:type="dxa"/>
            <w:vAlign w:val="center"/>
          </w:tcPr>
          <w:p w14:paraId="523BDA07" w14:textId="77777777" w:rsidR="002337B0" w:rsidRPr="00423D66" w:rsidRDefault="002337B0" w:rsidP="000545B3">
            <w:pPr>
              <w:spacing w:line="240" w:lineRule="auto"/>
              <w:jc w:val="center"/>
              <w:rPr>
                <w:sz w:val="18"/>
                <w:szCs w:val="18"/>
              </w:rPr>
            </w:pPr>
            <w:r>
              <w:rPr>
                <w:sz w:val="18"/>
                <w:szCs w:val="18"/>
              </w:rPr>
              <w:t>Ultra-Turrax</w:t>
            </w:r>
          </w:p>
        </w:tc>
        <w:tc>
          <w:tcPr>
            <w:tcW w:w="1842" w:type="dxa"/>
            <w:vAlign w:val="center"/>
          </w:tcPr>
          <w:p w14:paraId="5D2816A8" w14:textId="77777777" w:rsidR="002337B0" w:rsidRPr="00423D66" w:rsidRDefault="009B797C" w:rsidP="000545B3">
            <w:pPr>
              <w:spacing w:line="240" w:lineRule="auto"/>
              <w:jc w:val="center"/>
              <w:rPr>
                <w:sz w:val="18"/>
                <w:szCs w:val="18"/>
              </w:rPr>
            </w:pPr>
            <w:r>
              <w:rPr>
                <w:sz w:val="18"/>
                <w:szCs w:val="18"/>
              </w:rPr>
              <w:t>260 / 0,108</w:t>
            </w:r>
          </w:p>
        </w:tc>
        <w:tc>
          <w:tcPr>
            <w:tcW w:w="1843" w:type="dxa"/>
            <w:vAlign w:val="center"/>
          </w:tcPr>
          <w:p w14:paraId="65FA1C3F" w14:textId="77777777" w:rsidR="002337B0" w:rsidRPr="00423D66" w:rsidRDefault="009B797C" w:rsidP="000545B3">
            <w:pPr>
              <w:spacing w:line="240" w:lineRule="auto"/>
              <w:jc w:val="center"/>
              <w:rPr>
                <w:sz w:val="18"/>
                <w:szCs w:val="18"/>
              </w:rPr>
            </w:pPr>
            <w:r>
              <w:rPr>
                <w:sz w:val="18"/>
                <w:szCs w:val="18"/>
              </w:rPr>
              <w:t>0,64%</w:t>
            </w:r>
          </w:p>
        </w:tc>
        <w:tc>
          <w:tcPr>
            <w:tcW w:w="1843" w:type="dxa"/>
            <w:tcBorders>
              <w:right w:val="single" w:sz="8" w:space="0" w:color="auto"/>
            </w:tcBorders>
            <w:vAlign w:val="center"/>
          </w:tcPr>
          <w:p w14:paraId="471A8855" w14:textId="77777777" w:rsidR="002337B0" w:rsidRPr="00423D66" w:rsidRDefault="009B797C" w:rsidP="000545B3">
            <w:pPr>
              <w:spacing w:line="240" w:lineRule="auto"/>
              <w:jc w:val="center"/>
              <w:rPr>
                <w:sz w:val="18"/>
                <w:szCs w:val="18"/>
              </w:rPr>
            </w:pPr>
            <w:r>
              <w:rPr>
                <w:sz w:val="18"/>
                <w:szCs w:val="18"/>
              </w:rPr>
              <w:t>5,8%</w:t>
            </w:r>
          </w:p>
        </w:tc>
      </w:tr>
      <w:tr w:rsidR="002337B0" w14:paraId="69DC49BE" w14:textId="77777777" w:rsidTr="00041FCE">
        <w:trPr>
          <w:trHeight w:val="340"/>
          <w:jc w:val="center"/>
        </w:trPr>
        <w:tc>
          <w:tcPr>
            <w:tcW w:w="1842" w:type="dxa"/>
            <w:tcBorders>
              <w:left w:val="single" w:sz="8" w:space="0" w:color="auto"/>
              <w:bottom w:val="single" w:sz="8" w:space="0" w:color="auto"/>
            </w:tcBorders>
            <w:vAlign w:val="center"/>
          </w:tcPr>
          <w:p w14:paraId="24AC4B39" w14:textId="77777777" w:rsidR="002337B0" w:rsidRDefault="002337B0" w:rsidP="000545B3">
            <w:pPr>
              <w:spacing w:line="240" w:lineRule="auto"/>
              <w:jc w:val="center"/>
              <w:rPr>
                <w:sz w:val="18"/>
                <w:szCs w:val="18"/>
              </w:rPr>
            </w:pPr>
            <w:r>
              <w:rPr>
                <w:sz w:val="18"/>
                <w:szCs w:val="18"/>
              </w:rPr>
              <w:t>6</w:t>
            </w:r>
          </w:p>
        </w:tc>
        <w:tc>
          <w:tcPr>
            <w:tcW w:w="1842" w:type="dxa"/>
            <w:tcBorders>
              <w:bottom w:val="single" w:sz="8" w:space="0" w:color="auto"/>
            </w:tcBorders>
            <w:vAlign w:val="center"/>
          </w:tcPr>
          <w:p w14:paraId="00CE7CE3" w14:textId="77777777" w:rsidR="002337B0" w:rsidRPr="00423D66" w:rsidRDefault="002337B0" w:rsidP="000545B3">
            <w:pPr>
              <w:spacing w:line="240" w:lineRule="auto"/>
              <w:jc w:val="center"/>
              <w:rPr>
                <w:sz w:val="18"/>
                <w:szCs w:val="18"/>
              </w:rPr>
            </w:pPr>
            <w:r>
              <w:rPr>
                <w:sz w:val="18"/>
                <w:szCs w:val="18"/>
              </w:rPr>
              <w:t>Ultra-Turrax</w:t>
            </w:r>
          </w:p>
        </w:tc>
        <w:tc>
          <w:tcPr>
            <w:tcW w:w="1842" w:type="dxa"/>
            <w:tcBorders>
              <w:bottom w:val="single" w:sz="8" w:space="0" w:color="auto"/>
            </w:tcBorders>
            <w:vAlign w:val="center"/>
          </w:tcPr>
          <w:p w14:paraId="0C99C644" w14:textId="77777777" w:rsidR="002337B0" w:rsidRPr="00423D66" w:rsidRDefault="009B797C" w:rsidP="000545B3">
            <w:pPr>
              <w:spacing w:line="240" w:lineRule="auto"/>
              <w:jc w:val="center"/>
              <w:rPr>
                <w:sz w:val="18"/>
                <w:szCs w:val="18"/>
              </w:rPr>
            </w:pPr>
            <w:r>
              <w:rPr>
                <w:sz w:val="18"/>
                <w:szCs w:val="18"/>
              </w:rPr>
              <w:t>257 / 0,083</w:t>
            </w:r>
          </w:p>
        </w:tc>
        <w:tc>
          <w:tcPr>
            <w:tcW w:w="1843" w:type="dxa"/>
            <w:tcBorders>
              <w:bottom w:val="single" w:sz="8" w:space="0" w:color="auto"/>
            </w:tcBorders>
            <w:vAlign w:val="center"/>
          </w:tcPr>
          <w:p w14:paraId="0257E238" w14:textId="77777777" w:rsidR="002337B0" w:rsidRPr="00423D66" w:rsidRDefault="009B797C" w:rsidP="000545B3">
            <w:pPr>
              <w:spacing w:line="240" w:lineRule="auto"/>
              <w:jc w:val="center"/>
              <w:rPr>
                <w:sz w:val="18"/>
                <w:szCs w:val="18"/>
              </w:rPr>
            </w:pPr>
            <w:r>
              <w:rPr>
                <w:sz w:val="18"/>
                <w:szCs w:val="18"/>
              </w:rPr>
              <w:t>0,83%</w:t>
            </w:r>
          </w:p>
        </w:tc>
        <w:tc>
          <w:tcPr>
            <w:tcW w:w="1843" w:type="dxa"/>
            <w:tcBorders>
              <w:bottom w:val="single" w:sz="8" w:space="0" w:color="auto"/>
              <w:right w:val="single" w:sz="8" w:space="0" w:color="auto"/>
            </w:tcBorders>
            <w:vAlign w:val="center"/>
          </w:tcPr>
          <w:p w14:paraId="008E3036" w14:textId="77777777" w:rsidR="002337B0" w:rsidRPr="00423D66" w:rsidRDefault="009B797C" w:rsidP="000545B3">
            <w:pPr>
              <w:spacing w:line="240" w:lineRule="auto"/>
              <w:jc w:val="center"/>
              <w:rPr>
                <w:sz w:val="18"/>
                <w:szCs w:val="18"/>
              </w:rPr>
            </w:pPr>
            <w:r>
              <w:rPr>
                <w:sz w:val="18"/>
                <w:szCs w:val="18"/>
              </w:rPr>
              <w:t>7,3%</w:t>
            </w:r>
          </w:p>
        </w:tc>
      </w:tr>
    </w:tbl>
    <w:p w14:paraId="4305E71B" w14:textId="77777777" w:rsidR="00423D66" w:rsidRDefault="00423D66" w:rsidP="0071347C">
      <w:pPr>
        <w:spacing w:after="120"/>
      </w:pPr>
    </w:p>
    <w:p w14:paraId="547FC721" w14:textId="77777777" w:rsidR="009B797C" w:rsidRPr="003F61EF" w:rsidRDefault="002F75C7" w:rsidP="003F61EF">
      <w:r>
        <w:t>Bei Verwendung des Microfluidizers betrug die durchschnittliche Verkapselungseffizienz für Desmopressin 7,13% (</w:t>
      </w:r>
      <w:r>
        <w:sym w:font="Symbol" w:char="F0B1"/>
      </w:r>
      <w:r>
        <w:t>1,49%) und bei Verwendung des Ultra-Turrax 7,8% (</w:t>
      </w:r>
      <w:r>
        <w:sym w:font="Symbol" w:char="F0B1"/>
      </w:r>
      <w:r>
        <w:t xml:space="preserve">1,87%). </w:t>
      </w:r>
      <w:r w:rsidR="000C5374">
        <w:t>Zwischen beiden Methoden besteht</w:t>
      </w:r>
      <w:r>
        <w:t xml:space="preserve"> bezüglic</w:t>
      </w:r>
      <w:r w:rsidR="003642FC">
        <w:t>h der Verkapselungseffizienz von</w:t>
      </w:r>
      <w:r>
        <w:t xml:space="preserve"> Desmopressin</w:t>
      </w:r>
      <w:r w:rsidR="000C5374">
        <w:t xml:space="preserve"> kein signifikanter Unterschied, d</w:t>
      </w:r>
      <w:r w:rsidR="003642FC">
        <w:t>aher werden die Ergebnisse zu einem Mittelwert mit n=6 zusammengefasst. Die durchschnittliche Verkapselungseffizienz von Desmopressin in Nanopartikel aus Resomer</w:t>
      </w:r>
      <w:r w:rsidR="00064F9B" w:rsidRPr="00902C2E">
        <w:rPr>
          <w:vertAlign w:val="superscript"/>
        </w:rPr>
        <w:t>®</w:t>
      </w:r>
      <w:r w:rsidR="003D6D5A">
        <w:t> RG 503 H betrug</w:t>
      </w:r>
      <w:r w:rsidR="003642FC">
        <w:t xml:space="preserve"> 7,47% (</w:t>
      </w:r>
      <w:r w:rsidR="003642FC">
        <w:sym w:font="Symbol" w:char="F0B1"/>
      </w:r>
      <w:r w:rsidR="003642FC">
        <w:t>1,72%)</w:t>
      </w:r>
      <w:r w:rsidR="000545B3">
        <w:t>.</w:t>
      </w:r>
      <w:r w:rsidR="003642FC">
        <w:t xml:space="preserve"> </w:t>
      </w:r>
      <w:r w:rsidR="000545B3">
        <w:t>Der Be</w:t>
      </w:r>
      <w:r w:rsidR="003D6D5A">
        <w:t>ladungsgrad der Partikel betrug</w:t>
      </w:r>
      <w:r w:rsidR="003642FC">
        <w:t xml:space="preserve"> durchsc</w:t>
      </w:r>
      <w:r w:rsidR="000545B3">
        <w:t>hnittlich</w:t>
      </w:r>
      <w:r w:rsidR="003642FC">
        <w:t xml:space="preserve"> 0,84% (</w:t>
      </w:r>
      <w:r w:rsidR="003642FC">
        <w:sym w:font="Symbol" w:char="F0B1"/>
      </w:r>
      <w:r w:rsidR="003642FC">
        <w:t>0,22%).</w:t>
      </w:r>
    </w:p>
    <w:p w14:paraId="45073267" w14:textId="77777777" w:rsidR="00EB73B2" w:rsidRDefault="00AE63C6" w:rsidP="00EB73B2">
      <w:pPr>
        <w:pStyle w:val="berschrift3"/>
      </w:pPr>
      <w:bookmarkStart w:id="185" w:name="_Toc294380230"/>
      <w:r>
        <w:t>Stabilität der getrockneten Partikelformulierungen</w:t>
      </w:r>
      <w:bookmarkEnd w:id="185"/>
    </w:p>
    <w:p w14:paraId="40256519" w14:textId="77777777" w:rsidR="00BB5E67" w:rsidRDefault="00A02C49" w:rsidP="000545B3">
      <w:r>
        <w:t>Die Stabilität der hergestellten Nanopartikel</w:t>
      </w:r>
      <w:r w:rsidR="00BB5E67">
        <w:t xml:space="preserve"> aus Resomer</w:t>
      </w:r>
      <w:r w:rsidR="003D6D5A" w:rsidRPr="00902C2E">
        <w:rPr>
          <w:vertAlign w:val="superscript"/>
        </w:rPr>
        <w:t>®</w:t>
      </w:r>
      <w:r w:rsidR="00BB5E67">
        <w:t xml:space="preserve"> RG 503 H </w:t>
      </w:r>
      <w:r w:rsidR="007A0DB8">
        <w:t>wurde im Verlauf des Herstellungsprozesses und nach 3 monatiger Lagerung der g</w:t>
      </w:r>
      <w:r w:rsidR="00A426B8">
        <w:t>etrockneten Formulierung bei 5 °</w:t>
      </w:r>
      <w:r w:rsidR="007A0DB8">
        <w:t>C (</w:t>
      </w:r>
      <w:r w:rsidR="007A0DB8">
        <w:sym w:font="Symbol" w:char="F0B1"/>
      </w:r>
      <w:r w:rsidR="00A426B8">
        <w:t xml:space="preserve"> </w:t>
      </w:r>
      <w:r w:rsidR="007A0DB8">
        <w:t>2</w:t>
      </w:r>
      <w:r w:rsidR="00A426B8">
        <w:t xml:space="preserve"> </w:t>
      </w:r>
      <w:r w:rsidR="007A0DB8">
        <w:t xml:space="preserve">°C) überprüft. </w:t>
      </w:r>
      <w:r w:rsidR="00DE6E80">
        <w:t>Es wurden jeweils zwei Muster von zwei unterschiedlic</w:t>
      </w:r>
      <w:r w:rsidR="005924E8">
        <w:t>hen Proben gemessen. Beide Proben, Nr. 1 und Nr. 2,</w:t>
      </w:r>
      <w:r w:rsidR="00DE6E80">
        <w:t xml:space="preserve"> wurde</w:t>
      </w:r>
      <w:r w:rsidR="005924E8">
        <w:t>n</w:t>
      </w:r>
      <w:r w:rsidR="00DE6E80">
        <w:t xml:space="preserve"> gefriergetrocknet</w:t>
      </w:r>
      <w:r w:rsidR="005924E8">
        <w:t xml:space="preserve"> (a)</w:t>
      </w:r>
      <w:r w:rsidR="00DE6E80">
        <w:t xml:space="preserve"> und sprühgetrocknet</w:t>
      </w:r>
      <w:r w:rsidR="005924E8">
        <w:t xml:space="preserve"> (b)</w:t>
      </w:r>
      <w:r w:rsidR="00DE6E80">
        <w:t xml:space="preserve">. </w:t>
      </w:r>
      <w:r w:rsidR="007A0DB8">
        <w:t xml:space="preserve">Die Ergebnisse der DLS Messungen zur Stabilitätskontrolle sind in </w:t>
      </w:r>
      <w:r w:rsidR="00D16240">
        <w:fldChar w:fldCharType="begin"/>
      </w:r>
      <w:r w:rsidR="007A0DB8">
        <w:instrText xml:space="preserve"> REF _Ref275462813 \h </w:instrText>
      </w:r>
      <w:r w:rsidR="00D16240">
        <w:fldChar w:fldCharType="separate"/>
      </w:r>
      <w:r w:rsidR="00711AB8" w:rsidRPr="007A0DB8">
        <w:t xml:space="preserve">Tabelle </w:t>
      </w:r>
      <w:r w:rsidR="00711AB8">
        <w:rPr>
          <w:noProof/>
        </w:rPr>
        <w:t>15</w:t>
      </w:r>
      <w:r w:rsidR="00D16240">
        <w:fldChar w:fldCharType="end"/>
      </w:r>
      <w:r w:rsidR="007A0DB8">
        <w:t xml:space="preserve"> dargestellt.</w:t>
      </w:r>
    </w:p>
    <w:p w14:paraId="75A43517" w14:textId="77777777" w:rsidR="000545B3" w:rsidRDefault="000545B3" w:rsidP="000545B3">
      <w:pPr>
        <w:spacing w:after="0"/>
      </w:pPr>
    </w:p>
    <w:p w14:paraId="3795985C" w14:textId="77777777" w:rsidR="00C66003" w:rsidRDefault="00C66003" w:rsidP="000545B3">
      <w:pPr>
        <w:spacing w:after="0"/>
      </w:pPr>
    </w:p>
    <w:p w14:paraId="0102D592" w14:textId="77777777" w:rsidR="00C66003" w:rsidRDefault="00C66003" w:rsidP="000545B3">
      <w:pPr>
        <w:spacing w:after="0"/>
      </w:pPr>
    </w:p>
    <w:p w14:paraId="64C7F4D7" w14:textId="77777777" w:rsidR="00C66003" w:rsidRDefault="00C66003" w:rsidP="000545B3">
      <w:pPr>
        <w:spacing w:after="0"/>
      </w:pPr>
    </w:p>
    <w:p w14:paraId="6608BBCA" w14:textId="77777777" w:rsidR="007A0DB8" w:rsidRPr="00DE6E80" w:rsidRDefault="007A0DB8" w:rsidP="003D6D5A">
      <w:pPr>
        <w:pStyle w:val="Beschriftung"/>
        <w:ind w:firstLine="0"/>
        <w:rPr>
          <w:b w:val="0"/>
        </w:rPr>
      </w:pPr>
      <w:bookmarkStart w:id="186" w:name="_Ref275462813"/>
      <w:r w:rsidRPr="007A0DB8">
        <w:lastRenderedPageBreak/>
        <w:t xml:space="preserve">Tabelle </w:t>
      </w:r>
      <w:fldSimple w:instr=" SEQ Tabelle \* ARABIC ">
        <w:r w:rsidR="00711AB8">
          <w:rPr>
            <w:noProof/>
          </w:rPr>
          <w:t>15</w:t>
        </w:r>
      </w:fldSimple>
      <w:bookmarkEnd w:id="186"/>
      <w:r>
        <w:t xml:space="preserve"> </w:t>
      </w:r>
      <w:r w:rsidR="00DE6E80">
        <w:rPr>
          <w:b w:val="0"/>
        </w:rPr>
        <w:t>Stabilitätskontrolle von Partikeln aus Resomer</w:t>
      </w:r>
      <w:r w:rsidR="003D6D5A" w:rsidRPr="00902C2E">
        <w:rPr>
          <w:vertAlign w:val="superscript"/>
        </w:rPr>
        <w:t>®</w:t>
      </w:r>
      <w:r w:rsidR="00DE6E80">
        <w:rPr>
          <w:b w:val="0"/>
        </w:rPr>
        <w:t> RG 503 H während der Herstellung und nach Lagerung der getrockneten Formulierung</w:t>
      </w:r>
      <w:r w:rsidR="005924E8">
        <w:rPr>
          <w:b w:val="0"/>
        </w:rPr>
        <w:t>en</w:t>
      </w:r>
      <w:r w:rsidR="00DE6E80">
        <w:rPr>
          <w:b w:val="0"/>
        </w:rPr>
        <w:t xml:space="preserve"> über einen Zeitraum von 3 Monaten; </w:t>
      </w:r>
      <w:r w:rsidR="005924E8">
        <w:rPr>
          <w:b w:val="0"/>
        </w:rPr>
        <w:t xml:space="preserve">Ergebnisse der DLS Messungen, mittlere Standardabweichung für Partikeldurchmesser </w:t>
      </w:r>
      <w:r w:rsidR="005924E8">
        <w:rPr>
          <w:b w:val="0"/>
        </w:rPr>
        <w:sym w:font="Symbol" w:char="F0B1"/>
      </w:r>
      <w:r w:rsidR="005924E8">
        <w:rPr>
          <w:b w:val="0"/>
        </w:rPr>
        <w:t>18,4 nm; a: gefriergetrocknete Probe, b: sprühgetrocknete Probe</w:t>
      </w:r>
      <w:r w:rsidR="00906DB9">
        <w:rPr>
          <w:b w:val="0"/>
        </w:rPr>
        <w:t>.</w:t>
      </w:r>
    </w:p>
    <w:tbl>
      <w:tblPr>
        <w:tblW w:w="9214"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2"/>
        <w:gridCol w:w="1992"/>
        <w:gridCol w:w="2126"/>
        <w:gridCol w:w="2126"/>
        <w:gridCol w:w="2268"/>
      </w:tblGrid>
      <w:tr w:rsidR="00DE6E80" w:rsidRPr="003D7907" w14:paraId="1546A019" w14:textId="77777777" w:rsidTr="00041FCE">
        <w:trPr>
          <w:trHeight w:val="1107"/>
          <w:jc w:val="center"/>
        </w:trPr>
        <w:tc>
          <w:tcPr>
            <w:tcW w:w="702" w:type="dxa"/>
            <w:tcBorders>
              <w:top w:val="single" w:sz="8" w:space="0" w:color="auto"/>
              <w:left w:val="single" w:sz="8" w:space="0" w:color="auto"/>
              <w:bottom w:val="single" w:sz="8" w:space="0" w:color="auto"/>
              <w:right w:val="single" w:sz="8" w:space="0" w:color="auto"/>
            </w:tcBorders>
            <w:shd w:val="clear" w:color="auto" w:fill="E6E6E6"/>
            <w:vAlign w:val="center"/>
          </w:tcPr>
          <w:p w14:paraId="781917F6" w14:textId="77777777" w:rsidR="00DE6E80" w:rsidRPr="003D7907" w:rsidRDefault="00DE6E80" w:rsidP="000545B3">
            <w:pPr>
              <w:spacing w:after="0" w:line="240" w:lineRule="auto"/>
              <w:jc w:val="center"/>
              <w:rPr>
                <w:rFonts w:eastAsia="SimSun" w:cs="Times New Roman"/>
                <w:b/>
                <w:sz w:val="18"/>
                <w:szCs w:val="18"/>
                <w:lang w:eastAsia="de-DE"/>
              </w:rPr>
            </w:pPr>
          </w:p>
          <w:p w14:paraId="75B92190" w14:textId="77777777" w:rsidR="00DE6E80" w:rsidRPr="003D7907" w:rsidRDefault="00DE6E80" w:rsidP="000545B3">
            <w:pPr>
              <w:spacing w:after="0" w:line="240" w:lineRule="auto"/>
              <w:jc w:val="center"/>
              <w:rPr>
                <w:rFonts w:eastAsia="SimSun" w:cs="Times New Roman"/>
                <w:b/>
                <w:sz w:val="18"/>
                <w:szCs w:val="18"/>
                <w:lang w:eastAsia="de-DE"/>
              </w:rPr>
            </w:pPr>
            <w:r w:rsidRPr="003D7907">
              <w:rPr>
                <w:rFonts w:eastAsia="SimSun" w:cs="Times New Roman"/>
                <w:b/>
                <w:sz w:val="18"/>
                <w:szCs w:val="18"/>
                <w:lang w:eastAsia="de-DE"/>
              </w:rPr>
              <w:t>Probe Nr.</w:t>
            </w:r>
          </w:p>
        </w:tc>
        <w:tc>
          <w:tcPr>
            <w:tcW w:w="1992" w:type="dxa"/>
            <w:tcBorders>
              <w:top w:val="single" w:sz="8" w:space="0" w:color="auto"/>
              <w:left w:val="single" w:sz="8" w:space="0" w:color="auto"/>
              <w:bottom w:val="single" w:sz="8" w:space="0" w:color="auto"/>
              <w:right w:val="single" w:sz="8" w:space="0" w:color="auto"/>
            </w:tcBorders>
            <w:shd w:val="clear" w:color="auto" w:fill="E6E6E6"/>
            <w:vAlign w:val="center"/>
          </w:tcPr>
          <w:p w14:paraId="5A49926A" w14:textId="77777777" w:rsidR="00DE6E80" w:rsidRPr="003D7907" w:rsidRDefault="00DE6E80" w:rsidP="007A0DB8">
            <w:pPr>
              <w:spacing w:after="0" w:line="240" w:lineRule="auto"/>
              <w:jc w:val="center"/>
              <w:rPr>
                <w:rFonts w:eastAsia="SimSun" w:cs="Times New Roman"/>
                <w:b/>
                <w:sz w:val="18"/>
                <w:szCs w:val="18"/>
                <w:lang w:eastAsia="de-DE"/>
              </w:rPr>
            </w:pPr>
            <w:r w:rsidRPr="003D7907">
              <w:rPr>
                <w:rFonts w:eastAsia="SimSun" w:cs="Times New Roman"/>
                <w:b/>
                <w:sz w:val="18"/>
                <w:szCs w:val="18"/>
                <w:lang w:eastAsia="de-DE"/>
              </w:rPr>
              <w:t>Mittlerer Partikeldurchmesser vor der Aufreinigung [nm]/PDI</w:t>
            </w:r>
          </w:p>
        </w:tc>
        <w:tc>
          <w:tcPr>
            <w:tcW w:w="2126" w:type="dxa"/>
            <w:tcBorders>
              <w:top w:val="single" w:sz="8" w:space="0" w:color="auto"/>
              <w:left w:val="single" w:sz="8" w:space="0" w:color="auto"/>
              <w:bottom w:val="single" w:sz="8" w:space="0" w:color="auto"/>
              <w:right w:val="single" w:sz="8" w:space="0" w:color="auto"/>
            </w:tcBorders>
            <w:shd w:val="clear" w:color="auto" w:fill="E6E6E6"/>
            <w:vAlign w:val="center"/>
          </w:tcPr>
          <w:p w14:paraId="5382C526" w14:textId="77777777" w:rsidR="00DE6E80" w:rsidRPr="003D7907" w:rsidRDefault="00DE6E80" w:rsidP="007A0DB8">
            <w:pPr>
              <w:spacing w:after="0" w:line="240" w:lineRule="auto"/>
              <w:jc w:val="center"/>
              <w:rPr>
                <w:rFonts w:eastAsia="SimSun" w:cs="Times New Roman"/>
                <w:b/>
                <w:sz w:val="18"/>
                <w:szCs w:val="18"/>
                <w:lang w:eastAsia="de-DE"/>
              </w:rPr>
            </w:pPr>
            <w:r w:rsidRPr="003D7907">
              <w:rPr>
                <w:rFonts w:eastAsia="SimSun" w:cs="Times New Roman"/>
                <w:b/>
                <w:sz w:val="18"/>
                <w:szCs w:val="18"/>
                <w:lang w:eastAsia="de-DE"/>
              </w:rPr>
              <w:t>Mittlerer Partikeldurchmesser nach der Aufreinigung [nm]/PDI</w:t>
            </w:r>
          </w:p>
        </w:tc>
        <w:tc>
          <w:tcPr>
            <w:tcW w:w="2126" w:type="dxa"/>
            <w:tcBorders>
              <w:top w:val="single" w:sz="8" w:space="0" w:color="auto"/>
              <w:left w:val="single" w:sz="8" w:space="0" w:color="auto"/>
              <w:bottom w:val="single" w:sz="8" w:space="0" w:color="auto"/>
              <w:right w:val="single" w:sz="8" w:space="0" w:color="auto"/>
            </w:tcBorders>
            <w:shd w:val="clear" w:color="auto" w:fill="E6E6E6"/>
            <w:vAlign w:val="center"/>
          </w:tcPr>
          <w:p w14:paraId="5AD21812" w14:textId="77777777" w:rsidR="00DE6E80" w:rsidRPr="003D7907" w:rsidRDefault="00DE6E80" w:rsidP="00DE6E80">
            <w:pPr>
              <w:spacing w:after="0" w:line="240" w:lineRule="auto"/>
              <w:jc w:val="center"/>
              <w:rPr>
                <w:rFonts w:eastAsia="SimSun" w:cs="Times New Roman"/>
                <w:b/>
                <w:sz w:val="18"/>
                <w:szCs w:val="18"/>
                <w:lang w:eastAsia="de-DE"/>
              </w:rPr>
            </w:pPr>
            <w:r w:rsidRPr="003D7907">
              <w:rPr>
                <w:rFonts w:eastAsia="SimSun" w:cs="Times New Roman"/>
                <w:b/>
                <w:sz w:val="18"/>
                <w:szCs w:val="18"/>
                <w:lang w:eastAsia="de-DE"/>
              </w:rPr>
              <w:t>Mittlerer Partikeldurchmesser nach dem Trocknen [nm]/PDI</w:t>
            </w:r>
          </w:p>
        </w:tc>
        <w:tc>
          <w:tcPr>
            <w:tcW w:w="2268" w:type="dxa"/>
            <w:tcBorders>
              <w:top w:val="single" w:sz="8" w:space="0" w:color="auto"/>
              <w:left w:val="single" w:sz="8" w:space="0" w:color="auto"/>
              <w:bottom w:val="single" w:sz="8" w:space="0" w:color="auto"/>
              <w:right w:val="single" w:sz="8" w:space="0" w:color="auto"/>
            </w:tcBorders>
            <w:shd w:val="clear" w:color="auto" w:fill="E6E6E6"/>
            <w:vAlign w:val="center"/>
          </w:tcPr>
          <w:p w14:paraId="48F25F80" w14:textId="77777777" w:rsidR="00DE6E80" w:rsidRPr="003D7907" w:rsidRDefault="00DE6E80" w:rsidP="007A0DB8">
            <w:pPr>
              <w:spacing w:after="0" w:line="240" w:lineRule="auto"/>
              <w:jc w:val="center"/>
              <w:rPr>
                <w:rFonts w:eastAsia="SimSun" w:cs="Times New Roman"/>
                <w:b/>
                <w:sz w:val="18"/>
                <w:szCs w:val="18"/>
                <w:lang w:eastAsia="de-DE"/>
              </w:rPr>
            </w:pPr>
            <w:r w:rsidRPr="003D7907">
              <w:rPr>
                <w:rFonts w:eastAsia="SimSun" w:cs="Times New Roman"/>
                <w:b/>
                <w:sz w:val="18"/>
                <w:szCs w:val="18"/>
                <w:lang w:eastAsia="de-DE"/>
              </w:rPr>
              <w:t>Mittlerer Partikeldurchmesser nach 3 Monaten Lagerung der getrockneten Partikel [nm]/PDI</w:t>
            </w:r>
          </w:p>
        </w:tc>
      </w:tr>
      <w:tr w:rsidR="00DE6E80" w:rsidRPr="00656CB0" w14:paraId="76943E86" w14:textId="77777777" w:rsidTr="00041FCE">
        <w:trPr>
          <w:trHeight w:val="344"/>
          <w:jc w:val="center"/>
        </w:trPr>
        <w:tc>
          <w:tcPr>
            <w:tcW w:w="702" w:type="dxa"/>
            <w:tcBorders>
              <w:top w:val="single" w:sz="8" w:space="0" w:color="auto"/>
              <w:left w:val="single" w:sz="8" w:space="0" w:color="auto"/>
            </w:tcBorders>
            <w:vAlign w:val="center"/>
          </w:tcPr>
          <w:p w14:paraId="51789674"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1a</w:t>
            </w:r>
          </w:p>
        </w:tc>
        <w:tc>
          <w:tcPr>
            <w:tcW w:w="1992" w:type="dxa"/>
            <w:tcBorders>
              <w:top w:val="single" w:sz="8" w:space="0" w:color="auto"/>
            </w:tcBorders>
            <w:vAlign w:val="center"/>
          </w:tcPr>
          <w:p w14:paraId="1A30C2E6"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125 / 0.046</w:t>
            </w:r>
          </w:p>
        </w:tc>
        <w:tc>
          <w:tcPr>
            <w:tcW w:w="2126" w:type="dxa"/>
            <w:tcBorders>
              <w:top w:val="single" w:sz="8" w:space="0" w:color="auto"/>
            </w:tcBorders>
            <w:shd w:val="clear" w:color="auto" w:fill="auto"/>
            <w:vAlign w:val="center"/>
          </w:tcPr>
          <w:p w14:paraId="5BB1B477"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128 / 0.014</w:t>
            </w:r>
          </w:p>
        </w:tc>
        <w:tc>
          <w:tcPr>
            <w:tcW w:w="2126" w:type="dxa"/>
            <w:tcBorders>
              <w:top w:val="single" w:sz="8" w:space="0" w:color="auto"/>
            </w:tcBorders>
            <w:shd w:val="clear" w:color="auto" w:fill="auto"/>
            <w:vAlign w:val="center"/>
          </w:tcPr>
          <w:p w14:paraId="4B651AF0"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134 / 0.011</w:t>
            </w:r>
          </w:p>
        </w:tc>
        <w:tc>
          <w:tcPr>
            <w:tcW w:w="2268" w:type="dxa"/>
            <w:tcBorders>
              <w:top w:val="single" w:sz="8" w:space="0" w:color="auto"/>
              <w:right w:val="single" w:sz="8" w:space="0" w:color="auto"/>
            </w:tcBorders>
            <w:vAlign w:val="center"/>
          </w:tcPr>
          <w:p w14:paraId="00C73DA3"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134 / 0.029</w:t>
            </w:r>
          </w:p>
        </w:tc>
      </w:tr>
      <w:tr w:rsidR="00DE6E80" w:rsidRPr="00656CB0" w14:paraId="717199B5" w14:textId="77777777" w:rsidTr="00041FCE">
        <w:trPr>
          <w:trHeight w:val="344"/>
          <w:jc w:val="center"/>
        </w:trPr>
        <w:tc>
          <w:tcPr>
            <w:tcW w:w="702" w:type="dxa"/>
            <w:tcBorders>
              <w:top w:val="single" w:sz="4" w:space="0" w:color="auto"/>
              <w:left w:val="single" w:sz="8" w:space="0" w:color="auto"/>
            </w:tcBorders>
            <w:vAlign w:val="center"/>
          </w:tcPr>
          <w:p w14:paraId="302F903F"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1b</w:t>
            </w:r>
          </w:p>
        </w:tc>
        <w:tc>
          <w:tcPr>
            <w:tcW w:w="1992" w:type="dxa"/>
            <w:tcBorders>
              <w:top w:val="single" w:sz="4" w:space="0" w:color="auto"/>
            </w:tcBorders>
            <w:vAlign w:val="center"/>
          </w:tcPr>
          <w:p w14:paraId="2BBD7FC1"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125 / 0.046</w:t>
            </w:r>
          </w:p>
        </w:tc>
        <w:tc>
          <w:tcPr>
            <w:tcW w:w="2126" w:type="dxa"/>
            <w:tcBorders>
              <w:top w:val="single" w:sz="4" w:space="0" w:color="auto"/>
            </w:tcBorders>
            <w:shd w:val="clear" w:color="auto" w:fill="auto"/>
            <w:vAlign w:val="center"/>
          </w:tcPr>
          <w:p w14:paraId="1FDAD1CD"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128 / 0.014</w:t>
            </w:r>
          </w:p>
        </w:tc>
        <w:tc>
          <w:tcPr>
            <w:tcW w:w="2126" w:type="dxa"/>
            <w:tcBorders>
              <w:top w:val="single" w:sz="4" w:space="0" w:color="auto"/>
            </w:tcBorders>
            <w:shd w:val="clear" w:color="auto" w:fill="auto"/>
            <w:vAlign w:val="center"/>
          </w:tcPr>
          <w:p w14:paraId="28AF7247"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136 / 0.025</w:t>
            </w:r>
          </w:p>
        </w:tc>
        <w:tc>
          <w:tcPr>
            <w:tcW w:w="2268" w:type="dxa"/>
            <w:tcBorders>
              <w:top w:val="single" w:sz="4" w:space="0" w:color="auto"/>
              <w:right w:val="single" w:sz="8" w:space="0" w:color="auto"/>
            </w:tcBorders>
            <w:vAlign w:val="center"/>
          </w:tcPr>
          <w:p w14:paraId="6DBFC83C"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137 / 0.019</w:t>
            </w:r>
          </w:p>
        </w:tc>
      </w:tr>
      <w:tr w:rsidR="00DE6E80" w:rsidRPr="00656CB0" w14:paraId="4A8B1F0F" w14:textId="77777777" w:rsidTr="00041FCE">
        <w:trPr>
          <w:trHeight w:val="344"/>
          <w:jc w:val="center"/>
        </w:trPr>
        <w:tc>
          <w:tcPr>
            <w:tcW w:w="702" w:type="dxa"/>
            <w:tcBorders>
              <w:left w:val="single" w:sz="8" w:space="0" w:color="auto"/>
            </w:tcBorders>
            <w:vAlign w:val="center"/>
          </w:tcPr>
          <w:p w14:paraId="2E22B4F5"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2a</w:t>
            </w:r>
          </w:p>
        </w:tc>
        <w:tc>
          <w:tcPr>
            <w:tcW w:w="1992" w:type="dxa"/>
            <w:vAlign w:val="center"/>
          </w:tcPr>
          <w:p w14:paraId="0484ECC1"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228 / 0.056</w:t>
            </w:r>
          </w:p>
        </w:tc>
        <w:tc>
          <w:tcPr>
            <w:tcW w:w="2126" w:type="dxa"/>
            <w:shd w:val="clear" w:color="auto" w:fill="auto"/>
            <w:vAlign w:val="center"/>
          </w:tcPr>
          <w:p w14:paraId="7A7B621B"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229 / 0.031</w:t>
            </w:r>
          </w:p>
        </w:tc>
        <w:tc>
          <w:tcPr>
            <w:tcW w:w="2126" w:type="dxa"/>
            <w:shd w:val="clear" w:color="auto" w:fill="auto"/>
            <w:vAlign w:val="center"/>
          </w:tcPr>
          <w:p w14:paraId="6A6F9646"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240 / 0.092</w:t>
            </w:r>
          </w:p>
        </w:tc>
        <w:tc>
          <w:tcPr>
            <w:tcW w:w="2268" w:type="dxa"/>
            <w:tcBorders>
              <w:right w:val="single" w:sz="8" w:space="0" w:color="auto"/>
            </w:tcBorders>
            <w:vAlign w:val="center"/>
          </w:tcPr>
          <w:p w14:paraId="55E4EDFE"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235 / 0.088</w:t>
            </w:r>
          </w:p>
        </w:tc>
      </w:tr>
      <w:tr w:rsidR="00DE6E80" w:rsidRPr="00656CB0" w14:paraId="753ADFB0" w14:textId="77777777" w:rsidTr="00041FCE">
        <w:trPr>
          <w:trHeight w:val="344"/>
          <w:jc w:val="center"/>
        </w:trPr>
        <w:tc>
          <w:tcPr>
            <w:tcW w:w="702" w:type="dxa"/>
            <w:tcBorders>
              <w:left w:val="single" w:sz="8" w:space="0" w:color="auto"/>
              <w:bottom w:val="single" w:sz="8" w:space="0" w:color="auto"/>
            </w:tcBorders>
            <w:vAlign w:val="center"/>
          </w:tcPr>
          <w:p w14:paraId="563370F8"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2b</w:t>
            </w:r>
          </w:p>
        </w:tc>
        <w:tc>
          <w:tcPr>
            <w:tcW w:w="1992" w:type="dxa"/>
            <w:tcBorders>
              <w:bottom w:val="single" w:sz="8" w:space="0" w:color="auto"/>
            </w:tcBorders>
            <w:vAlign w:val="center"/>
          </w:tcPr>
          <w:p w14:paraId="0E81B0DD"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228 / 0.056</w:t>
            </w:r>
          </w:p>
        </w:tc>
        <w:tc>
          <w:tcPr>
            <w:tcW w:w="2126" w:type="dxa"/>
            <w:tcBorders>
              <w:bottom w:val="single" w:sz="8" w:space="0" w:color="auto"/>
            </w:tcBorders>
            <w:shd w:val="clear" w:color="auto" w:fill="auto"/>
            <w:vAlign w:val="center"/>
          </w:tcPr>
          <w:p w14:paraId="206ACECD"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229 / 0.031</w:t>
            </w:r>
          </w:p>
        </w:tc>
        <w:tc>
          <w:tcPr>
            <w:tcW w:w="2126" w:type="dxa"/>
            <w:tcBorders>
              <w:bottom w:val="single" w:sz="8" w:space="0" w:color="auto"/>
            </w:tcBorders>
            <w:shd w:val="clear" w:color="auto" w:fill="auto"/>
            <w:vAlign w:val="center"/>
          </w:tcPr>
          <w:p w14:paraId="3C8C5102"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224 / 0.093</w:t>
            </w:r>
          </w:p>
        </w:tc>
        <w:tc>
          <w:tcPr>
            <w:tcW w:w="2268" w:type="dxa"/>
            <w:tcBorders>
              <w:bottom w:val="single" w:sz="8" w:space="0" w:color="auto"/>
              <w:right w:val="single" w:sz="8" w:space="0" w:color="auto"/>
            </w:tcBorders>
            <w:vAlign w:val="center"/>
          </w:tcPr>
          <w:p w14:paraId="6E0C9EF4" w14:textId="77777777" w:rsidR="00DE6E80" w:rsidRPr="007A0DB8" w:rsidRDefault="00DE6E80" w:rsidP="007A0DB8">
            <w:pPr>
              <w:spacing w:after="0" w:line="240" w:lineRule="auto"/>
              <w:jc w:val="center"/>
              <w:rPr>
                <w:rFonts w:eastAsia="SimSun" w:cs="Times New Roman"/>
                <w:sz w:val="18"/>
                <w:szCs w:val="18"/>
                <w:lang w:eastAsia="de-DE"/>
              </w:rPr>
            </w:pPr>
            <w:r w:rsidRPr="007A0DB8">
              <w:rPr>
                <w:rFonts w:eastAsia="SimSun" w:cs="Times New Roman"/>
                <w:sz w:val="18"/>
                <w:szCs w:val="18"/>
                <w:lang w:eastAsia="de-DE"/>
              </w:rPr>
              <w:t>229 / 0.091</w:t>
            </w:r>
          </w:p>
        </w:tc>
      </w:tr>
    </w:tbl>
    <w:p w14:paraId="6EA45640" w14:textId="77777777" w:rsidR="007A0DB8" w:rsidRDefault="007A0DB8" w:rsidP="00BB5E67"/>
    <w:p w14:paraId="318DC412" w14:textId="77777777" w:rsidR="003D7907" w:rsidRDefault="005924E8" w:rsidP="00BB5E67">
      <w:r>
        <w:t>Im Rahmen der Messgenauigkeit der DLS Messung sind die Partikeldurchmesser aller getesteten Proben unverändert. Bezüglich der Stabilität der getrockneten Formulierungen besteht kein signifikanter Unterschied zwischen</w:t>
      </w:r>
      <w:r w:rsidR="003D7907">
        <w:t xml:space="preserve"> den gefriergetrockneten und den sprühgetrockneten Proben. Der PDI ist bei keiner P</w:t>
      </w:r>
      <w:r w:rsidR="000545B3">
        <w:t>robe kritisch</w:t>
      </w:r>
      <w:r w:rsidR="003D7907">
        <w:t xml:space="preserve"> angestiegen.</w:t>
      </w:r>
    </w:p>
    <w:p w14:paraId="26A7B2E5" w14:textId="77777777" w:rsidR="005924E8" w:rsidRPr="00BB5E67" w:rsidRDefault="003D7907" w:rsidP="00A426B8">
      <w:pPr>
        <w:spacing w:after="0"/>
      </w:pPr>
      <w:r>
        <w:t xml:space="preserve">Zusammenfassend kann festgehalten werden, dass die ursprüngliche Partikelgröße </w:t>
      </w:r>
      <w:r w:rsidR="002F1D64">
        <w:t xml:space="preserve">sich </w:t>
      </w:r>
      <w:r>
        <w:t>während des Herstellungsprozesses und nach dre</w:t>
      </w:r>
      <w:r w:rsidR="002F1D64">
        <w:t>i mo</w:t>
      </w:r>
      <w:r w:rsidR="00A426B8">
        <w:t>natiger Lagerung bei 5 °</w:t>
      </w:r>
      <w:r w:rsidR="002F1D64">
        <w:t>C nicht signifikant verändert hat.</w:t>
      </w:r>
    </w:p>
    <w:p w14:paraId="0A86B231" w14:textId="77777777" w:rsidR="00814FB3" w:rsidRDefault="00E74657" w:rsidP="00814FB3">
      <w:pPr>
        <w:pStyle w:val="berschrift3"/>
      </w:pPr>
      <w:bookmarkStart w:id="187" w:name="_Toc294380231"/>
      <w:r>
        <w:t>Zusammenfassende Diskussion</w:t>
      </w:r>
      <w:bookmarkEnd w:id="187"/>
    </w:p>
    <w:p w14:paraId="6C6EC1B6" w14:textId="77777777" w:rsidR="000545B3" w:rsidRDefault="003C59A3" w:rsidP="00814FB3">
      <w:r>
        <w:t>D</w:t>
      </w:r>
      <w:r w:rsidR="00B629E6">
        <w:t xml:space="preserve">ie Doppelemulsionsmethode mit Anwendung der Hochdruckhomogenisation </w:t>
      </w:r>
      <w:r>
        <w:t xml:space="preserve">stellt </w:t>
      </w:r>
      <w:r w:rsidR="00B629E6">
        <w:t>eine optimale Möglichkeit dar, die Partikelgröße im Z</w:t>
      </w:r>
      <w:r w:rsidR="004F1DAE">
        <w:t>ielbereich zwischen 104 nm und 430</w:t>
      </w:r>
      <w:r w:rsidR="00B629E6">
        <w:t> nm sehr gut reproduzierbar und bei sehr enger Verteilungsbreite der Partikelgröße einzustellen.</w:t>
      </w:r>
      <w:r w:rsidR="00346440">
        <w:t xml:space="preserve"> Die</w:t>
      </w:r>
      <w:r w:rsidR="008277F8">
        <w:t xml:space="preserve"> Hochdruckhomogenisation</w:t>
      </w:r>
      <w:r w:rsidR="00346440">
        <w:t xml:space="preserve"> wird</w:t>
      </w:r>
      <w:r w:rsidR="004F5831">
        <w:t xml:space="preserve"> bereits seit vielen Jahren industriell angewend</w:t>
      </w:r>
      <w:r w:rsidR="008277F8">
        <w:t>et</w:t>
      </w:r>
      <w:r w:rsidR="00346440">
        <w:t xml:space="preserve"> und eine Übertragung aus dem</w:t>
      </w:r>
      <w:r w:rsidR="004F5831">
        <w:t xml:space="preserve"> Labor auf größ</w:t>
      </w:r>
      <w:r w:rsidR="00B75BF5">
        <w:t>ere Maßstäbe sollte</w:t>
      </w:r>
      <w:r w:rsidR="00346440">
        <w:t xml:space="preserve"> relativ unproblematisch</w:t>
      </w:r>
      <w:r w:rsidR="00B75BF5">
        <w:t xml:space="preserve"> sein</w:t>
      </w:r>
      <w:r w:rsidR="00346440">
        <w:t xml:space="preserve">. Durch die Verwendung des Microfluidizers konnte folglich </w:t>
      </w:r>
      <w:r w:rsidR="004F5831">
        <w:t>das Po</w:t>
      </w:r>
      <w:r w:rsidR="00346440">
        <w:t>tential zur industriellen Herstellung von nanoskaligen polymeren Wirkstoffträgern mithilfe der</w:t>
      </w:r>
      <w:r w:rsidR="004F5831">
        <w:t xml:space="preserve"> Doppelemulsionsmethode gesteigert werden.</w:t>
      </w:r>
      <w:r w:rsidR="00755C50">
        <w:t xml:space="preserve"> Zudem konnte gezeigt werden, dass durch den Einsatz des Microfluidizers an Stelle herkömmlicher Homogenisierungsmethoden bei der Partikelherstellung die benötigte Menge an Stabilisatoren reduziert werden konnte.</w:t>
      </w:r>
    </w:p>
    <w:p w14:paraId="700A60FE" w14:textId="77777777" w:rsidR="00755C50" w:rsidRDefault="00124E53" w:rsidP="00814FB3">
      <w:r>
        <w:t xml:space="preserve">Hinsichtlich der </w:t>
      </w:r>
      <w:r w:rsidR="00755C50">
        <w:t>Aufreinigung der Partikelsuspensionen</w:t>
      </w:r>
      <w:r>
        <w:t xml:space="preserve"> stellte sich heraus, dass das Verfahren</w:t>
      </w:r>
      <w:r w:rsidR="00755C50">
        <w:t xml:space="preserve"> durch Sedimentation der Pa</w:t>
      </w:r>
      <w:r>
        <w:t>rtikel mit einer Zentrifuge diverse Vorteile gegenüber der</w:t>
      </w:r>
      <w:r w:rsidR="00755C50">
        <w:t xml:space="preserve"> Filtration mit Zentrifugalkonzentratoren</w:t>
      </w:r>
      <w:r>
        <w:t xml:space="preserve"> aufweist</w:t>
      </w:r>
      <w:r w:rsidR="00755C50">
        <w:t>.</w:t>
      </w:r>
      <w:r>
        <w:t xml:space="preserve"> Das Verfahren ist effizienter, weniger zeitaufwendig und kostengünstiger. Die Übertragung der Methode auf einen größeren Maßstab kann beispielsweise mit</w:t>
      </w:r>
      <w:r w:rsidR="00B14489">
        <w:t>hilfe</w:t>
      </w:r>
      <w:r>
        <w:t xml:space="preserve"> einer Scheibenzentrifuge erfolgen.</w:t>
      </w:r>
    </w:p>
    <w:p w14:paraId="5937F678" w14:textId="77777777" w:rsidR="00124E53" w:rsidRDefault="00124E53" w:rsidP="00814FB3">
      <w:r>
        <w:lastRenderedPageBreak/>
        <w:t xml:space="preserve">Als optimale Trocknungsmethode der Partikelsuspensionen zur Erhöhung der Lagerstabilität stellte sich vor allem in Bezug auf die Redispergierbarkeit der Partikel die </w:t>
      </w:r>
      <w:r w:rsidR="00B14489">
        <w:t xml:space="preserve">optimierte </w:t>
      </w:r>
      <w:r>
        <w:t>Gefriertrocknung h</w:t>
      </w:r>
      <w:r w:rsidR="00B14489">
        <w:t>eraus. Wobei auch die</w:t>
      </w:r>
      <w:r>
        <w:t xml:space="preserve"> Sprühtrocknungsmethode unter Zusatz v</w:t>
      </w:r>
      <w:r w:rsidR="00BA366A">
        <w:t>on Isoleucin du</w:t>
      </w:r>
      <w:r w:rsidR="005D1867">
        <w:t xml:space="preserve">rchaus </w:t>
      </w:r>
      <w:r w:rsidR="00BA366A">
        <w:t>zufrieden</w:t>
      </w:r>
      <w:r>
        <w:t>stellende Ergebnisse lieferte.</w:t>
      </w:r>
      <w:r w:rsidR="00BA366A">
        <w:t xml:space="preserve"> Eine Lagerung der getrockneten Pulver</w:t>
      </w:r>
      <w:r w:rsidR="00E0670E">
        <w:t xml:space="preserve"> bei 5</w:t>
      </w:r>
      <w:r w:rsidR="00A426B8">
        <w:t xml:space="preserve"> </w:t>
      </w:r>
      <w:r w:rsidR="00E0670E">
        <w:t>°C</w:t>
      </w:r>
      <w:r w:rsidR="00BA366A">
        <w:t xml:space="preserve"> </w:t>
      </w:r>
      <w:r w:rsidR="00E0670E">
        <w:t>über einen Zeitraum von 3 Monaten hinweg führte hinsichtlich der Redispergierbarkeit der Partikel und der Partikelgröße nicht zu Qualitätseinbußen.</w:t>
      </w:r>
    </w:p>
    <w:p w14:paraId="52F73FB8" w14:textId="77777777" w:rsidR="00F54D5A" w:rsidRPr="00F54D5A" w:rsidRDefault="00B14489" w:rsidP="00F54D5A">
      <w:r>
        <w:t>Die durchschnittliche Verkapselungseffizienz von Desmopressin in Nanopartikel aus Resomer</w:t>
      </w:r>
      <w:r w:rsidR="003D6D5A" w:rsidRPr="00902C2E">
        <w:rPr>
          <w:vertAlign w:val="superscript"/>
        </w:rPr>
        <w:t>®</w:t>
      </w:r>
      <w:r w:rsidR="00BA366A">
        <w:t> RG 503 H war mit</w:t>
      </w:r>
      <w:r>
        <w:t xml:space="preserve"> 7,47% (</w:t>
      </w:r>
      <w:r>
        <w:sym w:font="Symbol" w:char="F0B1"/>
      </w:r>
      <w:r>
        <w:t>1,72%)</w:t>
      </w:r>
      <w:r w:rsidR="00BA366A">
        <w:t xml:space="preserve"> relativ niedrig</w:t>
      </w:r>
      <w:r>
        <w:t>. Der Be</w:t>
      </w:r>
      <w:r w:rsidR="00BA366A">
        <w:t>ladungsgrad der Partikel betrug</w:t>
      </w:r>
      <w:r>
        <w:t xml:space="preserve"> durchschnittlich 0,84% (</w:t>
      </w:r>
      <w:r>
        <w:sym w:font="Symbol" w:char="F0B1"/>
      </w:r>
      <w:r>
        <w:t>0,22%)</w:t>
      </w:r>
      <w:r w:rsidR="00BA366A">
        <w:t xml:space="preserve">. </w:t>
      </w:r>
      <w:r w:rsidR="00F21FA1">
        <w:t xml:space="preserve">Diese Ergebnisse basieren jeweils auf 6 Versuchen (n=6). </w:t>
      </w:r>
      <w:r w:rsidR="00BA366A">
        <w:t>Hinsichtlich der Wirtschaftlichkeit und eines wirkungsvollen Einsatzes als pharmazeutische Trägersys</w:t>
      </w:r>
      <w:r w:rsidR="00A72DC6">
        <w:t>teme sind diese Werte nicht</w:t>
      </w:r>
      <w:r w:rsidR="00BA366A">
        <w:t xml:space="preserve"> zufriedenstellend.</w:t>
      </w:r>
      <w:r w:rsidR="005D1867">
        <w:t xml:space="preserve"> Dies war wie bereits beschrieben aufgrund der Materia</w:t>
      </w:r>
      <w:r w:rsidR="00A72DC6">
        <w:t>leigenschaften von PLGA bereits</w:t>
      </w:r>
      <w:r w:rsidR="005D1867">
        <w:t xml:space="preserve"> zu erwarten und stellt daher kein überraschendes Ergebnis dar.</w:t>
      </w:r>
      <w:r w:rsidR="00E0670E">
        <w:t xml:space="preserve"> </w:t>
      </w:r>
      <w:r w:rsidR="00F21FA1">
        <w:t xml:space="preserve">Unter anderem mit dem Ziel die Verkapselungseffizienz und die Partikelbeladung zu erhöhen, </w:t>
      </w:r>
      <w:r w:rsidR="00E0670E">
        <w:t xml:space="preserve">wurden </w:t>
      </w:r>
      <w:r w:rsidR="00A72DC6">
        <w:t>die</w:t>
      </w:r>
      <w:r w:rsidR="00B75BF5">
        <w:t xml:space="preserve"> von der Universität Jena</w:t>
      </w:r>
      <w:r w:rsidR="00A72DC6">
        <w:t xml:space="preserve"> neu synthetisierten PEA Polymere zur Verkapselu</w:t>
      </w:r>
      <w:r w:rsidR="00B75BF5">
        <w:t>ng des Modellpeptids</w:t>
      </w:r>
      <w:r w:rsidR="00A72DC6">
        <w:t xml:space="preserve"> in Nanopartikel verwendet</w:t>
      </w:r>
      <w:r w:rsidR="00E0670E">
        <w:t>. Im folgenden Kapitel werden die Formulie</w:t>
      </w:r>
      <w:r w:rsidR="00F21FA1">
        <w:t xml:space="preserve">rungsversuche mit den neuen </w:t>
      </w:r>
      <w:r w:rsidR="00E0670E">
        <w:t>Polymeren beschrieben.</w:t>
      </w:r>
    </w:p>
    <w:p w14:paraId="725465C9" w14:textId="77777777" w:rsidR="003B37C5" w:rsidRDefault="003B37C5" w:rsidP="00584A0D">
      <w:pPr>
        <w:pStyle w:val="berschrift2"/>
      </w:pPr>
      <w:r w:rsidRPr="003B37C5">
        <w:tab/>
      </w:r>
      <w:bookmarkStart w:id="188" w:name="_Ref272957767"/>
      <w:bookmarkStart w:id="189" w:name="_Toc294380232"/>
      <w:r w:rsidRPr="00552B90">
        <w:t>Formulie</w:t>
      </w:r>
      <w:r w:rsidR="00742DBA">
        <w:t>rung</w:t>
      </w:r>
      <w:r w:rsidRPr="00552B90">
        <w:t xml:space="preserve"> mit Polyesteramid</w:t>
      </w:r>
      <w:bookmarkEnd w:id="188"/>
      <w:r w:rsidR="00742DBA">
        <w:t xml:space="preserve"> Polymeren</w:t>
      </w:r>
      <w:bookmarkEnd w:id="189"/>
    </w:p>
    <w:p w14:paraId="2AD1B819" w14:textId="77777777" w:rsidR="00182B86" w:rsidRPr="00182B86" w:rsidRDefault="00024A25" w:rsidP="00182B86">
      <w:r>
        <w:t>Im folgenden Kapitel wird die Herstellung von nanoskaligen Wirkstoffträgern aus den neuen PEA Polymeren beschrieben. Der Herstellungsprozess wurde auf Basis der f</w:t>
      </w:r>
      <w:r w:rsidR="002B578D">
        <w:t>ür Resomer</w:t>
      </w:r>
      <w:r w:rsidR="003D6D5A" w:rsidRPr="00902C2E">
        <w:rPr>
          <w:vertAlign w:val="superscript"/>
        </w:rPr>
        <w:t>®</w:t>
      </w:r>
      <w:r w:rsidR="002B578D">
        <w:t> RG 503 H optimierten</w:t>
      </w:r>
      <w:r>
        <w:t xml:space="preserve"> Doppelemulsionsmethode </w:t>
      </w:r>
      <w:r w:rsidR="002B578D">
        <w:t>entwickelt</w:t>
      </w:r>
      <w:r>
        <w:t xml:space="preserve">. </w:t>
      </w:r>
      <w:r w:rsidR="002B578D">
        <w:t>Im Anschluss an eine Charakterisierung der PEA Polymere erfolgt die Beschreibung der Herstellungsversuche mit den notwendigen A</w:t>
      </w:r>
      <w:r w:rsidR="00B03A1C">
        <w:t>npassungen</w:t>
      </w:r>
      <w:r w:rsidR="002B578D">
        <w:t xml:space="preserve"> bis hin zur Findung der </w:t>
      </w:r>
      <w:r w:rsidR="00B03A1C">
        <w:t>optimierten Versuchsbedingungen</w:t>
      </w:r>
      <w:r w:rsidR="002B578D">
        <w:t xml:space="preserve">. Im </w:t>
      </w:r>
      <w:r w:rsidR="00B6394D">
        <w:t>letzten Abschnitt dieses</w:t>
      </w:r>
      <w:r w:rsidR="002B578D">
        <w:t xml:space="preserve"> Kapitels </w:t>
      </w:r>
      <w:r w:rsidR="00B03A1C">
        <w:t>werden die optim</w:t>
      </w:r>
      <w:r w:rsidR="00356EAB">
        <w:t xml:space="preserve">ierten Formulierungen </w:t>
      </w:r>
      <w:r w:rsidR="00B03A1C">
        <w:t>pharmazeutisch</w:t>
      </w:r>
      <w:r w:rsidR="003E4C52">
        <w:t>, biopharmazeutisch</w:t>
      </w:r>
      <w:r w:rsidR="00356EAB">
        <w:t xml:space="preserve"> und toxikologisch</w:t>
      </w:r>
      <w:r w:rsidR="00B03A1C">
        <w:t xml:space="preserve"> charakterisiert.</w:t>
      </w:r>
    </w:p>
    <w:p w14:paraId="4A905619" w14:textId="77777777" w:rsidR="003B37C5" w:rsidRDefault="003B37C5" w:rsidP="00996F38">
      <w:pPr>
        <w:pStyle w:val="berschrift3"/>
      </w:pPr>
      <w:bookmarkStart w:id="190" w:name="_Ref402276749"/>
      <w:bookmarkStart w:id="191" w:name="_Toc294380233"/>
      <w:r w:rsidRPr="00552B90">
        <w:t>Charakterisierung der</w:t>
      </w:r>
      <w:r w:rsidR="003E4C52">
        <w:t xml:space="preserve"> PEA</w:t>
      </w:r>
      <w:r w:rsidRPr="00552B90">
        <w:t xml:space="preserve"> Polymere</w:t>
      </w:r>
      <w:r w:rsidR="003C3EF9">
        <w:t xml:space="preserve"> - Präformulierung</w:t>
      </w:r>
      <w:bookmarkEnd w:id="190"/>
      <w:bookmarkEnd w:id="191"/>
    </w:p>
    <w:p w14:paraId="1E43CDB5" w14:textId="77777777" w:rsidR="003C3EF9" w:rsidRPr="003C3EF9" w:rsidRDefault="00674061" w:rsidP="003C3EF9">
      <w:r>
        <w:t>Die PEA Polymere können</w:t>
      </w:r>
      <w:r w:rsidR="003C3EF9" w:rsidRPr="003C3EF9">
        <w:t xml:space="preserve"> entsprechend der enthaltenen Aminosäure in</w:t>
      </w:r>
      <w:r w:rsidR="00E0670E">
        <w:t xml:space="preserve"> drei</w:t>
      </w:r>
      <w:r w:rsidR="003C3EF9" w:rsidRPr="003C3EF9">
        <w:t xml:space="preserve"> Gruppen eingeteilt</w:t>
      </w:r>
      <w:r>
        <w:t xml:space="preserve"> werden</w:t>
      </w:r>
      <w:r w:rsidR="003C3EF9" w:rsidRPr="003C3EF9">
        <w:t>. Von der Universität Jena wurden jeweils mehrere Vertreter von Polyesteramiden mit Asparaginsäure, Cystein und Lysin bereitgestellt. Die Polymere unterscheiden sich innerhalb der jeweiligen Gruppe im Wesentlichen im Verhältnis der Milchsäure zur Glykolsäure</w:t>
      </w:r>
      <w:r w:rsidR="00906DB9">
        <w:t>-Aminosäure-Verbindung</w:t>
      </w:r>
      <w:r w:rsidR="00E0670E">
        <w:t xml:space="preserve"> sowie in ihrem</w:t>
      </w:r>
      <w:r w:rsidR="003C3EF9" w:rsidRPr="003C3EF9">
        <w:t xml:space="preserve"> M</w:t>
      </w:r>
      <w:r w:rsidR="006D0CF6">
        <w:t xml:space="preserve">olekulargewicht (siehe </w:t>
      </w:r>
      <w:r w:rsidR="00D16240">
        <w:fldChar w:fldCharType="begin"/>
      </w:r>
      <w:r w:rsidR="00786328">
        <w:instrText xml:space="preserve"> REF _Ref272015502 \h </w:instrText>
      </w:r>
      <w:r w:rsidR="00D16240">
        <w:fldChar w:fldCharType="separate"/>
      </w:r>
      <w:r w:rsidR="00711AB8" w:rsidRPr="00661CFB">
        <w:t xml:space="preserve">Tabelle </w:t>
      </w:r>
      <w:r w:rsidR="00711AB8">
        <w:rPr>
          <w:noProof/>
        </w:rPr>
        <w:t>6</w:t>
      </w:r>
      <w:r w:rsidR="00D16240">
        <w:fldChar w:fldCharType="end"/>
      </w:r>
      <w:r w:rsidR="00786328">
        <w:t xml:space="preserve"> in Kapitel </w:t>
      </w:r>
      <w:r w:rsidR="00D16240">
        <w:fldChar w:fldCharType="begin"/>
      </w:r>
      <w:r w:rsidR="00786328">
        <w:instrText xml:space="preserve"> REF _Ref273892599 \n \h </w:instrText>
      </w:r>
      <w:r w:rsidR="00D16240">
        <w:fldChar w:fldCharType="separate"/>
      </w:r>
      <w:r w:rsidR="00711AB8">
        <w:t>3.2.2</w:t>
      </w:r>
      <w:r w:rsidR="00D16240">
        <w:fldChar w:fldCharType="end"/>
      </w:r>
      <w:r>
        <w:t>).</w:t>
      </w:r>
      <w:r w:rsidR="004941C9">
        <w:t xml:space="preserve"> Eine wesentliche Information für die </w:t>
      </w:r>
      <w:r w:rsidR="009B4B6D">
        <w:t xml:space="preserve">Versuchsplanung zur </w:t>
      </w:r>
      <w:r w:rsidR="001F05E1">
        <w:t>Herstellung der Formulierungen war</w:t>
      </w:r>
      <w:r w:rsidR="004941C9">
        <w:t xml:space="preserve"> die Löslichkeit der Polymere in organischen </w:t>
      </w:r>
      <w:r w:rsidR="004941C9">
        <w:lastRenderedPageBreak/>
        <w:t>Lösungsmitteln</w:t>
      </w:r>
      <w:r w:rsidR="001A31B7">
        <w:t xml:space="preserve"> und in Wasser</w:t>
      </w:r>
      <w:r w:rsidR="004941C9">
        <w:t>. Deshalb wurde zunächst die Löslichkeit der PEA Polymere untersucht.</w:t>
      </w:r>
    </w:p>
    <w:p w14:paraId="2A375D51" w14:textId="77777777" w:rsidR="003B37C5" w:rsidRDefault="003B37C5" w:rsidP="00E71524">
      <w:pPr>
        <w:pStyle w:val="berschrift4"/>
      </w:pPr>
      <w:bookmarkStart w:id="192" w:name="_Toc294380234"/>
      <w:r w:rsidRPr="00C0344D">
        <w:t>Löslichkeit</w:t>
      </w:r>
      <w:bookmarkEnd w:id="192"/>
    </w:p>
    <w:p w14:paraId="2903A79F" w14:textId="77777777" w:rsidR="009414AF" w:rsidRDefault="00A70C82" w:rsidP="00A70C82">
      <w:pPr>
        <w:spacing w:after="0"/>
      </w:pPr>
      <w:r w:rsidRPr="00A70C82">
        <w:t>Es wurde jew</w:t>
      </w:r>
      <w:r w:rsidR="00FC53D0">
        <w:t>eils getestet, ob eine 2</w:t>
      </w:r>
      <w:r w:rsidRPr="00A70C82">
        <w:t>%ige Lösung</w:t>
      </w:r>
      <w:r>
        <w:t xml:space="preserve"> (m/m)</w:t>
      </w:r>
      <w:r w:rsidRPr="00A70C82">
        <w:t xml:space="preserve"> </w:t>
      </w:r>
      <w:r>
        <w:t xml:space="preserve">des Polymers </w:t>
      </w:r>
      <w:r w:rsidRPr="00A70C82">
        <w:t>hergestellt werden kann. Gerührt wurde</w:t>
      </w:r>
      <w:r w:rsidR="00B6394D">
        <w:t xml:space="preserve"> die Lösung</w:t>
      </w:r>
      <w:r w:rsidRPr="00A70C82">
        <w:t xml:space="preserve"> mit einem Magnetrührer</w:t>
      </w:r>
      <w:r w:rsidR="004941C9">
        <w:t xml:space="preserve"> mit</w:t>
      </w:r>
      <w:r w:rsidR="001A31B7">
        <w:t xml:space="preserve"> 500 Up</w:t>
      </w:r>
      <w:r>
        <w:t>M</w:t>
      </w:r>
      <w:r w:rsidRPr="00A70C82">
        <w:t>. Der Versuch wurde beendet, sobald eine klare Lösung entstanden ist oder spätes</w:t>
      </w:r>
      <w:r>
        <w:t>tens nach einer Stunde. Als Lösungs</w:t>
      </w:r>
      <w:r w:rsidRPr="00A70C82">
        <w:t>mittel wurden</w:t>
      </w:r>
      <w:r w:rsidR="001A31B7">
        <w:t xml:space="preserve"> </w:t>
      </w:r>
      <w:r w:rsidR="00906DB9">
        <w:t>für die Partikelherstellung</w:t>
      </w:r>
      <w:r w:rsidRPr="00A70C82">
        <w:t xml:space="preserve"> </w:t>
      </w:r>
      <w:r w:rsidR="001A31B7">
        <w:t>relevante organische Lösungs</w:t>
      </w:r>
      <w:r w:rsidR="001A31B7" w:rsidRPr="00A70C82">
        <w:t xml:space="preserve">mittel </w:t>
      </w:r>
      <w:r w:rsidRPr="00A70C82">
        <w:t>getestet. Als wässrige Lösungsmittel wurden Phosphatpuffer</w:t>
      </w:r>
      <w:r w:rsidR="00786328">
        <w:t>lösungen</w:t>
      </w:r>
      <w:r w:rsidRPr="00A70C82">
        <w:t xml:space="preserve"> mit unterschiedlichen pH-Werten verwendet. Zur Beurteilung der Löslichkeit wurde folgende Klassifizierung gewählt: (--) praktisch u</w:t>
      </w:r>
      <w:r>
        <w:t>nlöslich; (-) in Spuren löslich;</w:t>
      </w:r>
      <w:r w:rsidRPr="00A70C82">
        <w:t xml:space="preserve"> (+</w:t>
      </w:r>
      <w:r>
        <w:t>) teilweise löslich mit Trübung;</w:t>
      </w:r>
      <w:r w:rsidRPr="00A70C82">
        <w:t xml:space="preserve"> (++) vollständig löslich</w:t>
      </w:r>
      <w:r>
        <w:t>, klare Lösung;</w:t>
      </w:r>
      <w:r w:rsidRPr="00A70C82">
        <w:t xml:space="preserve"> (+++) vollständig und schnell löslich</w:t>
      </w:r>
      <w:r w:rsidR="00554CE4">
        <w:t>,</w:t>
      </w:r>
      <w:r w:rsidRPr="00A70C82">
        <w:t xml:space="preserve"> klare Lösung.</w:t>
      </w:r>
      <w:r w:rsidR="004C270D">
        <w:t xml:space="preserve"> Die Ergebnisse der Versuche zur Löslichkeit sind in </w:t>
      </w:r>
      <w:r w:rsidR="00D16240">
        <w:fldChar w:fldCharType="begin"/>
      </w:r>
      <w:r w:rsidR="00B75BF5">
        <w:instrText xml:space="preserve"> REF _Ref273895395 \h </w:instrText>
      </w:r>
      <w:r w:rsidR="00D16240">
        <w:fldChar w:fldCharType="separate"/>
      </w:r>
      <w:r w:rsidR="00711AB8" w:rsidRPr="00A70C82">
        <w:t xml:space="preserve">Tabelle </w:t>
      </w:r>
      <w:r w:rsidR="00711AB8">
        <w:rPr>
          <w:noProof/>
        </w:rPr>
        <w:t>16</w:t>
      </w:r>
      <w:r w:rsidR="00D16240">
        <w:fldChar w:fldCharType="end"/>
      </w:r>
      <w:r w:rsidR="00B75BF5">
        <w:t xml:space="preserve"> </w:t>
      </w:r>
      <w:r w:rsidR="004C270D">
        <w:t>dargestellt.</w:t>
      </w:r>
    </w:p>
    <w:p w14:paraId="0C424546" w14:textId="77777777" w:rsidR="00A70C82" w:rsidRDefault="00A70C82" w:rsidP="00A70C82">
      <w:pPr>
        <w:spacing w:after="0"/>
      </w:pPr>
    </w:p>
    <w:p w14:paraId="65683EFB" w14:textId="77777777" w:rsidR="00A70C82" w:rsidRPr="00A70C82" w:rsidRDefault="00A70C82" w:rsidP="003D6D5A">
      <w:pPr>
        <w:pStyle w:val="Beschriftung"/>
        <w:ind w:firstLine="0"/>
        <w:rPr>
          <w:b w:val="0"/>
        </w:rPr>
      </w:pPr>
      <w:bookmarkStart w:id="193" w:name="_Ref273895395"/>
      <w:r w:rsidRPr="00A70C82">
        <w:t xml:space="preserve">Tabelle </w:t>
      </w:r>
      <w:fldSimple w:instr=" SEQ Tabelle \* ARABIC ">
        <w:r w:rsidR="00711AB8">
          <w:rPr>
            <w:noProof/>
          </w:rPr>
          <w:t>16</w:t>
        </w:r>
      </w:fldSimple>
      <w:bookmarkEnd w:id="193"/>
      <w:r>
        <w:t xml:space="preserve"> </w:t>
      </w:r>
      <w:r>
        <w:rPr>
          <w:b w:val="0"/>
        </w:rPr>
        <w:t>Löslichkeit der PEA Polymere in organischen Lösungsmitteln, deren Mischungen und</w:t>
      </w:r>
      <w:r w:rsidR="00554CE4">
        <w:rPr>
          <w:b w:val="0"/>
        </w:rPr>
        <w:t xml:space="preserve"> in</w:t>
      </w:r>
      <w:r>
        <w:rPr>
          <w:b w:val="0"/>
        </w:rPr>
        <w:t xml:space="preserve"> unterschiedlichen wässrigen Phosphatpuffer Lösungen.</w:t>
      </w:r>
    </w:p>
    <w:tbl>
      <w:tblPr>
        <w:tblStyle w:val="Tabellenraster1"/>
        <w:tblW w:w="0" w:type="auto"/>
        <w:jc w:val="center"/>
        <w:tblLook w:val="04A0" w:firstRow="1" w:lastRow="0" w:firstColumn="1" w:lastColumn="0" w:noHBand="0" w:noVBand="1"/>
      </w:tblPr>
      <w:tblGrid>
        <w:gridCol w:w="1384"/>
        <w:gridCol w:w="1194"/>
        <w:gridCol w:w="932"/>
        <w:gridCol w:w="993"/>
        <w:gridCol w:w="1701"/>
        <w:gridCol w:w="1275"/>
        <w:gridCol w:w="1560"/>
      </w:tblGrid>
      <w:tr w:rsidR="00F62053" w:rsidRPr="00A03A65" w14:paraId="0F1E1B70" w14:textId="77777777" w:rsidTr="00041FCE">
        <w:trPr>
          <w:trHeight w:val="737"/>
          <w:jc w:val="center"/>
        </w:trPr>
        <w:tc>
          <w:tcPr>
            <w:tcW w:w="1384" w:type="dxa"/>
            <w:tcBorders>
              <w:top w:val="single" w:sz="8" w:space="0" w:color="auto"/>
              <w:left w:val="single" w:sz="8" w:space="0" w:color="auto"/>
              <w:bottom w:val="single" w:sz="8" w:space="0" w:color="auto"/>
              <w:right w:val="single" w:sz="8" w:space="0" w:color="auto"/>
            </w:tcBorders>
            <w:shd w:val="clear" w:color="auto" w:fill="E6E6E6"/>
            <w:vAlign w:val="center"/>
          </w:tcPr>
          <w:p w14:paraId="6B4517FF" w14:textId="77777777" w:rsidR="00A70C82" w:rsidRPr="00A03A65" w:rsidRDefault="00A70C82" w:rsidP="00877A1E">
            <w:pPr>
              <w:spacing w:line="240" w:lineRule="auto"/>
              <w:jc w:val="center"/>
              <w:rPr>
                <w:b/>
                <w:sz w:val="18"/>
                <w:szCs w:val="18"/>
              </w:rPr>
            </w:pPr>
            <w:r w:rsidRPr="00A03A65">
              <w:rPr>
                <w:b/>
                <w:sz w:val="18"/>
                <w:szCs w:val="18"/>
              </w:rPr>
              <w:t>Polymer</w:t>
            </w:r>
          </w:p>
        </w:tc>
        <w:tc>
          <w:tcPr>
            <w:tcW w:w="1194" w:type="dxa"/>
            <w:tcBorders>
              <w:top w:val="single" w:sz="8" w:space="0" w:color="auto"/>
              <w:left w:val="single" w:sz="8" w:space="0" w:color="auto"/>
              <w:bottom w:val="single" w:sz="8" w:space="0" w:color="auto"/>
              <w:right w:val="single" w:sz="8" w:space="0" w:color="auto"/>
            </w:tcBorders>
            <w:shd w:val="clear" w:color="auto" w:fill="E6E6E6"/>
            <w:vAlign w:val="center"/>
          </w:tcPr>
          <w:p w14:paraId="54B6724B" w14:textId="77777777" w:rsidR="00A70C82" w:rsidRPr="00A03A65" w:rsidRDefault="00A70C82" w:rsidP="00877A1E">
            <w:pPr>
              <w:spacing w:line="240" w:lineRule="auto"/>
              <w:jc w:val="center"/>
              <w:rPr>
                <w:b/>
                <w:sz w:val="18"/>
                <w:szCs w:val="18"/>
              </w:rPr>
            </w:pPr>
            <w:r w:rsidRPr="00A03A65">
              <w:rPr>
                <w:b/>
                <w:sz w:val="18"/>
                <w:szCs w:val="18"/>
              </w:rPr>
              <w:t>Ethylacetat</w:t>
            </w:r>
          </w:p>
        </w:tc>
        <w:tc>
          <w:tcPr>
            <w:tcW w:w="932" w:type="dxa"/>
            <w:tcBorders>
              <w:top w:val="single" w:sz="8" w:space="0" w:color="auto"/>
              <w:left w:val="single" w:sz="8" w:space="0" w:color="auto"/>
              <w:bottom w:val="single" w:sz="8" w:space="0" w:color="auto"/>
              <w:right w:val="single" w:sz="8" w:space="0" w:color="auto"/>
            </w:tcBorders>
            <w:shd w:val="clear" w:color="auto" w:fill="E6E6E6"/>
            <w:vAlign w:val="center"/>
          </w:tcPr>
          <w:p w14:paraId="764B8D5F" w14:textId="77777777" w:rsidR="00A70C82" w:rsidRPr="00A03A65" w:rsidRDefault="00A70C82" w:rsidP="00877A1E">
            <w:pPr>
              <w:spacing w:line="240" w:lineRule="auto"/>
              <w:jc w:val="center"/>
              <w:rPr>
                <w:b/>
                <w:sz w:val="18"/>
                <w:szCs w:val="18"/>
              </w:rPr>
            </w:pPr>
            <w:r w:rsidRPr="00A03A65">
              <w:rPr>
                <w:b/>
                <w:sz w:val="18"/>
                <w:szCs w:val="18"/>
              </w:rPr>
              <w:t>DCM</w:t>
            </w:r>
          </w:p>
        </w:tc>
        <w:tc>
          <w:tcPr>
            <w:tcW w:w="993" w:type="dxa"/>
            <w:tcBorders>
              <w:top w:val="single" w:sz="8" w:space="0" w:color="auto"/>
              <w:left w:val="single" w:sz="8" w:space="0" w:color="auto"/>
              <w:bottom w:val="single" w:sz="8" w:space="0" w:color="auto"/>
              <w:right w:val="single" w:sz="8" w:space="0" w:color="auto"/>
            </w:tcBorders>
            <w:shd w:val="clear" w:color="auto" w:fill="E6E6E6"/>
            <w:vAlign w:val="center"/>
          </w:tcPr>
          <w:p w14:paraId="4B7B6574" w14:textId="77777777" w:rsidR="00A70C82" w:rsidRPr="00A03A65" w:rsidRDefault="00A70C82" w:rsidP="00877A1E">
            <w:pPr>
              <w:spacing w:line="240" w:lineRule="auto"/>
              <w:jc w:val="center"/>
              <w:rPr>
                <w:b/>
                <w:sz w:val="18"/>
                <w:szCs w:val="18"/>
              </w:rPr>
            </w:pPr>
            <w:r w:rsidRPr="00A03A65">
              <w:rPr>
                <w:b/>
                <w:sz w:val="18"/>
                <w:szCs w:val="18"/>
              </w:rPr>
              <w:t>Aceton</w:t>
            </w:r>
          </w:p>
        </w:tc>
        <w:tc>
          <w:tcPr>
            <w:tcW w:w="1701" w:type="dxa"/>
            <w:tcBorders>
              <w:top w:val="single" w:sz="8" w:space="0" w:color="auto"/>
              <w:left w:val="single" w:sz="8" w:space="0" w:color="auto"/>
              <w:bottom w:val="single" w:sz="8" w:space="0" w:color="auto"/>
              <w:right w:val="single" w:sz="8" w:space="0" w:color="auto"/>
            </w:tcBorders>
            <w:shd w:val="clear" w:color="auto" w:fill="E6E6E6"/>
            <w:vAlign w:val="center"/>
          </w:tcPr>
          <w:p w14:paraId="57EFFB5D" w14:textId="77777777" w:rsidR="00A70C82" w:rsidRPr="00A03A65" w:rsidRDefault="00A70C82" w:rsidP="00877A1E">
            <w:pPr>
              <w:spacing w:line="240" w:lineRule="auto"/>
              <w:jc w:val="center"/>
              <w:rPr>
                <w:b/>
                <w:sz w:val="18"/>
                <w:szCs w:val="18"/>
              </w:rPr>
            </w:pPr>
            <w:r w:rsidRPr="00A03A65">
              <w:rPr>
                <w:b/>
                <w:sz w:val="18"/>
                <w:szCs w:val="18"/>
              </w:rPr>
              <w:t>Ethylaceta</w:t>
            </w:r>
            <w:r w:rsidR="00A03A65">
              <w:rPr>
                <w:b/>
                <w:sz w:val="18"/>
                <w:szCs w:val="18"/>
              </w:rPr>
              <w:t>t /</w:t>
            </w:r>
            <w:r w:rsidRPr="00A03A65">
              <w:rPr>
                <w:b/>
                <w:sz w:val="18"/>
                <w:szCs w:val="18"/>
              </w:rPr>
              <w:t xml:space="preserve"> Aceton Mischung</w:t>
            </w:r>
          </w:p>
        </w:tc>
        <w:tc>
          <w:tcPr>
            <w:tcW w:w="1275" w:type="dxa"/>
            <w:tcBorders>
              <w:top w:val="single" w:sz="8" w:space="0" w:color="auto"/>
              <w:left w:val="single" w:sz="8" w:space="0" w:color="auto"/>
              <w:bottom w:val="single" w:sz="8" w:space="0" w:color="auto"/>
              <w:right w:val="single" w:sz="8" w:space="0" w:color="auto"/>
            </w:tcBorders>
            <w:shd w:val="clear" w:color="auto" w:fill="E6E6E6"/>
            <w:vAlign w:val="center"/>
          </w:tcPr>
          <w:p w14:paraId="2C8B1207" w14:textId="77777777" w:rsidR="00A70C82" w:rsidRPr="00A03A65" w:rsidRDefault="00A70C82" w:rsidP="00877A1E">
            <w:pPr>
              <w:spacing w:line="240" w:lineRule="auto"/>
              <w:jc w:val="center"/>
              <w:rPr>
                <w:b/>
                <w:sz w:val="18"/>
                <w:szCs w:val="18"/>
              </w:rPr>
            </w:pPr>
            <w:r w:rsidRPr="00A03A65">
              <w:rPr>
                <w:b/>
                <w:sz w:val="18"/>
                <w:szCs w:val="18"/>
              </w:rPr>
              <w:t>wässriger Puffer</w:t>
            </w:r>
          </w:p>
        </w:tc>
        <w:tc>
          <w:tcPr>
            <w:tcW w:w="1560" w:type="dxa"/>
            <w:tcBorders>
              <w:top w:val="single" w:sz="8" w:space="0" w:color="auto"/>
              <w:left w:val="single" w:sz="8" w:space="0" w:color="auto"/>
              <w:bottom w:val="single" w:sz="8" w:space="0" w:color="auto"/>
              <w:right w:val="single" w:sz="8" w:space="0" w:color="auto"/>
            </w:tcBorders>
            <w:shd w:val="clear" w:color="auto" w:fill="E6E6E6"/>
            <w:vAlign w:val="center"/>
          </w:tcPr>
          <w:p w14:paraId="6E3F57F4" w14:textId="77777777" w:rsidR="00A70C82" w:rsidRPr="00A03A65" w:rsidRDefault="00A70C82" w:rsidP="00877A1E">
            <w:pPr>
              <w:spacing w:line="240" w:lineRule="auto"/>
              <w:jc w:val="center"/>
              <w:rPr>
                <w:b/>
                <w:sz w:val="18"/>
                <w:szCs w:val="18"/>
              </w:rPr>
            </w:pPr>
            <w:r w:rsidRPr="00A03A65">
              <w:rPr>
                <w:b/>
                <w:sz w:val="18"/>
                <w:szCs w:val="18"/>
              </w:rPr>
              <w:t>Ethylacetat</w:t>
            </w:r>
            <w:r w:rsidR="00A03A65">
              <w:rPr>
                <w:b/>
                <w:sz w:val="18"/>
                <w:szCs w:val="18"/>
              </w:rPr>
              <w:t xml:space="preserve"> /</w:t>
            </w:r>
            <w:r w:rsidR="00D403D0" w:rsidRPr="00A03A65">
              <w:rPr>
                <w:b/>
                <w:sz w:val="18"/>
                <w:szCs w:val="18"/>
              </w:rPr>
              <w:t xml:space="preserve"> DCM</w:t>
            </w:r>
            <w:r w:rsidRPr="00A03A65">
              <w:rPr>
                <w:b/>
                <w:sz w:val="18"/>
                <w:szCs w:val="18"/>
              </w:rPr>
              <w:t xml:space="preserve"> Mischung</w:t>
            </w:r>
          </w:p>
        </w:tc>
      </w:tr>
      <w:tr w:rsidR="00F62053" w:rsidRPr="00787CE4" w14:paraId="240240F6" w14:textId="77777777" w:rsidTr="00041FCE">
        <w:trPr>
          <w:trHeight w:val="454"/>
          <w:jc w:val="center"/>
        </w:trPr>
        <w:tc>
          <w:tcPr>
            <w:tcW w:w="1384" w:type="dxa"/>
            <w:tcBorders>
              <w:top w:val="single" w:sz="8" w:space="0" w:color="auto"/>
              <w:left w:val="single" w:sz="8" w:space="0" w:color="auto"/>
            </w:tcBorders>
          </w:tcPr>
          <w:p w14:paraId="110F4B77" w14:textId="77777777" w:rsidR="00A70C82" w:rsidRPr="00787CE4" w:rsidRDefault="00A70C82" w:rsidP="00A70C82">
            <w:pPr>
              <w:spacing w:line="240" w:lineRule="auto"/>
              <w:jc w:val="center"/>
              <w:textAlignment w:val="baseline"/>
              <w:rPr>
                <w:bCs/>
                <w:kern w:val="24"/>
                <w:sz w:val="18"/>
                <w:szCs w:val="18"/>
              </w:rPr>
            </w:pPr>
            <w:r w:rsidRPr="00787CE4">
              <w:rPr>
                <w:bCs/>
                <w:kern w:val="24"/>
                <w:sz w:val="18"/>
                <w:szCs w:val="18"/>
              </w:rPr>
              <w:t>PEA 01</w:t>
            </w:r>
          </w:p>
          <w:p w14:paraId="12CEDB6A" w14:textId="77777777" w:rsidR="00BE3E86" w:rsidRPr="00787CE4" w:rsidRDefault="00BE3E86" w:rsidP="00A70C82">
            <w:pPr>
              <w:spacing w:line="240" w:lineRule="auto"/>
              <w:jc w:val="center"/>
              <w:textAlignment w:val="baseline"/>
              <w:rPr>
                <w:rFonts w:eastAsia="Times New Roman"/>
                <w:sz w:val="18"/>
                <w:szCs w:val="18"/>
              </w:rPr>
            </w:pPr>
            <w:r w:rsidRPr="00787CE4">
              <w:rPr>
                <w:bCs/>
                <w:kern w:val="24"/>
                <w:sz w:val="18"/>
                <w:szCs w:val="18"/>
              </w:rPr>
              <w:t>(Asp)</w:t>
            </w:r>
          </w:p>
        </w:tc>
        <w:tc>
          <w:tcPr>
            <w:tcW w:w="1194" w:type="dxa"/>
            <w:tcBorders>
              <w:top w:val="single" w:sz="8" w:space="0" w:color="auto"/>
            </w:tcBorders>
          </w:tcPr>
          <w:p w14:paraId="24C43A6A" w14:textId="77777777" w:rsidR="00A70C82" w:rsidRPr="00787CE4" w:rsidRDefault="00A70C82" w:rsidP="00A70C82">
            <w:pPr>
              <w:spacing w:line="240" w:lineRule="auto"/>
              <w:jc w:val="center"/>
              <w:rPr>
                <w:sz w:val="18"/>
                <w:szCs w:val="18"/>
              </w:rPr>
            </w:pPr>
            <w:r w:rsidRPr="00787CE4">
              <w:rPr>
                <w:sz w:val="18"/>
                <w:szCs w:val="18"/>
              </w:rPr>
              <w:t>--</w:t>
            </w:r>
          </w:p>
        </w:tc>
        <w:tc>
          <w:tcPr>
            <w:tcW w:w="932" w:type="dxa"/>
            <w:tcBorders>
              <w:top w:val="single" w:sz="8" w:space="0" w:color="auto"/>
            </w:tcBorders>
          </w:tcPr>
          <w:p w14:paraId="1701C43C" w14:textId="77777777" w:rsidR="00A70C82" w:rsidRPr="00787CE4" w:rsidRDefault="00A70C82" w:rsidP="00A70C82">
            <w:pPr>
              <w:spacing w:line="240" w:lineRule="auto"/>
              <w:jc w:val="center"/>
              <w:rPr>
                <w:sz w:val="18"/>
                <w:szCs w:val="18"/>
              </w:rPr>
            </w:pPr>
            <w:r w:rsidRPr="00787CE4">
              <w:rPr>
                <w:sz w:val="18"/>
                <w:szCs w:val="18"/>
              </w:rPr>
              <w:t>+++</w:t>
            </w:r>
          </w:p>
        </w:tc>
        <w:tc>
          <w:tcPr>
            <w:tcW w:w="993" w:type="dxa"/>
            <w:tcBorders>
              <w:top w:val="single" w:sz="8" w:space="0" w:color="auto"/>
            </w:tcBorders>
          </w:tcPr>
          <w:p w14:paraId="39D1EF77" w14:textId="77777777" w:rsidR="00A70C82" w:rsidRPr="00787CE4" w:rsidRDefault="00A70C82" w:rsidP="00A70C82">
            <w:pPr>
              <w:spacing w:line="240" w:lineRule="auto"/>
              <w:jc w:val="center"/>
              <w:rPr>
                <w:sz w:val="18"/>
                <w:szCs w:val="18"/>
              </w:rPr>
            </w:pPr>
            <w:r w:rsidRPr="00787CE4">
              <w:rPr>
                <w:sz w:val="18"/>
                <w:szCs w:val="18"/>
              </w:rPr>
              <w:t>++</w:t>
            </w:r>
          </w:p>
        </w:tc>
        <w:tc>
          <w:tcPr>
            <w:tcW w:w="1701" w:type="dxa"/>
            <w:tcBorders>
              <w:top w:val="single" w:sz="8" w:space="0" w:color="auto"/>
            </w:tcBorders>
          </w:tcPr>
          <w:p w14:paraId="45DC6E83" w14:textId="77777777" w:rsidR="00A70C82" w:rsidRPr="00787CE4" w:rsidRDefault="00A70C82" w:rsidP="00A70C82">
            <w:pPr>
              <w:spacing w:line="240" w:lineRule="auto"/>
              <w:jc w:val="center"/>
              <w:rPr>
                <w:sz w:val="18"/>
                <w:szCs w:val="18"/>
              </w:rPr>
            </w:pPr>
            <w:r w:rsidRPr="00787CE4">
              <w:rPr>
                <w:sz w:val="18"/>
                <w:szCs w:val="18"/>
              </w:rPr>
              <w:t>++</w:t>
            </w:r>
          </w:p>
          <w:p w14:paraId="34887FF7" w14:textId="77777777" w:rsidR="00A70C82" w:rsidRPr="00787CE4" w:rsidRDefault="00A70C82" w:rsidP="00A70C82">
            <w:pPr>
              <w:spacing w:line="240" w:lineRule="auto"/>
              <w:jc w:val="center"/>
              <w:rPr>
                <w:sz w:val="18"/>
                <w:szCs w:val="18"/>
              </w:rPr>
            </w:pPr>
            <w:r w:rsidRPr="00787CE4">
              <w:rPr>
                <w:sz w:val="18"/>
                <w:szCs w:val="18"/>
              </w:rPr>
              <w:t>4:1</w:t>
            </w:r>
          </w:p>
        </w:tc>
        <w:tc>
          <w:tcPr>
            <w:tcW w:w="1275" w:type="dxa"/>
            <w:tcBorders>
              <w:top w:val="single" w:sz="8" w:space="0" w:color="auto"/>
            </w:tcBorders>
          </w:tcPr>
          <w:p w14:paraId="73A2018A" w14:textId="77777777" w:rsidR="00A70C82" w:rsidRPr="00787CE4" w:rsidRDefault="00A70C82" w:rsidP="00A70C82">
            <w:pPr>
              <w:spacing w:line="240" w:lineRule="auto"/>
              <w:jc w:val="center"/>
              <w:rPr>
                <w:sz w:val="18"/>
                <w:szCs w:val="18"/>
              </w:rPr>
            </w:pPr>
            <w:r w:rsidRPr="00787CE4">
              <w:rPr>
                <w:sz w:val="18"/>
                <w:szCs w:val="18"/>
              </w:rPr>
              <w:t>+</w:t>
            </w:r>
          </w:p>
          <w:p w14:paraId="29221108" w14:textId="77777777" w:rsidR="00A70C82" w:rsidRPr="00787CE4" w:rsidRDefault="00A70C82" w:rsidP="00A70C82">
            <w:pPr>
              <w:spacing w:line="240" w:lineRule="auto"/>
              <w:jc w:val="center"/>
              <w:rPr>
                <w:sz w:val="18"/>
                <w:szCs w:val="18"/>
              </w:rPr>
            </w:pPr>
            <w:r w:rsidRPr="00787CE4">
              <w:rPr>
                <w:sz w:val="18"/>
                <w:szCs w:val="18"/>
              </w:rPr>
              <w:t>pH ≥ 9,5</w:t>
            </w:r>
          </w:p>
        </w:tc>
        <w:tc>
          <w:tcPr>
            <w:tcW w:w="1560" w:type="dxa"/>
            <w:tcBorders>
              <w:top w:val="single" w:sz="8" w:space="0" w:color="auto"/>
              <w:right w:val="single" w:sz="8" w:space="0" w:color="auto"/>
            </w:tcBorders>
          </w:tcPr>
          <w:p w14:paraId="1AF42A2A" w14:textId="77777777" w:rsidR="00A70C82" w:rsidRPr="00787CE4" w:rsidRDefault="00A70C82" w:rsidP="00A70C82">
            <w:pPr>
              <w:spacing w:line="240" w:lineRule="auto"/>
              <w:jc w:val="center"/>
              <w:rPr>
                <w:sz w:val="18"/>
                <w:szCs w:val="18"/>
              </w:rPr>
            </w:pPr>
            <w:r w:rsidRPr="00787CE4">
              <w:rPr>
                <w:sz w:val="18"/>
                <w:szCs w:val="18"/>
              </w:rPr>
              <w:t>na.</w:t>
            </w:r>
          </w:p>
        </w:tc>
      </w:tr>
      <w:tr w:rsidR="00F62053" w:rsidRPr="00787CE4" w14:paraId="4953A235" w14:textId="77777777" w:rsidTr="00041FCE">
        <w:trPr>
          <w:trHeight w:val="454"/>
          <w:jc w:val="center"/>
        </w:trPr>
        <w:tc>
          <w:tcPr>
            <w:tcW w:w="1384" w:type="dxa"/>
            <w:tcBorders>
              <w:left w:val="single" w:sz="8" w:space="0" w:color="auto"/>
            </w:tcBorders>
          </w:tcPr>
          <w:p w14:paraId="0582DD96" w14:textId="77777777" w:rsidR="00A70C82" w:rsidRPr="00787CE4" w:rsidRDefault="00A70C82" w:rsidP="00A70C82">
            <w:pPr>
              <w:spacing w:line="240" w:lineRule="auto"/>
              <w:jc w:val="center"/>
              <w:textAlignment w:val="baseline"/>
              <w:rPr>
                <w:bCs/>
                <w:kern w:val="24"/>
                <w:sz w:val="18"/>
                <w:szCs w:val="18"/>
              </w:rPr>
            </w:pPr>
            <w:r w:rsidRPr="00787CE4">
              <w:rPr>
                <w:bCs/>
                <w:kern w:val="24"/>
                <w:sz w:val="18"/>
                <w:szCs w:val="18"/>
              </w:rPr>
              <w:t>PEA 03</w:t>
            </w:r>
          </w:p>
          <w:p w14:paraId="087B6A29" w14:textId="77777777" w:rsidR="00BE3E86" w:rsidRPr="00787CE4" w:rsidRDefault="00BE3E86" w:rsidP="00A70C82">
            <w:pPr>
              <w:spacing w:line="240" w:lineRule="auto"/>
              <w:jc w:val="center"/>
              <w:textAlignment w:val="baseline"/>
              <w:rPr>
                <w:rFonts w:eastAsia="Times New Roman"/>
                <w:sz w:val="18"/>
                <w:szCs w:val="18"/>
              </w:rPr>
            </w:pPr>
            <w:r w:rsidRPr="00787CE4">
              <w:rPr>
                <w:bCs/>
                <w:kern w:val="24"/>
                <w:sz w:val="18"/>
                <w:szCs w:val="18"/>
              </w:rPr>
              <w:t>(Asp)</w:t>
            </w:r>
          </w:p>
        </w:tc>
        <w:tc>
          <w:tcPr>
            <w:tcW w:w="1194" w:type="dxa"/>
          </w:tcPr>
          <w:p w14:paraId="01A44FE2" w14:textId="77777777" w:rsidR="00A70C82" w:rsidRPr="00787CE4" w:rsidRDefault="00A70C82" w:rsidP="00A70C82">
            <w:pPr>
              <w:spacing w:line="240" w:lineRule="auto"/>
              <w:jc w:val="center"/>
              <w:rPr>
                <w:sz w:val="18"/>
                <w:szCs w:val="18"/>
              </w:rPr>
            </w:pPr>
            <w:r w:rsidRPr="00787CE4">
              <w:rPr>
                <w:sz w:val="18"/>
                <w:szCs w:val="18"/>
              </w:rPr>
              <w:t>--</w:t>
            </w:r>
          </w:p>
        </w:tc>
        <w:tc>
          <w:tcPr>
            <w:tcW w:w="932" w:type="dxa"/>
          </w:tcPr>
          <w:p w14:paraId="1799524B" w14:textId="77777777" w:rsidR="00A70C82" w:rsidRPr="00787CE4" w:rsidRDefault="00A70C82" w:rsidP="00A70C82">
            <w:pPr>
              <w:spacing w:line="240" w:lineRule="auto"/>
              <w:jc w:val="center"/>
              <w:rPr>
                <w:sz w:val="18"/>
                <w:szCs w:val="18"/>
              </w:rPr>
            </w:pPr>
            <w:r w:rsidRPr="00787CE4">
              <w:rPr>
                <w:sz w:val="18"/>
                <w:szCs w:val="18"/>
              </w:rPr>
              <w:t>+</w:t>
            </w:r>
          </w:p>
        </w:tc>
        <w:tc>
          <w:tcPr>
            <w:tcW w:w="993" w:type="dxa"/>
          </w:tcPr>
          <w:p w14:paraId="6FF6BBC5" w14:textId="77777777" w:rsidR="00A70C82" w:rsidRPr="00787CE4" w:rsidRDefault="00A70C82" w:rsidP="00A70C82">
            <w:pPr>
              <w:spacing w:line="240" w:lineRule="auto"/>
              <w:jc w:val="center"/>
              <w:rPr>
                <w:sz w:val="18"/>
                <w:szCs w:val="18"/>
              </w:rPr>
            </w:pPr>
            <w:r w:rsidRPr="00787CE4">
              <w:rPr>
                <w:sz w:val="18"/>
                <w:szCs w:val="18"/>
              </w:rPr>
              <w:t>+</w:t>
            </w:r>
          </w:p>
        </w:tc>
        <w:tc>
          <w:tcPr>
            <w:tcW w:w="1701" w:type="dxa"/>
          </w:tcPr>
          <w:p w14:paraId="678E6691" w14:textId="77777777" w:rsidR="00A70C82" w:rsidRPr="00787CE4" w:rsidRDefault="00A70C82" w:rsidP="00A70C82">
            <w:pPr>
              <w:spacing w:line="240" w:lineRule="auto"/>
              <w:jc w:val="center"/>
              <w:rPr>
                <w:sz w:val="18"/>
                <w:szCs w:val="18"/>
              </w:rPr>
            </w:pPr>
            <w:r w:rsidRPr="00787CE4">
              <w:rPr>
                <w:sz w:val="18"/>
                <w:szCs w:val="18"/>
              </w:rPr>
              <w:t>--</w:t>
            </w:r>
          </w:p>
        </w:tc>
        <w:tc>
          <w:tcPr>
            <w:tcW w:w="1275" w:type="dxa"/>
          </w:tcPr>
          <w:p w14:paraId="5D01C3C8" w14:textId="77777777" w:rsidR="00A70C82" w:rsidRPr="00787CE4" w:rsidRDefault="00A70C82" w:rsidP="00A70C82">
            <w:pPr>
              <w:spacing w:line="240" w:lineRule="auto"/>
              <w:jc w:val="center"/>
              <w:rPr>
                <w:sz w:val="18"/>
                <w:szCs w:val="18"/>
              </w:rPr>
            </w:pPr>
            <w:r w:rsidRPr="00787CE4">
              <w:rPr>
                <w:sz w:val="18"/>
                <w:szCs w:val="18"/>
              </w:rPr>
              <w:t>++</w:t>
            </w:r>
          </w:p>
          <w:p w14:paraId="27C0BA35" w14:textId="77777777" w:rsidR="00A70C82" w:rsidRPr="00787CE4" w:rsidRDefault="00A70C82" w:rsidP="00A70C82">
            <w:pPr>
              <w:spacing w:line="240" w:lineRule="auto"/>
              <w:jc w:val="center"/>
              <w:rPr>
                <w:sz w:val="18"/>
                <w:szCs w:val="18"/>
              </w:rPr>
            </w:pPr>
            <w:r w:rsidRPr="00787CE4">
              <w:rPr>
                <w:sz w:val="18"/>
                <w:szCs w:val="18"/>
              </w:rPr>
              <w:t>pH ≥ 6</w:t>
            </w:r>
          </w:p>
        </w:tc>
        <w:tc>
          <w:tcPr>
            <w:tcW w:w="1560" w:type="dxa"/>
            <w:tcBorders>
              <w:right w:val="single" w:sz="8" w:space="0" w:color="auto"/>
            </w:tcBorders>
          </w:tcPr>
          <w:p w14:paraId="27B441F8" w14:textId="77777777" w:rsidR="00A70C82" w:rsidRPr="00787CE4" w:rsidRDefault="00A70C82" w:rsidP="00A70C82">
            <w:pPr>
              <w:spacing w:line="240" w:lineRule="auto"/>
              <w:jc w:val="center"/>
              <w:rPr>
                <w:sz w:val="18"/>
                <w:szCs w:val="18"/>
              </w:rPr>
            </w:pPr>
            <w:r w:rsidRPr="00787CE4">
              <w:rPr>
                <w:sz w:val="18"/>
                <w:szCs w:val="18"/>
              </w:rPr>
              <w:t>na.</w:t>
            </w:r>
          </w:p>
        </w:tc>
      </w:tr>
      <w:tr w:rsidR="00F62053" w:rsidRPr="00787CE4" w14:paraId="5E588949" w14:textId="77777777" w:rsidTr="00041FCE">
        <w:trPr>
          <w:trHeight w:val="454"/>
          <w:jc w:val="center"/>
        </w:trPr>
        <w:tc>
          <w:tcPr>
            <w:tcW w:w="1384" w:type="dxa"/>
            <w:tcBorders>
              <w:left w:val="single" w:sz="8" w:space="0" w:color="auto"/>
            </w:tcBorders>
          </w:tcPr>
          <w:p w14:paraId="2882A04D" w14:textId="77777777" w:rsidR="00A70C82" w:rsidRPr="00787CE4" w:rsidRDefault="00A70C82" w:rsidP="00A70C82">
            <w:pPr>
              <w:spacing w:line="240" w:lineRule="auto"/>
              <w:jc w:val="center"/>
              <w:textAlignment w:val="baseline"/>
              <w:rPr>
                <w:bCs/>
                <w:kern w:val="24"/>
                <w:sz w:val="18"/>
                <w:szCs w:val="18"/>
              </w:rPr>
            </w:pPr>
            <w:r w:rsidRPr="00787CE4">
              <w:rPr>
                <w:bCs/>
                <w:kern w:val="24"/>
                <w:sz w:val="18"/>
                <w:szCs w:val="18"/>
              </w:rPr>
              <w:t>PEA 04</w:t>
            </w:r>
          </w:p>
          <w:p w14:paraId="364C63AB" w14:textId="77777777" w:rsidR="00BE3E86" w:rsidRPr="00787CE4" w:rsidRDefault="00BE3E86" w:rsidP="00A70C82">
            <w:pPr>
              <w:spacing w:line="240" w:lineRule="auto"/>
              <w:jc w:val="center"/>
              <w:textAlignment w:val="baseline"/>
              <w:rPr>
                <w:rFonts w:eastAsia="Times New Roman"/>
                <w:sz w:val="18"/>
                <w:szCs w:val="18"/>
              </w:rPr>
            </w:pPr>
            <w:r w:rsidRPr="00787CE4">
              <w:rPr>
                <w:bCs/>
                <w:kern w:val="24"/>
                <w:sz w:val="18"/>
                <w:szCs w:val="18"/>
              </w:rPr>
              <w:t>(Asp)</w:t>
            </w:r>
          </w:p>
        </w:tc>
        <w:tc>
          <w:tcPr>
            <w:tcW w:w="1194" w:type="dxa"/>
          </w:tcPr>
          <w:p w14:paraId="2B986BB7" w14:textId="77777777" w:rsidR="00A70C82" w:rsidRPr="00787CE4" w:rsidRDefault="00A70C82" w:rsidP="00A70C82">
            <w:pPr>
              <w:spacing w:line="240" w:lineRule="auto"/>
              <w:jc w:val="center"/>
              <w:rPr>
                <w:sz w:val="18"/>
                <w:szCs w:val="18"/>
              </w:rPr>
            </w:pPr>
            <w:r w:rsidRPr="00787CE4">
              <w:rPr>
                <w:sz w:val="18"/>
                <w:szCs w:val="18"/>
              </w:rPr>
              <w:t>--</w:t>
            </w:r>
          </w:p>
        </w:tc>
        <w:tc>
          <w:tcPr>
            <w:tcW w:w="932" w:type="dxa"/>
          </w:tcPr>
          <w:p w14:paraId="11692818" w14:textId="77777777" w:rsidR="00A70C82" w:rsidRPr="00787CE4" w:rsidRDefault="00A70C82" w:rsidP="00A70C82">
            <w:pPr>
              <w:spacing w:line="240" w:lineRule="auto"/>
              <w:jc w:val="center"/>
              <w:rPr>
                <w:sz w:val="18"/>
                <w:szCs w:val="18"/>
              </w:rPr>
            </w:pPr>
            <w:r w:rsidRPr="00787CE4">
              <w:rPr>
                <w:sz w:val="18"/>
                <w:szCs w:val="18"/>
              </w:rPr>
              <w:t>+++</w:t>
            </w:r>
          </w:p>
        </w:tc>
        <w:tc>
          <w:tcPr>
            <w:tcW w:w="993" w:type="dxa"/>
          </w:tcPr>
          <w:p w14:paraId="0A33E7AE" w14:textId="77777777" w:rsidR="00A70C82" w:rsidRPr="00787CE4" w:rsidRDefault="00A70C82" w:rsidP="00A70C82">
            <w:pPr>
              <w:spacing w:line="240" w:lineRule="auto"/>
              <w:jc w:val="center"/>
              <w:rPr>
                <w:sz w:val="18"/>
                <w:szCs w:val="18"/>
              </w:rPr>
            </w:pPr>
            <w:r w:rsidRPr="00787CE4">
              <w:rPr>
                <w:sz w:val="18"/>
                <w:szCs w:val="18"/>
              </w:rPr>
              <w:t>++</w:t>
            </w:r>
          </w:p>
        </w:tc>
        <w:tc>
          <w:tcPr>
            <w:tcW w:w="1701" w:type="dxa"/>
          </w:tcPr>
          <w:p w14:paraId="044BB237" w14:textId="77777777" w:rsidR="00A70C82" w:rsidRPr="00787CE4" w:rsidRDefault="00A70C82" w:rsidP="00A70C82">
            <w:pPr>
              <w:spacing w:line="240" w:lineRule="auto"/>
              <w:jc w:val="center"/>
              <w:rPr>
                <w:sz w:val="18"/>
                <w:szCs w:val="18"/>
              </w:rPr>
            </w:pPr>
            <w:r w:rsidRPr="00787CE4">
              <w:rPr>
                <w:sz w:val="18"/>
                <w:szCs w:val="18"/>
              </w:rPr>
              <w:t>++</w:t>
            </w:r>
          </w:p>
          <w:p w14:paraId="67009DB4" w14:textId="77777777" w:rsidR="00A70C82" w:rsidRPr="00787CE4" w:rsidRDefault="00A70C82" w:rsidP="00A70C82">
            <w:pPr>
              <w:spacing w:line="240" w:lineRule="auto"/>
              <w:jc w:val="center"/>
              <w:rPr>
                <w:sz w:val="18"/>
                <w:szCs w:val="18"/>
              </w:rPr>
            </w:pPr>
            <w:r w:rsidRPr="00787CE4">
              <w:rPr>
                <w:sz w:val="18"/>
                <w:szCs w:val="18"/>
              </w:rPr>
              <w:t>3:1</w:t>
            </w:r>
          </w:p>
        </w:tc>
        <w:tc>
          <w:tcPr>
            <w:tcW w:w="1275" w:type="dxa"/>
          </w:tcPr>
          <w:p w14:paraId="1DAEE54C" w14:textId="77777777" w:rsidR="00A70C82" w:rsidRPr="00787CE4" w:rsidRDefault="00A70C82" w:rsidP="00A70C82">
            <w:pPr>
              <w:spacing w:line="240" w:lineRule="auto"/>
              <w:jc w:val="center"/>
              <w:rPr>
                <w:sz w:val="18"/>
                <w:szCs w:val="18"/>
              </w:rPr>
            </w:pPr>
            <w:r w:rsidRPr="00787CE4">
              <w:rPr>
                <w:sz w:val="18"/>
                <w:szCs w:val="18"/>
              </w:rPr>
              <w:t>++</w:t>
            </w:r>
          </w:p>
          <w:p w14:paraId="599F6575" w14:textId="77777777" w:rsidR="00A70C82" w:rsidRPr="00787CE4" w:rsidRDefault="00A70C82" w:rsidP="00A70C82">
            <w:pPr>
              <w:spacing w:line="240" w:lineRule="auto"/>
              <w:jc w:val="center"/>
              <w:rPr>
                <w:sz w:val="18"/>
                <w:szCs w:val="18"/>
              </w:rPr>
            </w:pPr>
            <w:r w:rsidRPr="00787CE4">
              <w:rPr>
                <w:sz w:val="18"/>
                <w:szCs w:val="18"/>
              </w:rPr>
              <w:t>pH ≥ 7</w:t>
            </w:r>
          </w:p>
        </w:tc>
        <w:tc>
          <w:tcPr>
            <w:tcW w:w="1560" w:type="dxa"/>
            <w:tcBorders>
              <w:right w:val="single" w:sz="8" w:space="0" w:color="auto"/>
            </w:tcBorders>
          </w:tcPr>
          <w:p w14:paraId="530412F8" w14:textId="77777777" w:rsidR="00A70C82" w:rsidRPr="00787CE4" w:rsidRDefault="00A70C82" w:rsidP="00A70C82">
            <w:pPr>
              <w:spacing w:line="240" w:lineRule="auto"/>
              <w:jc w:val="center"/>
              <w:rPr>
                <w:sz w:val="18"/>
                <w:szCs w:val="18"/>
              </w:rPr>
            </w:pPr>
            <w:r w:rsidRPr="00787CE4">
              <w:rPr>
                <w:sz w:val="18"/>
                <w:szCs w:val="18"/>
              </w:rPr>
              <w:t>na.</w:t>
            </w:r>
          </w:p>
        </w:tc>
      </w:tr>
      <w:tr w:rsidR="00F62053" w:rsidRPr="00787CE4" w14:paraId="06BC5C1E" w14:textId="77777777" w:rsidTr="00041FCE">
        <w:trPr>
          <w:trHeight w:val="454"/>
          <w:jc w:val="center"/>
        </w:trPr>
        <w:tc>
          <w:tcPr>
            <w:tcW w:w="1384" w:type="dxa"/>
            <w:tcBorders>
              <w:left w:val="single" w:sz="8" w:space="0" w:color="auto"/>
            </w:tcBorders>
          </w:tcPr>
          <w:p w14:paraId="0597A385" w14:textId="77777777" w:rsidR="00A70C82" w:rsidRPr="00787CE4" w:rsidRDefault="00A70C82" w:rsidP="00A70C82">
            <w:pPr>
              <w:spacing w:line="240" w:lineRule="auto"/>
              <w:jc w:val="center"/>
              <w:textAlignment w:val="baseline"/>
              <w:rPr>
                <w:bCs/>
                <w:kern w:val="24"/>
                <w:sz w:val="18"/>
                <w:szCs w:val="18"/>
              </w:rPr>
            </w:pPr>
            <w:r w:rsidRPr="00787CE4">
              <w:rPr>
                <w:bCs/>
                <w:kern w:val="24"/>
                <w:sz w:val="18"/>
                <w:szCs w:val="18"/>
              </w:rPr>
              <w:t>PEA 05</w:t>
            </w:r>
          </w:p>
          <w:p w14:paraId="2568CB4F" w14:textId="77777777" w:rsidR="00BE3E86" w:rsidRPr="00787CE4" w:rsidRDefault="00BE3E86" w:rsidP="00A70C82">
            <w:pPr>
              <w:spacing w:line="240" w:lineRule="auto"/>
              <w:jc w:val="center"/>
              <w:textAlignment w:val="baseline"/>
              <w:rPr>
                <w:rFonts w:eastAsia="Times New Roman"/>
                <w:sz w:val="18"/>
                <w:szCs w:val="18"/>
              </w:rPr>
            </w:pPr>
            <w:r w:rsidRPr="00787CE4">
              <w:rPr>
                <w:bCs/>
                <w:kern w:val="24"/>
                <w:sz w:val="18"/>
                <w:szCs w:val="18"/>
              </w:rPr>
              <w:t>(Asp)</w:t>
            </w:r>
          </w:p>
        </w:tc>
        <w:tc>
          <w:tcPr>
            <w:tcW w:w="1194" w:type="dxa"/>
          </w:tcPr>
          <w:p w14:paraId="404C4CB2" w14:textId="77777777" w:rsidR="00A70C82" w:rsidRPr="00787CE4" w:rsidRDefault="00A70C82" w:rsidP="00A70C82">
            <w:pPr>
              <w:spacing w:line="240" w:lineRule="auto"/>
              <w:jc w:val="center"/>
              <w:rPr>
                <w:sz w:val="18"/>
                <w:szCs w:val="18"/>
              </w:rPr>
            </w:pPr>
            <w:r w:rsidRPr="00787CE4">
              <w:rPr>
                <w:sz w:val="18"/>
                <w:szCs w:val="18"/>
              </w:rPr>
              <w:t>-</w:t>
            </w:r>
          </w:p>
        </w:tc>
        <w:tc>
          <w:tcPr>
            <w:tcW w:w="932" w:type="dxa"/>
          </w:tcPr>
          <w:p w14:paraId="4A272EF1" w14:textId="77777777" w:rsidR="00A70C82" w:rsidRPr="00787CE4" w:rsidRDefault="00A70C82" w:rsidP="00A70C82">
            <w:pPr>
              <w:spacing w:line="240" w:lineRule="auto"/>
              <w:jc w:val="center"/>
              <w:rPr>
                <w:sz w:val="18"/>
                <w:szCs w:val="18"/>
              </w:rPr>
            </w:pPr>
            <w:r w:rsidRPr="00787CE4">
              <w:rPr>
                <w:sz w:val="18"/>
                <w:szCs w:val="18"/>
              </w:rPr>
              <w:t>++</w:t>
            </w:r>
          </w:p>
        </w:tc>
        <w:tc>
          <w:tcPr>
            <w:tcW w:w="993" w:type="dxa"/>
          </w:tcPr>
          <w:p w14:paraId="5C40AB11" w14:textId="77777777" w:rsidR="00A70C82" w:rsidRPr="00787CE4" w:rsidRDefault="00A70C82" w:rsidP="00A70C82">
            <w:pPr>
              <w:spacing w:line="240" w:lineRule="auto"/>
              <w:jc w:val="center"/>
              <w:rPr>
                <w:sz w:val="18"/>
                <w:szCs w:val="18"/>
              </w:rPr>
            </w:pPr>
            <w:r w:rsidRPr="00787CE4">
              <w:rPr>
                <w:sz w:val="18"/>
                <w:szCs w:val="18"/>
              </w:rPr>
              <w:t>++</w:t>
            </w:r>
          </w:p>
        </w:tc>
        <w:tc>
          <w:tcPr>
            <w:tcW w:w="1701" w:type="dxa"/>
          </w:tcPr>
          <w:p w14:paraId="37EF8B03" w14:textId="77777777" w:rsidR="00A70C82" w:rsidRPr="00787CE4" w:rsidRDefault="00A70C82" w:rsidP="00A70C82">
            <w:pPr>
              <w:spacing w:line="240" w:lineRule="auto"/>
              <w:jc w:val="center"/>
              <w:rPr>
                <w:sz w:val="18"/>
                <w:szCs w:val="18"/>
              </w:rPr>
            </w:pPr>
            <w:r w:rsidRPr="00787CE4">
              <w:rPr>
                <w:sz w:val="18"/>
                <w:szCs w:val="18"/>
              </w:rPr>
              <w:t>++</w:t>
            </w:r>
          </w:p>
          <w:p w14:paraId="7BB4B1C7" w14:textId="77777777" w:rsidR="00A70C82" w:rsidRPr="00787CE4" w:rsidRDefault="00A70C82" w:rsidP="00A70C82">
            <w:pPr>
              <w:spacing w:line="240" w:lineRule="auto"/>
              <w:jc w:val="center"/>
              <w:rPr>
                <w:sz w:val="18"/>
                <w:szCs w:val="18"/>
              </w:rPr>
            </w:pPr>
            <w:r w:rsidRPr="00787CE4">
              <w:rPr>
                <w:sz w:val="18"/>
                <w:szCs w:val="18"/>
              </w:rPr>
              <w:t>3:1</w:t>
            </w:r>
          </w:p>
        </w:tc>
        <w:tc>
          <w:tcPr>
            <w:tcW w:w="1275" w:type="dxa"/>
          </w:tcPr>
          <w:p w14:paraId="5E150844" w14:textId="77777777" w:rsidR="00A70C82" w:rsidRPr="00787CE4" w:rsidRDefault="00A70C82" w:rsidP="00A70C82">
            <w:pPr>
              <w:spacing w:line="240" w:lineRule="auto"/>
              <w:jc w:val="center"/>
              <w:rPr>
                <w:sz w:val="18"/>
                <w:szCs w:val="18"/>
              </w:rPr>
            </w:pPr>
            <w:r w:rsidRPr="00787CE4">
              <w:rPr>
                <w:sz w:val="18"/>
                <w:szCs w:val="18"/>
              </w:rPr>
              <w:t>++</w:t>
            </w:r>
          </w:p>
          <w:p w14:paraId="67EB04F9" w14:textId="77777777" w:rsidR="00A70C82" w:rsidRPr="00787CE4" w:rsidRDefault="00A70C82" w:rsidP="00A70C82">
            <w:pPr>
              <w:spacing w:line="240" w:lineRule="auto"/>
              <w:jc w:val="center"/>
              <w:rPr>
                <w:sz w:val="18"/>
                <w:szCs w:val="18"/>
              </w:rPr>
            </w:pPr>
            <w:r w:rsidRPr="00787CE4">
              <w:rPr>
                <w:sz w:val="18"/>
                <w:szCs w:val="18"/>
              </w:rPr>
              <w:t>pH ≥ 8</w:t>
            </w:r>
          </w:p>
        </w:tc>
        <w:tc>
          <w:tcPr>
            <w:tcW w:w="1560" w:type="dxa"/>
            <w:tcBorders>
              <w:right w:val="single" w:sz="8" w:space="0" w:color="auto"/>
            </w:tcBorders>
          </w:tcPr>
          <w:p w14:paraId="3E2AB05B" w14:textId="77777777" w:rsidR="00A70C82" w:rsidRPr="00787CE4" w:rsidRDefault="00A70C82" w:rsidP="00A70C82">
            <w:pPr>
              <w:spacing w:line="240" w:lineRule="auto"/>
              <w:jc w:val="center"/>
              <w:rPr>
                <w:sz w:val="18"/>
                <w:szCs w:val="18"/>
              </w:rPr>
            </w:pPr>
            <w:r w:rsidRPr="00787CE4">
              <w:rPr>
                <w:sz w:val="18"/>
                <w:szCs w:val="18"/>
              </w:rPr>
              <w:t>na.</w:t>
            </w:r>
          </w:p>
        </w:tc>
      </w:tr>
      <w:tr w:rsidR="00F62053" w:rsidRPr="00787CE4" w14:paraId="16E627D8" w14:textId="77777777" w:rsidTr="00041FCE">
        <w:trPr>
          <w:trHeight w:val="454"/>
          <w:jc w:val="center"/>
        </w:trPr>
        <w:tc>
          <w:tcPr>
            <w:tcW w:w="1384" w:type="dxa"/>
            <w:tcBorders>
              <w:left w:val="single" w:sz="8" w:space="0" w:color="auto"/>
            </w:tcBorders>
          </w:tcPr>
          <w:p w14:paraId="0326A233" w14:textId="77777777" w:rsidR="00A70C82" w:rsidRPr="00787CE4" w:rsidRDefault="00A70C82" w:rsidP="00BE3E86">
            <w:pPr>
              <w:spacing w:line="240" w:lineRule="auto"/>
              <w:jc w:val="center"/>
              <w:textAlignment w:val="baseline"/>
              <w:rPr>
                <w:bCs/>
                <w:kern w:val="24"/>
                <w:sz w:val="18"/>
                <w:szCs w:val="18"/>
                <w:lang w:val="en-US"/>
              </w:rPr>
            </w:pPr>
            <w:r w:rsidRPr="00787CE4">
              <w:rPr>
                <w:bCs/>
                <w:kern w:val="24"/>
                <w:sz w:val="18"/>
                <w:szCs w:val="18"/>
                <w:lang w:val="en-US"/>
              </w:rPr>
              <w:t>PEA 06</w:t>
            </w:r>
          </w:p>
          <w:p w14:paraId="7C2933F3" w14:textId="77777777" w:rsidR="00BE3E86" w:rsidRPr="00787CE4" w:rsidRDefault="00BE3E86" w:rsidP="00BE3E86">
            <w:pPr>
              <w:spacing w:line="240" w:lineRule="auto"/>
              <w:jc w:val="center"/>
              <w:textAlignment w:val="baseline"/>
              <w:rPr>
                <w:bCs/>
                <w:kern w:val="24"/>
                <w:sz w:val="18"/>
                <w:szCs w:val="18"/>
                <w:lang w:val="en-US"/>
              </w:rPr>
            </w:pPr>
            <w:r w:rsidRPr="00787CE4">
              <w:rPr>
                <w:bCs/>
                <w:kern w:val="24"/>
                <w:sz w:val="18"/>
                <w:szCs w:val="18"/>
                <w:lang w:val="en-US"/>
              </w:rPr>
              <w:t>(Asp)</w:t>
            </w:r>
          </w:p>
        </w:tc>
        <w:tc>
          <w:tcPr>
            <w:tcW w:w="1194" w:type="dxa"/>
          </w:tcPr>
          <w:p w14:paraId="53BADEAD" w14:textId="77777777" w:rsidR="00A70C82" w:rsidRPr="00787CE4" w:rsidRDefault="00A70C82" w:rsidP="00A70C82">
            <w:pPr>
              <w:spacing w:line="240" w:lineRule="auto"/>
              <w:jc w:val="center"/>
              <w:rPr>
                <w:sz w:val="18"/>
                <w:szCs w:val="18"/>
              </w:rPr>
            </w:pPr>
            <w:r w:rsidRPr="00787CE4">
              <w:rPr>
                <w:sz w:val="18"/>
                <w:szCs w:val="18"/>
              </w:rPr>
              <w:t>-</w:t>
            </w:r>
          </w:p>
        </w:tc>
        <w:tc>
          <w:tcPr>
            <w:tcW w:w="932" w:type="dxa"/>
          </w:tcPr>
          <w:p w14:paraId="42FD64E5" w14:textId="77777777" w:rsidR="00A70C82" w:rsidRPr="00787CE4" w:rsidRDefault="00A70C82" w:rsidP="00A70C82">
            <w:pPr>
              <w:spacing w:line="240" w:lineRule="auto"/>
              <w:jc w:val="center"/>
              <w:rPr>
                <w:sz w:val="18"/>
                <w:szCs w:val="18"/>
              </w:rPr>
            </w:pPr>
            <w:r w:rsidRPr="00787CE4">
              <w:rPr>
                <w:sz w:val="18"/>
                <w:szCs w:val="18"/>
              </w:rPr>
              <w:t>++</w:t>
            </w:r>
          </w:p>
        </w:tc>
        <w:tc>
          <w:tcPr>
            <w:tcW w:w="993" w:type="dxa"/>
          </w:tcPr>
          <w:p w14:paraId="0E147B10" w14:textId="77777777" w:rsidR="00A70C82" w:rsidRPr="00787CE4" w:rsidRDefault="00A70C82" w:rsidP="00A70C82">
            <w:pPr>
              <w:spacing w:line="240" w:lineRule="auto"/>
              <w:jc w:val="center"/>
              <w:rPr>
                <w:sz w:val="18"/>
                <w:szCs w:val="18"/>
              </w:rPr>
            </w:pPr>
            <w:r w:rsidRPr="00787CE4">
              <w:rPr>
                <w:sz w:val="18"/>
                <w:szCs w:val="18"/>
              </w:rPr>
              <w:t>+++</w:t>
            </w:r>
          </w:p>
        </w:tc>
        <w:tc>
          <w:tcPr>
            <w:tcW w:w="1701" w:type="dxa"/>
          </w:tcPr>
          <w:p w14:paraId="42C1CE6F" w14:textId="77777777" w:rsidR="00A70C82" w:rsidRPr="00787CE4" w:rsidRDefault="00A70C82" w:rsidP="00A70C82">
            <w:pPr>
              <w:spacing w:line="240" w:lineRule="auto"/>
              <w:jc w:val="center"/>
              <w:rPr>
                <w:sz w:val="18"/>
                <w:szCs w:val="18"/>
              </w:rPr>
            </w:pPr>
            <w:r w:rsidRPr="00787CE4">
              <w:rPr>
                <w:sz w:val="18"/>
                <w:szCs w:val="18"/>
              </w:rPr>
              <w:t>++</w:t>
            </w:r>
          </w:p>
          <w:p w14:paraId="201945F4" w14:textId="77777777" w:rsidR="00A70C82" w:rsidRPr="00787CE4" w:rsidRDefault="00A70C82" w:rsidP="00A70C82">
            <w:pPr>
              <w:spacing w:line="240" w:lineRule="auto"/>
              <w:jc w:val="center"/>
              <w:rPr>
                <w:sz w:val="18"/>
                <w:szCs w:val="18"/>
              </w:rPr>
            </w:pPr>
            <w:r w:rsidRPr="00787CE4">
              <w:rPr>
                <w:sz w:val="18"/>
                <w:szCs w:val="18"/>
              </w:rPr>
              <w:t>3:1</w:t>
            </w:r>
          </w:p>
        </w:tc>
        <w:tc>
          <w:tcPr>
            <w:tcW w:w="1275" w:type="dxa"/>
          </w:tcPr>
          <w:p w14:paraId="049D5C04" w14:textId="77777777" w:rsidR="00A70C82" w:rsidRPr="00787CE4" w:rsidRDefault="00A70C82" w:rsidP="00A70C82">
            <w:pPr>
              <w:spacing w:line="240" w:lineRule="auto"/>
              <w:jc w:val="center"/>
              <w:rPr>
                <w:sz w:val="18"/>
                <w:szCs w:val="18"/>
              </w:rPr>
            </w:pPr>
            <w:r w:rsidRPr="00787CE4">
              <w:rPr>
                <w:sz w:val="18"/>
                <w:szCs w:val="18"/>
              </w:rPr>
              <w:t>++</w:t>
            </w:r>
          </w:p>
          <w:p w14:paraId="23DFA5AD" w14:textId="77777777" w:rsidR="00A70C82" w:rsidRPr="00787CE4" w:rsidRDefault="00A70C82" w:rsidP="00A70C82">
            <w:pPr>
              <w:spacing w:line="240" w:lineRule="auto"/>
              <w:jc w:val="center"/>
              <w:rPr>
                <w:sz w:val="18"/>
                <w:szCs w:val="18"/>
              </w:rPr>
            </w:pPr>
            <w:r w:rsidRPr="00787CE4">
              <w:rPr>
                <w:sz w:val="18"/>
                <w:szCs w:val="18"/>
              </w:rPr>
              <w:t>pH ≥ 8</w:t>
            </w:r>
          </w:p>
        </w:tc>
        <w:tc>
          <w:tcPr>
            <w:tcW w:w="1560" w:type="dxa"/>
            <w:tcBorders>
              <w:right w:val="single" w:sz="8" w:space="0" w:color="auto"/>
            </w:tcBorders>
          </w:tcPr>
          <w:p w14:paraId="55E3955E" w14:textId="77777777" w:rsidR="00A70C82" w:rsidRPr="00787CE4" w:rsidRDefault="00A70C82" w:rsidP="00A70C82">
            <w:pPr>
              <w:keepNext/>
              <w:spacing w:line="240" w:lineRule="auto"/>
              <w:jc w:val="center"/>
              <w:rPr>
                <w:sz w:val="18"/>
                <w:szCs w:val="18"/>
              </w:rPr>
            </w:pPr>
            <w:r w:rsidRPr="00787CE4">
              <w:rPr>
                <w:sz w:val="18"/>
                <w:szCs w:val="18"/>
              </w:rPr>
              <w:t>na.</w:t>
            </w:r>
          </w:p>
        </w:tc>
      </w:tr>
      <w:tr w:rsidR="00F62053" w:rsidRPr="00787CE4" w14:paraId="4885747B" w14:textId="77777777" w:rsidTr="00041FCE">
        <w:trPr>
          <w:trHeight w:val="454"/>
          <w:jc w:val="center"/>
        </w:trPr>
        <w:tc>
          <w:tcPr>
            <w:tcW w:w="1384" w:type="dxa"/>
            <w:tcBorders>
              <w:left w:val="single" w:sz="8" w:space="0" w:color="auto"/>
            </w:tcBorders>
          </w:tcPr>
          <w:p w14:paraId="16934424" w14:textId="77777777" w:rsidR="00A70C82" w:rsidRPr="00787CE4" w:rsidRDefault="00A70C82" w:rsidP="00A70C82">
            <w:pPr>
              <w:spacing w:line="240" w:lineRule="auto"/>
              <w:jc w:val="center"/>
              <w:textAlignment w:val="baseline"/>
              <w:rPr>
                <w:bCs/>
                <w:kern w:val="24"/>
                <w:sz w:val="18"/>
                <w:szCs w:val="18"/>
                <w:lang w:val="en-US"/>
              </w:rPr>
            </w:pPr>
            <w:r w:rsidRPr="00787CE4">
              <w:rPr>
                <w:bCs/>
                <w:kern w:val="24"/>
                <w:sz w:val="18"/>
                <w:szCs w:val="18"/>
                <w:lang w:val="en-US"/>
              </w:rPr>
              <w:t>PEA 07</w:t>
            </w:r>
          </w:p>
          <w:p w14:paraId="2AA9D52C" w14:textId="77777777" w:rsidR="00A70C82" w:rsidRPr="00787CE4" w:rsidRDefault="00BE3E86" w:rsidP="00A70C82">
            <w:pPr>
              <w:spacing w:line="240" w:lineRule="auto"/>
              <w:jc w:val="center"/>
              <w:textAlignment w:val="baseline"/>
              <w:rPr>
                <w:bCs/>
                <w:kern w:val="24"/>
                <w:sz w:val="18"/>
                <w:szCs w:val="18"/>
                <w:lang w:val="en-US"/>
              </w:rPr>
            </w:pPr>
            <w:r w:rsidRPr="00787CE4">
              <w:rPr>
                <w:bCs/>
                <w:kern w:val="24"/>
                <w:sz w:val="18"/>
                <w:szCs w:val="18"/>
                <w:lang w:val="en-US"/>
              </w:rPr>
              <w:t>(Cys</w:t>
            </w:r>
            <w:r w:rsidR="00A70C82" w:rsidRPr="00787CE4">
              <w:rPr>
                <w:bCs/>
                <w:kern w:val="24"/>
                <w:sz w:val="18"/>
                <w:szCs w:val="18"/>
                <w:lang w:val="en-US"/>
              </w:rPr>
              <w:t>)</w:t>
            </w:r>
          </w:p>
        </w:tc>
        <w:tc>
          <w:tcPr>
            <w:tcW w:w="1194" w:type="dxa"/>
          </w:tcPr>
          <w:p w14:paraId="5063C662" w14:textId="77777777" w:rsidR="00A70C82" w:rsidRPr="00787CE4" w:rsidRDefault="00A70C82" w:rsidP="00A70C82">
            <w:pPr>
              <w:spacing w:line="240" w:lineRule="auto"/>
              <w:jc w:val="center"/>
              <w:rPr>
                <w:sz w:val="18"/>
                <w:szCs w:val="18"/>
              </w:rPr>
            </w:pPr>
            <w:r w:rsidRPr="00787CE4">
              <w:rPr>
                <w:sz w:val="18"/>
                <w:szCs w:val="18"/>
              </w:rPr>
              <w:t>--</w:t>
            </w:r>
          </w:p>
        </w:tc>
        <w:tc>
          <w:tcPr>
            <w:tcW w:w="932" w:type="dxa"/>
          </w:tcPr>
          <w:p w14:paraId="1EBE8FCB" w14:textId="77777777" w:rsidR="00A70C82" w:rsidRPr="00787CE4" w:rsidRDefault="00A70C82" w:rsidP="00A70C82">
            <w:pPr>
              <w:spacing w:line="240" w:lineRule="auto"/>
              <w:jc w:val="center"/>
              <w:rPr>
                <w:sz w:val="18"/>
                <w:szCs w:val="18"/>
              </w:rPr>
            </w:pPr>
            <w:r w:rsidRPr="00787CE4">
              <w:rPr>
                <w:sz w:val="18"/>
                <w:szCs w:val="18"/>
              </w:rPr>
              <w:t>+++</w:t>
            </w:r>
          </w:p>
        </w:tc>
        <w:tc>
          <w:tcPr>
            <w:tcW w:w="993" w:type="dxa"/>
          </w:tcPr>
          <w:p w14:paraId="0F9F31B2" w14:textId="77777777" w:rsidR="00A70C82" w:rsidRPr="00787CE4" w:rsidRDefault="00A70C82" w:rsidP="00A70C82">
            <w:pPr>
              <w:spacing w:line="240" w:lineRule="auto"/>
              <w:jc w:val="center"/>
              <w:rPr>
                <w:sz w:val="18"/>
                <w:szCs w:val="18"/>
              </w:rPr>
            </w:pPr>
            <w:r w:rsidRPr="00787CE4">
              <w:rPr>
                <w:sz w:val="18"/>
                <w:szCs w:val="18"/>
              </w:rPr>
              <w:t>+</w:t>
            </w:r>
          </w:p>
        </w:tc>
        <w:tc>
          <w:tcPr>
            <w:tcW w:w="1701" w:type="dxa"/>
          </w:tcPr>
          <w:p w14:paraId="6942300F" w14:textId="77777777" w:rsidR="00A70C82" w:rsidRPr="00787CE4" w:rsidRDefault="00A70C82" w:rsidP="00A70C82">
            <w:pPr>
              <w:spacing w:line="240" w:lineRule="auto"/>
              <w:jc w:val="center"/>
              <w:rPr>
                <w:sz w:val="18"/>
                <w:szCs w:val="18"/>
              </w:rPr>
            </w:pPr>
            <w:r w:rsidRPr="00787CE4">
              <w:rPr>
                <w:sz w:val="18"/>
                <w:szCs w:val="18"/>
              </w:rPr>
              <w:t>-</w:t>
            </w:r>
          </w:p>
        </w:tc>
        <w:tc>
          <w:tcPr>
            <w:tcW w:w="1275" w:type="dxa"/>
          </w:tcPr>
          <w:p w14:paraId="2B3AAAB5" w14:textId="77777777" w:rsidR="00A70C82" w:rsidRPr="00787CE4" w:rsidRDefault="00A70C82" w:rsidP="00A70C82">
            <w:pPr>
              <w:spacing w:line="240" w:lineRule="auto"/>
              <w:jc w:val="center"/>
              <w:rPr>
                <w:sz w:val="18"/>
                <w:szCs w:val="18"/>
              </w:rPr>
            </w:pPr>
            <w:r w:rsidRPr="00787CE4">
              <w:rPr>
                <w:sz w:val="18"/>
                <w:szCs w:val="18"/>
              </w:rPr>
              <w:t>--</w:t>
            </w:r>
          </w:p>
        </w:tc>
        <w:tc>
          <w:tcPr>
            <w:tcW w:w="1560" w:type="dxa"/>
            <w:tcBorders>
              <w:right w:val="single" w:sz="8" w:space="0" w:color="auto"/>
            </w:tcBorders>
          </w:tcPr>
          <w:p w14:paraId="04B3B3E1" w14:textId="77777777" w:rsidR="00A70C82" w:rsidRPr="00787CE4" w:rsidRDefault="00D403D0" w:rsidP="00A70C82">
            <w:pPr>
              <w:keepNext/>
              <w:spacing w:line="240" w:lineRule="auto"/>
              <w:jc w:val="center"/>
              <w:rPr>
                <w:sz w:val="18"/>
                <w:szCs w:val="18"/>
              </w:rPr>
            </w:pPr>
            <w:r w:rsidRPr="00787CE4">
              <w:rPr>
                <w:sz w:val="18"/>
                <w:szCs w:val="18"/>
              </w:rPr>
              <w:t>++</w:t>
            </w:r>
          </w:p>
          <w:p w14:paraId="7D087535" w14:textId="77777777" w:rsidR="00D403D0" w:rsidRPr="00787CE4" w:rsidRDefault="00D403D0" w:rsidP="00A70C82">
            <w:pPr>
              <w:keepNext/>
              <w:spacing w:line="240" w:lineRule="auto"/>
              <w:jc w:val="center"/>
              <w:rPr>
                <w:sz w:val="18"/>
                <w:szCs w:val="18"/>
              </w:rPr>
            </w:pPr>
            <w:r w:rsidRPr="00787CE4">
              <w:rPr>
                <w:sz w:val="18"/>
                <w:szCs w:val="18"/>
              </w:rPr>
              <w:t>3:1</w:t>
            </w:r>
          </w:p>
        </w:tc>
      </w:tr>
      <w:tr w:rsidR="00F62053" w:rsidRPr="00787CE4" w14:paraId="37E4B1D5" w14:textId="77777777" w:rsidTr="00041FCE">
        <w:trPr>
          <w:trHeight w:val="454"/>
          <w:jc w:val="center"/>
        </w:trPr>
        <w:tc>
          <w:tcPr>
            <w:tcW w:w="1384" w:type="dxa"/>
            <w:tcBorders>
              <w:left w:val="single" w:sz="8" w:space="0" w:color="auto"/>
            </w:tcBorders>
          </w:tcPr>
          <w:p w14:paraId="42D260D5" w14:textId="77777777" w:rsidR="00BE3E86" w:rsidRPr="00787CE4" w:rsidRDefault="00BE3E86" w:rsidP="00A70C82">
            <w:pPr>
              <w:spacing w:line="240" w:lineRule="auto"/>
              <w:jc w:val="center"/>
              <w:textAlignment w:val="baseline"/>
              <w:rPr>
                <w:bCs/>
                <w:kern w:val="24"/>
                <w:sz w:val="18"/>
                <w:szCs w:val="18"/>
                <w:lang w:val="en-US"/>
              </w:rPr>
            </w:pPr>
            <w:r w:rsidRPr="00787CE4">
              <w:rPr>
                <w:bCs/>
                <w:kern w:val="24"/>
                <w:sz w:val="18"/>
                <w:szCs w:val="18"/>
                <w:lang w:val="en-US"/>
              </w:rPr>
              <w:t>PEA 09</w:t>
            </w:r>
          </w:p>
          <w:p w14:paraId="1BD9B687" w14:textId="77777777" w:rsidR="00BE3E86" w:rsidRPr="00787CE4" w:rsidRDefault="00BE3E86" w:rsidP="00A70C82">
            <w:pPr>
              <w:spacing w:line="240" w:lineRule="auto"/>
              <w:jc w:val="center"/>
              <w:textAlignment w:val="baseline"/>
              <w:rPr>
                <w:bCs/>
                <w:kern w:val="24"/>
                <w:sz w:val="18"/>
                <w:szCs w:val="18"/>
                <w:lang w:val="en-US"/>
              </w:rPr>
            </w:pPr>
            <w:r w:rsidRPr="00787CE4">
              <w:rPr>
                <w:bCs/>
                <w:kern w:val="24"/>
                <w:sz w:val="18"/>
                <w:szCs w:val="18"/>
                <w:lang w:val="en-US"/>
              </w:rPr>
              <w:t>(Cys)</w:t>
            </w:r>
          </w:p>
        </w:tc>
        <w:tc>
          <w:tcPr>
            <w:tcW w:w="1194" w:type="dxa"/>
          </w:tcPr>
          <w:p w14:paraId="0A3C2925" w14:textId="77777777" w:rsidR="00BE3E86" w:rsidRPr="00787CE4" w:rsidRDefault="00BE3E86" w:rsidP="00A70C82">
            <w:pPr>
              <w:spacing w:line="240" w:lineRule="auto"/>
              <w:jc w:val="center"/>
              <w:rPr>
                <w:sz w:val="18"/>
                <w:szCs w:val="18"/>
              </w:rPr>
            </w:pPr>
            <w:r w:rsidRPr="00787CE4">
              <w:rPr>
                <w:sz w:val="18"/>
                <w:szCs w:val="18"/>
              </w:rPr>
              <w:t>--</w:t>
            </w:r>
          </w:p>
        </w:tc>
        <w:tc>
          <w:tcPr>
            <w:tcW w:w="932" w:type="dxa"/>
          </w:tcPr>
          <w:p w14:paraId="41032A96" w14:textId="77777777" w:rsidR="00BE3E86" w:rsidRPr="00787CE4" w:rsidRDefault="00BE3E86" w:rsidP="00A70C82">
            <w:pPr>
              <w:spacing w:line="240" w:lineRule="auto"/>
              <w:jc w:val="center"/>
              <w:rPr>
                <w:sz w:val="18"/>
                <w:szCs w:val="18"/>
              </w:rPr>
            </w:pPr>
            <w:r w:rsidRPr="00787CE4">
              <w:rPr>
                <w:sz w:val="18"/>
                <w:szCs w:val="18"/>
              </w:rPr>
              <w:t>++</w:t>
            </w:r>
          </w:p>
        </w:tc>
        <w:tc>
          <w:tcPr>
            <w:tcW w:w="993" w:type="dxa"/>
          </w:tcPr>
          <w:p w14:paraId="31859489" w14:textId="77777777" w:rsidR="00BE3E86" w:rsidRPr="00787CE4" w:rsidRDefault="004C270D" w:rsidP="00A70C82">
            <w:pPr>
              <w:spacing w:line="240" w:lineRule="auto"/>
              <w:jc w:val="center"/>
              <w:rPr>
                <w:sz w:val="18"/>
                <w:szCs w:val="18"/>
              </w:rPr>
            </w:pPr>
            <w:r w:rsidRPr="00787CE4">
              <w:rPr>
                <w:sz w:val="18"/>
                <w:szCs w:val="18"/>
              </w:rPr>
              <w:t>+</w:t>
            </w:r>
          </w:p>
        </w:tc>
        <w:tc>
          <w:tcPr>
            <w:tcW w:w="1701" w:type="dxa"/>
          </w:tcPr>
          <w:p w14:paraId="6CA00FA7" w14:textId="77777777" w:rsidR="00BE3E86" w:rsidRPr="00787CE4" w:rsidRDefault="00D403D0" w:rsidP="00A70C82">
            <w:pPr>
              <w:spacing w:line="240" w:lineRule="auto"/>
              <w:jc w:val="center"/>
              <w:rPr>
                <w:sz w:val="18"/>
                <w:szCs w:val="18"/>
              </w:rPr>
            </w:pPr>
            <w:r w:rsidRPr="00787CE4">
              <w:rPr>
                <w:sz w:val="18"/>
                <w:szCs w:val="18"/>
              </w:rPr>
              <w:t>-</w:t>
            </w:r>
          </w:p>
        </w:tc>
        <w:tc>
          <w:tcPr>
            <w:tcW w:w="1275" w:type="dxa"/>
          </w:tcPr>
          <w:p w14:paraId="5385693C" w14:textId="77777777" w:rsidR="00BE3E86" w:rsidRPr="00787CE4" w:rsidRDefault="004C270D" w:rsidP="00A70C82">
            <w:pPr>
              <w:spacing w:line="240" w:lineRule="auto"/>
              <w:jc w:val="center"/>
              <w:rPr>
                <w:sz w:val="18"/>
                <w:szCs w:val="18"/>
              </w:rPr>
            </w:pPr>
            <w:r w:rsidRPr="00787CE4">
              <w:rPr>
                <w:sz w:val="18"/>
                <w:szCs w:val="18"/>
              </w:rPr>
              <w:t>--</w:t>
            </w:r>
          </w:p>
        </w:tc>
        <w:tc>
          <w:tcPr>
            <w:tcW w:w="1560" w:type="dxa"/>
            <w:tcBorders>
              <w:right w:val="single" w:sz="8" w:space="0" w:color="auto"/>
            </w:tcBorders>
          </w:tcPr>
          <w:p w14:paraId="40230E78" w14:textId="77777777" w:rsidR="00BE3E86" w:rsidRPr="00787CE4" w:rsidRDefault="00D403D0" w:rsidP="00A70C82">
            <w:pPr>
              <w:keepNext/>
              <w:spacing w:line="240" w:lineRule="auto"/>
              <w:jc w:val="center"/>
              <w:rPr>
                <w:sz w:val="18"/>
                <w:szCs w:val="18"/>
              </w:rPr>
            </w:pPr>
            <w:r w:rsidRPr="00787CE4">
              <w:rPr>
                <w:sz w:val="18"/>
                <w:szCs w:val="18"/>
              </w:rPr>
              <w:t>++</w:t>
            </w:r>
          </w:p>
          <w:p w14:paraId="1BEEEC1C" w14:textId="77777777" w:rsidR="00D403D0" w:rsidRPr="00787CE4" w:rsidRDefault="00D403D0" w:rsidP="00A70C82">
            <w:pPr>
              <w:keepNext/>
              <w:spacing w:line="240" w:lineRule="auto"/>
              <w:jc w:val="center"/>
              <w:rPr>
                <w:sz w:val="18"/>
                <w:szCs w:val="18"/>
              </w:rPr>
            </w:pPr>
            <w:r w:rsidRPr="00787CE4">
              <w:rPr>
                <w:sz w:val="18"/>
                <w:szCs w:val="18"/>
              </w:rPr>
              <w:t>3:1</w:t>
            </w:r>
          </w:p>
        </w:tc>
      </w:tr>
      <w:tr w:rsidR="00F62053" w:rsidRPr="00787CE4" w14:paraId="15B6BE34" w14:textId="77777777" w:rsidTr="00041FCE">
        <w:trPr>
          <w:trHeight w:val="454"/>
          <w:jc w:val="center"/>
        </w:trPr>
        <w:tc>
          <w:tcPr>
            <w:tcW w:w="1384" w:type="dxa"/>
            <w:tcBorders>
              <w:left w:val="single" w:sz="8" w:space="0" w:color="auto"/>
              <w:bottom w:val="single" w:sz="8" w:space="0" w:color="auto"/>
            </w:tcBorders>
          </w:tcPr>
          <w:p w14:paraId="5B87130A" w14:textId="77777777" w:rsidR="00BE3E86" w:rsidRPr="00787CE4" w:rsidRDefault="00BE3E86" w:rsidP="00A70C82">
            <w:pPr>
              <w:spacing w:line="240" w:lineRule="auto"/>
              <w:jc w:val="center"/>
              <w:textAlignment w:val="baseline"/>
              <w:rPr>
                <w:bCs/>
                <w:kern w:val="24"/>
                <w:sz w:val="18"/>
                <w:szCs w:val="18"/>
                <w:lang w:val="en-US"/>
              </w:rPr>
            </w:pPr>
            <w:r w:rsidRPr="00787CE4">
              <w:rPr>
                <w:bCs/>
                <w:kern w:val="24"/>
                <w:sz w:val="18"/>
                <w:szCs w:val="18"/>
                <w:lang w:val="en-US"/>
              </w:rPr>
              <w:t>PEA 10</w:t>
            </w:r>
          </w:p>
          <w:p w14:paraId="67F25E97" w14:textId="77777777" w:rsidR="00BE3E86" w:rsidRPr="00787CE4" w:rsidRDefault="00BE3E86" w:rsidP="00A70C82">
            <w:pPr>
              <w:spacing w:line="240" w:lineRule="auto"/>
              <w:jc w:val="center"/>
              <w:textAlignment w:val="baseline"/>
              <w:rPr>
                <w:bCs/>
                <w:kern w:val="24"/>
                <w:sz w:val="18"/>
                <w:szCs w:val="18"/>
                <w:lang w:val="en-US"/>
              </w:rPr>
            </w:pPr>
            <w:r w:rsidRPr="00787CE4">
              <w:rPr>
                <w:bCs/>
                <w:kern w:val="24"/>
                <w:sz w:val="18"/>
                <w:szCs w:val="18"/>
                <w:lang w:val="en-US"/>
              </w:rPr>
              <w:t>(Cys)</w:t>
            </w:r>
          </w:p>
        </w:tc>
        <w:tc>
          <w:tcPr>
            <w:tcW w:w="1194" w:type="dxa"/>
            <w:tcBorders>
              <w:bottom w:val="single" w:sz="8" w:space="0" w:color="auto"/>
            </w:tcBorders>
          </w:tcPr>
          <w:p w14:paraId="5823BFA4" w14:textId="77777777" w:rsidR="00BE3E86" w:rsidRPr="00787CE4" w:rsidRDefault="00BE3E86" w:rsidP="00A70C82">
            <w:pPr>
              <w:spacing w:line="240" w:lineRule="auto"/>
              <w:jc w:val="center"/>
              <w:rPr>
                <w:sz w:val="18"/>
                <w:szCs w:val="18"/>
              </w:rPr>
            </w:pPr>
            <w:r w:rsidRPr="00787CE4">
              <w:rPr>
                <w:sz w:val="18"/>
                <w:szCs w:val="18"/>
              </w:rPr>
              <w:t>-</w:t>
            </w:r>
          </w:p>
        </w:tc>
        <w:tc>
          <w:tcPr>
            <w:tcW w:w="932" w:type="dxa"/>
            <w:tcBorders>
              <w:bottom w:val="single" w:sz="8" w:space="0" w:color="auto"/>
            </w:tcBorders>
          </w:tcPr>
          <w:p w14:paraId="6E7BC8EC" w14:textId="77777777" w:rsidR="00BE3E86" w:rsidRPr="00787CE4" w:rsidRDefault="00BE3E86" w:rsidP="00A70C82">
            <w:pPr>
              <w:spacing w:line="240" w:lineRule="auto"/>
              <w:jc w:val="center"/>
              <w:rPr>
                <w:sz w:val="18"/>
                <w:szCs w:val="18"/>
              </w:rPr>
            </w:pPr>
            <w:r w:rsidRPr="00787CE4">
              <w:rPr>
                <w:sz w:val="18"/>
                <w:szCs w:val="18"/>
              </w:rPr>
              <w:t>++</w:t>
            </w:r>
          </w:p>
        </w:tc>
        <w:tc>
          <w:tcPr>
            <w:tcW w:w="993" w:type="dxa"/>
            <w:tcBorders>
              <w:bottom w:val="single" w:sz="8" w:space="0" w:color="auto"/>
            </w:tcBorders>
          </w:tcPr>
          <w:p w14:paraId="1DD7F77A" w14:textId="77777777" w:rsidR="00BE3E86" w:rsidRPr="00787CE4" w:rsidRDefault="004C270D" w:rsidP="00A70C82">
            <w:pPr>
              <w:spacing w:line="240" w:lineRule="auto"/>
              <w:jc w:val="center"/>
              <w:rPr>
                <w:sz w:val="18"/>
                <w:szCs w:val="18"/>
              </w:rPr>
            </w:pPr>
            <w:r w:rsidRPr="00787CE4">
              <w:rPr>
                <w:sz w:val="18"/>
                <w:szCs w:val="18"/>
              </w:rPr>
              <w:t>+</w:t>
            </w:r>
          </w:p>
        </w:tc>
        <w:tc>
          <w:tcPr>
            <w:tcW w:w="1701" w:type="dxa"/>
            <w:tcBorders>
              <w:bottom w:val="single" w:sz="8" w:space="0" w:color="auto"/>
            </w:tcBorders>
          </w:tcPr>
          <w:p w14:paraId="013DD2F9" w14:textId="77777777" w:rsidR="00BE3E86" w:rsidRPr="00787CE4" w:rsidRDefault="00D403D0" w:rsidP="00A70C82">
            <w:pPr>
              <w:spacing w:line="240" w:lineRule="auto"/>
              <w:jc w:val="center"/>
              <w:rPr>
                <w:sz w:val="18"/>
                <w:szCs w:val="18"/>
              </w:rPr>
            </w:pPr>
            <w:r w:rsidRPr="00787CE4">
              <w:rPr>
                <w:sz w:val="18"/>
                <w:szCs w:val="18"/>
              </w:rPr>
              <w:t>-</w:t>
            </w:r>
          </w:p>
        </w:tc>
        <w:tc>
          <w:tcPr>
            <w:tcW w:w="1275" w:type="dxa"/>
            <w:tcBorders>
              <w:bottom w:val="single" w:sz="8" w:space="0" w:color="auto"/>
            </w:tcBorders>
          </w:tcPr>
          <w:p w14:paraId="3BD35128" w14:textId="77777777" w:rsidR="00BE3E86" w:rsidRPr="00787CE4" w:rsidRDefault="004C270D" w:rsidP="00A70C82">
            <w:pPr>
              <w:spacing w:line="240" w:lineRule="auto"/>
              <w:jc w:val="center"/>
              <w:rPr>
                <w:sz w:val="18"/>
                <w:szCs w:val="18"/>
              </w:rPr>
            </w:pPr>
            <w:r w:rsidRPr="00787CE4">
              <w:rPr>
                <w:sz w:val="18"/>
                <w:szCs w:val="18"/>
              </w:rPr>
              <w:t>--</w:t>
            </w:r>
          </w:p>
        </w:tc>
        <w:tc>
          <w:tcPr>
            <w:tcW w:w="1560" w:type="dxa"/>
            <w:tcBorders>
              <w:bottom w:val="single" w:sz="8" w:space="0" w:color="auto"/>
              <w:right w:val="single" w:sz="8" w:space="0" w:color="auto"/>
            </w:tcBorders>
          </w:tcPr>
          <w:p w14:paraId="34DD35F0" w14:textId="77777777" w:rsidR="00BE3E86" w:rsidRPr="00787CE4" w:rsidRDefault="00D403D0" w:rsidP="00A70C82">
            <w:pPr>
              <w:keepNext/>
              <w:spacing w:line="240" w:lineRule="auto"/>
              <w:jc w:val="center"/>
              <w:rPr>
                <w:sz w:val="18"/>
                <w:szCs w:val="18"/>
              </w:rPr>
            </w:pPr>
            <w:r w:rsidRPr="00787CE4">
              <w:rPr>
                <w:sz w:val="18"/>
                <w:szCs w:val="18"/>
              </w:rPr>
              <w:t>++</w:t>
            </w:r>
          </w:p>
          <w:p w14:paraId="256B054A" w14:textId="77777777" w:rsidR="00D403D0" w:rsidRPr="00787CE4" w:rsidRDefault="00D403D0" w:rsidP="00A70C82">
            <w:pPr>
              <w:keepNext/>
              <w:spacing w:line="240" w:lineRule="auto"/>
              <w:jc w:val="center"/>
              <w:rPr>
                <w:sz w:val="18"/>
                <w:szCs w:val="18"/>
              </w:rPr>
            </w:pPr>
            <w:r w:rsidRPr="00787CE4">
              <w:rPr>
                <w:sz w:val="18"/>
                <w:szCs w:val="18"/>
              </w:rPr>
              <w:t>2:1</w:t>
            </w:r>
          </w:p>
        </w:tc>
      </w:tr>
    </w:tbl>
    <w:p w14:paraId="1EAB8DF6" w14:textId="77777777" w:rsidR="00A70C82" w:rsidRPr="00787CE4" w:rsidRDefault="00A70C82" w:rsidP="001F05E1">
      <w:pPr>
        <w:rPr>
          <w:rFonts w:cs="Times New Roman"/>
        </w:rPr>
      </w:pPr>
    </w:p>
    <w:p w14:paraId="3671CB44" w14:textId="77777777" w:rsidR="00FB2A0F" w:rsidRDefault="00FB2A0F" w:rsidP="009414AF">
      <w:pPr>
        <w:rPr>
          <w:rFonts w:cs="Times New Roman"/>
        </w:rPr>
      </w:pPr>
      <w:r w:rsidRPr="00787CE4">
        <w:rPr>
          <w:rFonts w:cs="Times New Roman"/>
        </w:rPr>
        <w:t>Aus den Löslichkeitsversuchen geht hervor, dass alle getesteten PEA Polymere in Ethylacetat praktisch unlöslich oder nur in Spuren löslich waren.</w:t>
      </w:r>
      <w:r w:rsidR="004A16C3">
        <w:rPr>
          <w:rFonts w:cs="Times New Roman"/>
        </w:rPr>
        <w:t xml:space="preserve"> Alle Pol</w:t>
      </w:r>
      <w:r w:rsidR="00FC53D0">
        <w:rPr>
          <w:rFonts w:cs="Times New Roman"/>
        </w:rPr>
        <w:t>ymere waren wenig</w:t>
      </w:r>
      <w:r w:rsidR="004A16C3">
        <w:rPr>
          <w:rFonts w:cs="Times New Roman"/>
        </w:rPr>
        <w:t xml:space="preserve"> bis sehr gut in Dichlormethan (DCM) löslich. Aus toxikologischen Gesichtspunkten sollte der Einsatz dieses Lösungsmittels jedoch auf ein Minimum reduziert werden. Die Polymere mit Asparaginsäure waren bis auf PEA 03 gut in Aceton löslich. Aufgrund der </w:t>
      </w:r>
      <w:r w:rsidR="005C0C84">
        <w:rPr>
          <w:rFonts w:cs="Times New Roman"/>
        </w:rPr>
        <w:t xml:space="preserve">hervorragenden </w:t>
      </w:r>
      <w:r w:rsidR="004A16C3">
        <w:rPr>
          <w:rFonts w:cs="Times New Roman"/>
        </w:rPr>
        <w:t>Mischbarkeit mit Wasser eignet sich Aceton je</w:t>
      </w:r>
      <w:r w:rsidR="00B6394D">
        <w:rPr>
          <w:rFonts w:cs="Times New Roman"/>
        </w:rPr>
        <w:t>doch nicht zur Herstellung wässriger</w:t>
      </w:r>
      <w:r w:rsidR="004A16C3">
        <w:rPr>
          <w:rFonts w:cs="Times New Roman"/>
        </w:rPr>
        <w:t xml:space="preserve"> Emulsion</w:t>
      </w:r>
      <w:r w:rsidR="00B6394D">
        <w:rPr>
          <w:rFonts w:cs="Times New Roman"/>
        </w:rPr>
        <w:t>en</w:t>
      </w:r>
      <w:r w:rsidR="004A16C3">
        <w:rPr>
          <w:rFonts w:cs="Times New Roman"/>
        </w:rPr>
        <w:t xml:space="preserve">. Die Cystein PEA Polymere waren </w:t>
      </w:r>
      <w:r w:rsidR="00FC53D0">
        <w:rPr>
          <w:rFonts w:cs="Times New Roman"/>
        </w:rPr>
        <w:t xml:space="preserve">nur </w:t>
      </w:r>
      <w:r w:rsidR="004A16C3">
        <w:rPr>
          <w:rFonts w:cs="Times New Roman"/>
        </w:rPr>
        <w:t>teilwei</w:t>
      </w:r>
      <w:r w:rsidR="00FC53D0">
        <w:rPr>
          <w:rFonts w:cs="Times New Roman"/>
        </w:rPr>
        <w:t>se in Aceton löslich, es verblie</w:t>
      </w:r>
      <w:r w:rsidR="001F05E1">
        <w:rPr>
          <w:rFonts w:cs="Times New Roman"/>
        </w:rPr>
        <w:t>b bei allen Chargen</w:t>
      </w:r>
      <w:r w:rsidR="004A16C3">
        <w:rPr>
          <w:rFonts w:cs="Times New Roman"/>
        </w:rPr>
        <w:t xml:space="preserve"> ein unlöslicher Ant</w:t>
      </w:r>
      <w:r w:rsidR="00FC53D0">
        <w:rPr>
          <w:rFonts w:cs="Times New Roman"/>
        </w:rPr>
        <w:t xml:space="preserve">eil, der die Lösung trübte. Sie konnten jedoch mit einer </w:t>
      </w:r>
      <w:r w:rsidR="00FC53D0">
        <w:rPr>
          <w:rFonts w:cs="Times New Roman"/>
        </w:rPr>
        <w:lastRenderedPageBreak/>
        <w:t>Konzentration von 2% vollständig in einer Mi</w:t>
      </w:r>
      <w:r w:rsidR="00F21FA1">
        <w:rPr>
          <w:rFonts w:cs="Times New Roman"/>
        </w:rPr>
        <w:t>schung von Ethylacetat und DCM</w:t>
      </w:r>
      <w:r w:rsidR="00FC53D0">
        <w:rPr>
          <w:rFonts w:cs="Times New Roman"/>
        </w:rPr>
        <w:t xml:space="preserve"> in unterschiedlichen Verhältnissen gelöst werden. In den Mischungen von Ethylacetat und Aceton, die sich zum Lösen der Asparaginsäure PEA Polymere </w:t>
      </w:r>
      <w:r w:rsidR="009B4B6D">
        <w:rPr>
          <w:rFonts w:cs="Times New Roman"/>
        </w:rPr>
        <w:t xml:space="preserve">hervorragend </w:t>
      </w:r>
      <w:r w:rsidR="00FC53D0">
        <w:rPr>
          <w:rFonts w:cs="Times New Roman"/>
        </w:rPr>
        <w:t>eigneten,</w:t>
      </w:r>
      <w:r w:rsidR="00B24EE2">
        <w:rPr>
          <w:rFonts w:cs="Times New Roman"/>
        </w:rPr>
        <w:t xml:space="preserve"> waren die Cystein PEA Polymere</w:t>
      </w:r>
      <w:r w:rsidR="005C0C84">
        <w:rPr>
          <w:rFonts w:cs="Times New Roman"/>
        </w:rPr>
        <w:t xml:space="preserve"> </w:t>
      </w:r>
      <w:r w:rsidR="00FC53D0">
        <w:rPr>
          <w:rFonts w:cs="Times New Roman"/>
        </w:rPr>
        <w:t>nicht löslich.</w:t>
      </w:r>
    </w:p>
    <w:p w14:paraId="468FD2AF" w14:textId="77777777" w:rsidR="00573F34" w:rsidRDefault="00573F34" w:rsidP="009414AF">
      <w:pPr>
        <w:rPr>
          <w:rFonts w:cs="Times New Roman"/>
        </w:rPr>
      </w:pPr>
      <w:r>
        <w:rPr>
          <w:rFonts w:cs="Times New Roman"/>
        </w:rPr>
        <w:t xml:space="preserve">Die Lysin PEA Polymere konnten wie bereits erwähnt nur bis zu maximal 70% entschützt werden und waren </w:t>
      </w:r>
      <w:r w:rsidR="006A1B34">
        <w:rPr>
          <w:rFonts w:cs="Times New Roman"/>
        </w:rPr>
        <w:t>offensichtlich aus diesem Grund in keinem der getesteten Lösungsmittel löslich. Sie kamen daher nicht</w:t>
      </w:r>
      <w:r>
        <w:rPr>
          <w:rFonts w:cs="Times New Roman"/>
        </w:rPr>
        <w:t xml:space="preserve"> für die Formulierung v</w:t>
      </w:r>
      <w:r w:rsidR="006A1B34">
        <w:rPr>
          <w:rFonts w:cs="Times New Roman"/>
        </w:rPr>
        <w:t>on Nanopartikeln in Frage. Eine Optimierung des Entschützungsprozesses im Zuge der Synthese ist nicht zuletzt auch aus toxikologischen Gründen für diese PEA Klasse zunächst angezeigt.</w:t>
      </w:r>
    </w:p>
    <w:p w14:paraId="16925B65" w14:textId="77777777" w:rsidR="007E7E96" w:rsidRDefault="006A1B34" w:rsidP="009414AF">
      <w:pPr>
        <w:rPr>
          <w:rFonts w:cs="Times New Roman"/>
        </w:rPr>
      </w:pPr>
      <w:r>
        <w:rPr>
          <w:rFonts w:cs="Times New Roman"/>
        </w:rPr>
        <w:t>Ein besonders hervorzuhebendes Ergebnis der Löslichkeitstests ist die Beobachtung</w:t>
      </w:r>
      <w:r w:rsidR="007E7E96">
        <w:rPr>
          <w:rFonts w:cs="Times New Roman"/>
        </w:rPr>
        <w:t>, dass die</w:t>
      </w:r>
      <w:r w:rsidR="00D71962">
        <w:rPr>
          <w:rFonts w:cs="Times New Roman"/>
        </w:rPr>
        <w:t xml:space="preserve"> Asparaginsäure PEA </w:t>
      </w:r>
      <w:r w:rsidR="00B6394D">
        <w:rPr>
          <w:rFonts w:cs="Times New Roman"/>
        </w:rPr>
        <w:t>Polymere in Abhängigkeit vom pH-</w:t>
      </w:r>
      <w:r w:rsidR="00D71962">
        <w:rPr>
          <w:rFonts w:cs="Times New Roman"/>
        </w:rPr>
        <w:t>Wert in Wasser löslich waren</w:t>
      </w:r>
      <w:r w:rsidR="007E7E96">
        <w:rPr>
          <w:rFonts w:cs="Times New Roman"/>
        </w:rPr>
        <w:t xml:space="preserve">. </w:t>
      </w:r>
      <w:r w:rsidR="00B6394D">
        <w:rPr>
          <w:rFonts w:cs="Times New Roman"/>
        </w:rPr>
        <w:t>Dies lässt sich dadurch</w:t>
      </w:r>
      <w:r w:rsidR="00733B36">
        <w:rPr>
          <w:rFonts w:cs="Times New Roman"/>
        </w:rPr>
        <w:t xml:space="preserve"> erklären, dass die Carboxyl-Seitengruppen der Asparaginsäure PEA Polymere in wässrigen Lösungen</w:t>
      </w:r>
      <w:r w:rsidR="00514C3F">
        <w:rPr>
          <w:rFonts w:cs="Times New Roman"/>
        </w:rPr>
        <w:t xml:space="preserve"> abhängig vom pH-Wert</w:t>
      </w:r>
      <w:r w:rsidR="00733B36">
        <w:rPr>
          <w:rFonts w:cs="Times New Roman"/>
        </w:rPr>
        <w:t xml:space="preserve"> deprotoniert werden kön</w:t>
      </w:r>
      <w:r w:rsidR="00F21FA1">
        <w:rPr>
          <w:rFonts w:cs="Times New Roman"/>
        </w:rPr>
        <w:t>nen, wodurch</w:t>
      </w:r>
      <w:r w:rsidR="003A562A">
        <w:rPr>
          <w:rFonts w:cs="Times New Roman"/>
        </w:rPr>
        <w:t xml:space="preserve"> eine negative</w:t>
      </w:r>
      <w:r w:rsidR="00F21FA1">
        <w:rPr>
          <w:rFonts w:cs="Times New Roman"/>
        </w:rPr>
        <w:t xml:space="preserve"> Ladung des Polymers resultiert</w:t>
      </w:r>
      <w:r w:rsidR="00733B36">
        <w:rPr>
          <w:rFonts w:cs="Times New Roman"/>
        </w:rPr>
        <w:t xml:space="preserve">. </w:t>
      </w:r>
      <w:r w:rsidR="00514C3F">
        <w:rPr>
          <w:rFonts w:cs="Times New Roman"/>
        </w:rPr>
        <w:t>Aufgrund der Zunahme negativer Ladungen im Polymer steigt dessen Löslichkeit in Wasser stark an, sodass es schließlich in Abhängigkeit des pH-Wertes vollständig in Lösung geht.</w:t>
      </w:r>
      <w:r w:rsidR="00733B36">
        <w:rPr>
          <w:rFonts w:cs="Times New Roman"/>
        </w:rPr>
        <w:t xml:space="preserve"> </w:t>
      </w:r>
      <w:r w:rsidR="00735F8B">
        <w:rPr>
          <w:rFonts w:cs="Times New Roman"/>
        </w:rPr>
        <w:t xml:space="preserve">Es </w:t>
      </w:r>
      <w:r w:rsidR="00F62053">
        <w:rPr>
          <w:rFonts w:cs="Times New Roman"/>
        </w:rPr>
        <w:t>besteht ein Zusammenhang zwischen dem Gehalt an Asparaginsäure u</w:t>
      </w:r>
      <w:r w:rsidR="00B6394D">
        <w:rPr>
          <w:rFonts w:cs="Times New Roman"/>
        </w:rPr>
        <w:t>nd dem pH-</w:t>
      </w:r>
      <w:r w:rsidR="003E4C52">
        <w:rPr>
          <w:rFonts w:cs="Times New Roman"/>
        </w:rPr>
        <w:t>Wert, ab dem die Polymere beginnen sich zu lösen</w:t>
      </w:r>
      <w:r w:rsidR="00F62053">
        <w:rPr>
          <w:rFonts w:cs="Times New Roman"/>
        </w:rPr>
        <w:t xml:space="preserve">. Mit steigendem Anteil an Asparaginsäure </w:t>
      </w:r>
      <w:r w:rsidR="00B6394D">
        <w:rPr>
          <w:rFonts w:cs="Times New Roman"/>
        </w:rPr>
        <w:t>Seitengruppen ist dieser pH-</w:t>
      </w:r>
      <w:r w:rsidR="003E4C52">
        <w:rPr>
          <w:rFonts w:cs="Times New Roman"/>
        </w:rPr>
        <w:t>Grenzwert niedriger</w:t>
      </w:r>
      <w:r w:rsidR="00733B36">
        <w:rPr>
          <w:rFonts w:cs="Times New Roman"/>
        </w:rPr>
        <w:t xml:space="preserve">. Mit sinkendem Gehalt an Asparaginsäure </w:t>
      </w:r>
      <w:r w:rsidR="003E4C52">
        <w:rPr>
          <w:rFonts w:cs="Times New Roman"/>
        </w:rPr>
        <w:t xml:space="preserve">hingegen </w:t>
      </w:r>
      <w:r w:rsidR="00B6394D">
        <w:rPr>
          <w:rFonts w:cs="Times New Roman"/>
        </w:rPr>
        <w:t>werden höhere pH-</w:t>
      </w:r>
      <w:r w:rsidR="00733B36">
        <w:rPr>
          <w:rFonts w:cs="Times New Roman"/>
        </w:rPr>
        <w:t>Werte zum Lösen des Polymers benötigt. Der Lö</w:t>
      </w:r>
      <w:r w:rsidR="00CC0CD7">
        <w:rPr>
          <w:rFonts w:cs="Times New Roman"/>
        </w:rPr>
        <w:t>sevorgang ist reversibel. Durch Zugabe von 0,1 molarer Salzsäure zur wässrigen Polymerlösung konnten die Polymere wieder ausgefällt werden.</w:t>
      </w:r>
      <w:r w:rsidR="003E4C52">
        <w:rPr>
          <w:rFonts w:cs="Times New Roman"/>
        </w:rPr>
        <w:t xml:space="preserve"> </w:t>
      </w:r>
      <w:r w:rsidR="008E52CE">
        <w:rPr>
          <w:rFonts w:cs="Times New Roman"/>
        </w:rPr>
        <w:t>Eine naheliegende Erklärung für dieses Phänomen ist, dass mit steigendem Gehalt an Asparaginsäure</w:t>
      </w:r>
      <w:r w:rsidR="003E4C52">
        <w:rPr>
          <w:rFonts w:cs="Times New Roman"/>
        </w:rPr>
        <w:t xml:space="preserve"> auch die Anzahl der Carboxyl-Seitengruppen im Polymer </w:t>
      </w:r>
      <w:r w:rsidR="008E52CE">
        <w:rPr>
          <w:rFonts w:cs="Times New Roman"/>
        </w:rPr>
        <w:t xml:space="preserve">steigt und das Polymer </w:t>
      </w:r>
      <w:r w:rsidR="003E4C52">
        <w:rPr>
          <w:rFonts w:cs="Times New Roman"/>
        </w:rPr>
        <w:t>erwartu</w:t>
      </w:r>
      <w:r w:rsidR="00270279">
        <w:rPr>
          <w:rFonts w:cs="Times New Roman"/>
        </w:rPr>
        <w:t>ngsgemäß stärker sauer reagiert</w:t>
      </w:r>
      <w:r w:rsidR="00B6394D">
        <w:rPr>
          <w:rFonts w:cs="Times New Roman"/>
        </w:rPr>
        <w:t xml:space="preserve"> und bereits bei niedrigeren pH-</w:t>
      </w:r>
      <w:r w:rsidR="008E52CE">
        <w:rPr>
          <w:rFonts w:cs="Times New Roman"/>
        </w:rPr>
        <w:t xml:space="preserve">Werten </w:t>
      </w:r>
      <w:r w:rsidR="000852A0">
        <w:rPr>
          <w:rFonts w:cs="Times New Roman"/>
        </w:rPr>
        <w:t>zu einem größeren Anteil in dissozierter Form vorliegt.</w:t>
      </w:r>
    </w:p>
    <w:p w14:paraId="07C8E0AD" w14:textId="77777777" w:rsidR="001A31B7" w:rsidRDefault="001A31B7" w:rsidP="009414AF">
      <w:pPr>
        <w:rPr>
          <w:rFonts w:cs="Times New Roman"/>
        </w:rPr>
      </w:pPr>
      <w:r>
        <w:rPr>
          <w:rFonts w:cs="Times New Roman"/>
        </w:rPr>
        <w:t>Die pH-abhängige Wasserlöslichkeit</w:t>
      </w:r>
      <w:r w:rsidR="00270279">
        <w:rPr>
          <w:rFonts w:cs="Times New Roman"/>
        </w:rPr>
        <w:t xml:space="preserve"> des Asparaginsäure PEA Polymer</w:t>
      </w:r>
      <w:r>
        <w:rPr>
          <w:rFonts w:cs="Times New Roman"/>
        </w:rPr>
        <w:t>s mit dem höchsten Morpholingehal</w:t>
      </w:r>
      <w:r w:rsidR="00B6394D">
        <w:rPr>
          <w:rFonts w:cs="Times New Roman"/>
        </w:rPr>
        <w:t>t von 50% (PEA 03) wurde mit einem</w:t>
      </w:r>
      <w:r>
        <w:rPr>
          <w:rFonts w:cs="Times New Roman"/>
        </w:rPr>
        <w:t xml:space="preserve"> Sirius T3</w:t>
      </w:r>
      <w:r w:rsidR="00CE4CE2">
        <w:rPr>
          <w:rFonts w:cs="Times New Roman"/>
        </w:rPr>
        <w:t xml:space="preserve"> (</w:t>
      </w:r>
      <w:r w:rsidR="00CE4CE2" w:rsidRPr="00CE4CE2">
        <w:rPr>
          <w:rFonts w:cs="Times New Roman"/>
        </w:rPr>
        <w:t>Sirius Analytical Instruments Ltd.</w:t>
      </w:r>
      <w:r w:rsidR="00CE4CE2">
        <w:rPr>
          <w:rFonts w:cs="Times New Roman"/>
        </w:rPr>
        <w:t>, East Sussex, UK)</w:t>
      </w:r>
      <w:r>
        <w:rPr>
          <w:rFonts w:cs="Times New Roman"/>
        </w:rPr>
        <w:t xml:space="preserve"> genauer untersucht. </w:t>
      </w:r>
      <w:r w:rsidR="00DF49B8">
        <w:rPr>
          <w:rFonts w:cs="Times New Roman"/>
        </w:rPr>
        <w:t>Die mittlere Molekü</w:t>
      </w:r>
      <w:r w:rsidR="00582F3D">
        <w:rPr>
          <w:rFonts w:cs="Times New Roman"/>
        </w:rPr>
        <w:t>lladung sowie der logD-Wert wurden</w:t>
      </w:r>
      <w:r w:rsidR="00DF49B8">
        <w:rPr>
          <w:rFonts w:cs="Times New Roman"/>
        </w:rPr>
        <w:t xml:space="preserve"> in </w:t>
      </w:r>
      <w:r w:rsidR="00D16240">
        <w:rPr>
          <w:rFonts w:cs="Times New Roman"/>
        </w:rPr>
        <w:fldChar w:fldCharType="begin"/>
      </w:r>
      <w:r w:rsidR="00DF49B8">
        <w:rPr>
          <w:rFonts w:cs="Times New Roman"/>
        </w:rPr>
        <w:instrText xml:space="preserve"> REF _Ref275211665 \h </w:instrText>
      </w:r>
      <w:r w:rsidR="00D16240">
        <w:rPr>
          <w:rFonts w:cs="Times New Roman"/>
        </w:rPr>
      </w:r>
      <w:r w:rsidR="00D16240">
        <w:rPr>
          <w:rFonts w:cs="Times New Roman"/>
        </w:rPr>
        <w:fldChar w:fldCharType="separate"/>
      </w:r>
      <w:r w:rsidR="00711AB8" w:rsidRPr="00DF49B8">
        <w:t xml:space="preserve">Abbildung </w:t>
      </w:r>
      <w:r w:rsidR="00711AB8">
        <w:rPr>
          <w:noProof/>
        </w:rPr>
        <w:t>18</w:t>
      </w:r>
      <w:r w:rsidR="00D16240">
        <w:rPr>
          <w:rFonts w:cs="Times New Roman"/>
        </w:rPr>
        <w:fldChar w:fldCharType="end"/>
      </w:r>
      <w:r w:rsidR="00582F3D">
        <w:rPr>
          <w:rFonts w:cs="Times New Roman"/>
        </w:rPr>
        <w:t xml:space="preserve"> jeweils gegen den</w:t>
      </w:r>
      <w:r w:rsidR="00DF49B8">
        <w:rPr>
          <w:rFonts w:cs="Times New Roman"/>
        </w:rPr>
        <w:t xml:space="preserve"> pH</w:t>
      </w:r>
      <w:r w:rsidR="00582F3D">
        <w:rPr>
          <w:rFonts w:cs="Times New Roman"/>
        </w:rPr>
        <w:t>-Wert aufgetragen.</w:t>
      </w:r>
    </w:p>
    <w:p w14:paraId="405FFC0E" w14:textId="77777777" w:rsidR="00DF49B8" w:rsidRDefault="00DF49B8" w:rsidP="00DF49B8">
      <w:pPr>
        <w:spacing w:after="0"/>
        <w:rPr>
          <w:rFonts w:cs="Times New Roman"/>
        </w:rPr>
      </w:pPr>
    </w:p>
    <w:p w14:paraId="3D556932" w14:textId="77777777" w:rsidR="00DF49B8" w:rsidRDefault="00DF49B8" w:rsidP="009414AF">
      <w:pPr>
        <w:rPr>
          <w:rFonts w:cs="Times New Roman"/>
        </w:rPr>
      </w:pPr>
      <w:r w:rsidRPr="00DF49B8">
        <w:rPr>
          <w:rFonts w:cs="Times New Roman"/>
          <w:noProof/>
          <w:lang w:eastAsia="de-DE"/>
        </w:rPr>
        <w:lastRenderedPageBreak/>
        <w:drawing>
          <wp:inline distT="0" distB="0" distL="0" distR="0" wp14:anchorId="1EB1AFF0" wp14:editId="21B74D40">
            <wp:extent cx="2808288" cy="2306637"/>
            <wp:effectExtent l="0" t="0" r="11430" b="5080"/>
            <wp:docPr id="21510" name="Picture 5" descr="Sir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0" name="Picture 5" descr="Sir1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08288" cy="2306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imes New Roman"/>
        </w:rPr>
        <w:t xml:space="preserve">    </w:t>
      </w:r>
      <w:r w:rsidRPr="00DF49B8">
        <w:rPr>
          <w:rFonts w:cs="Times New Roman"/>
          <w:noProof/>
          <w:lang w:eastAsia="de-DE"/>
        </w:rPr>
        <w:drawing>
          <wp:inline distT="0" distB="0" distL="0" distR="0" wp14:anchorId="101B5988" wp14:editId="0446829D">
            <wp:extent cx="2631880" cy="2181570"/>
            <wp:effectExtent l="0" t="0" r="10160" b="3175"/>
            <wp:docPr id="21512" name="Lipophilicity Profile" descr="Si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2" name="Lipophilicity Profile" descr="Sir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32067" cy="2181725"/>
                    </a:xfrm>
                    <a:prstGeom prst="rect">
                      <a:avLst/>
                    </a:prstGeom>
                    <a:noFill/>
                    <a:ln>
                      <a:noFill/>
                    </a:ln>
                    <a:extLst/>
                  </pic:spPr>
                </pic:pic>
              </a:graphicData>
            </a:graphic>
          </wp:inline>
        </w:drawing>
      </w:r>
    </w:p>
    <w:p w14:paraId="10B18147" w14:textId="77777777" w:rsidR="001A31B7" w:rsidRDefault="00DF49B8" w:rsidP="003D6D5A">
      <w:pPr>
        <w:pStyle w:val="Beschriftung"/>
        <w:ind w:firstLine="0"/>
        <w:rPr>
          <w:b w:val="0"/>
        </w:rPr>
      </w:pPr>
      <w:bookmarkStart w:id="194" w:name="_Ref275211665"/>
      <w:r w:rsidRPr="00DF49B8">
        <w:t xml:space="preserve">Abbildung </w:t>
      </w:r>
      <w:fldSimple w:instr=" SEQ Abbildung \* ARABIC ">
        <w:r w:rsidR="00711AB8">
          <w:rPr>
            <w:noProof/>
          </w:rPr>
          <w:t>18</w:t>
        </w:r>
      </w:fldSimple>
      <w:bookmarkEnd w:id="194"/>
      <w:r>
        <w:t xml:space="preserve"> </w:t>
      </w:r>
      <w:r>
        <w:rPr>
          <w:b w:val="0"/>
        </w:rPr>
        <w:t>Messungen</w:t>
      </w:r>
      <w:r w:rsidR="00823FA7">
        <w:rPr>
          <w:b w:val="0"/>
        </w:rPr>
        <w:t xml:space="preserve"> von PEA 03</w:t>
      </w:r>
      <w:r>
        <w:rPr>
          <w:b w:val="0"/>
        </w:rPr>
        <w:t xml:space="preserve"> mit Sirius T3; links: Auftragung mittlere M</w:t>
      </w:r>
      <w:r w:rsidR="00582F3D">
        <w:rPr>
          <w:b w:val="0"/>
        </w:rPr>
        <w:t>olekülladung in Abhängigkeit des</w:t>
      </w:r>
      <w:r>
        <w:rPr>
          <w:b w:val="0"/>
        </w:rPr>
        <w:t xml:space="preserve"> pH-Wert</w:t>
      </w:r>
      <w:r w:rsidR="00582F3D">
        <w:rPr>
          <w:b w:val="0"/>
        </w:rPr>
        <w:t>es</w:t>
      </w:r>
      <w:r>
        <w:rPr>
          <w:b w:val="0"/>
        </w:rPr>
        <w:t>; rechts: Auf</w:t>
      </w:r>
      <w:r w:rsidR="00582F3D">
        <w:rPr>
          <w:b w:val="0"/>
        </w:rPr>
        <w:t>tragung logD</w:t>
      </w:r>
      <w:r w:rsidR="00B6394D">
        <w:rPr>
          <w:b w:val="0"/>
        </w:rPr>
        <w:t>-Wert</w:t>
      </w:r>
      <w:r w:rsidR="00582F3D">
        <w:rPr>
          <w:b w:val="0"/>
        </w:rPr>
        <w:t xml:space="preserve"> in Abhängigkeit des</w:t>
      </w:r>
      <w:r>
        <w:rPr>
          <w:b w:val="0"/>
        </w:rPr>
        <w:t xml:space="preserve"> pH-Wert</w:t>
      </w:r>
      <w:r w:rsidR="00582F3D">
        <w:rPr>
          <w:b w:val="0"/>
        </w:rPr>
        <w:t>es</w:t>
      </w:r>
      <w:r w:rsidR="00906DB9">
        <w:rPr>
          <w:b w:val="0"/>
        </w:rPr>
        <w:t>.</w:t>
      </w:r>
    </w:p>
    <w:p w14:paraId="04B939AB" w14:textId="77777777" w:rsidR="00582F3D" w:rsidRDefault="00582F3D" w:rsidP="00582F3D">
      <w:pPr>
        <w:spacing w:after="0"/>
      </w:pPr>
    </w:p>
    <w:p w14:paraId="50E6036D" w14:textId="77777777" w:rsidR="002A6BC3" w:rsidRDefault="00582F3D" w:rsidP="00582F3D">
      <w:r>
        <w:t xml:space="preserve">Aus </w:t>
      </w:r>
      <w:r w:rsidR="00D16240">
        <w:fldChar w:fldCharType="begin"/>
      </w:r>
      <w:r>
        <w:instrText xml:space="preserve"> REF _Ref275211665 \h </w:instrText>
      </w:r>
      <w:r w:rsidR="00D16240">
        <w:fldChar w:fldCharType="separate"/>
      </w:r>
      <w:r w:rsidR="00711AB8" w:rsidRPr="00DF49B8">
        <w:t xml:space="preserve">Abbildung </w:t>
      </w:r>
      <w:r w:rsidR="00711AB8">
        <w:rPr>
          <w:noProof/>
        </w:rPr>
        <w:t>18</w:t>
      </w:r>
      <w:r w:rsidR="00D16240">
        <w:fldChar w:fldCharType="end"/>
      </w:r>
      <w:r>
        <w:t xml:space="preserve"> links geht hervor, dass bei ei</w:t>
      </w:r>
      <w:r w:rsidR="00823FA7">
        <w:t>nem pH-Wert zwischen 4 und 5 ungefähr</w:t>
      </w:r>
      <w:r>
        <w:t xml:space="preserve"> 50% der Carboxylgruppen eine negative Ladung tragen. Die vollständige Deprotonierun</w:t>
      </w:r>
      <w:r w:rsidR="00823FA7">
        <w:t>g des Polymers erfolgt bei</w:t>
      </w:r>
      <w:r>
        <w:t xml:space="preserve"> pH-Wert</w:t>
      </w:r>
      <w:r w:rsidR="00823FA7">
        <w:t>en</w:t>
      </w:r>
      <w:r>
        <w:t xml:space="preserve"> zwischen 6 und 7. </w:t>
      </w:r>
      <w:r w:rsidR="00CD3C92">
        <w:t>Dies erklärt die gute Wasserlöslichkeit von PEA 03 ab einem pH-Wert von 6</w:t>
      </w:r>
      <w:r w:rsidR="00573F34">
        <w:t xml:space="preserve"> aufwärts</w:t>
      </w:r>
      <w:r w:rsidR="00CD3C92">
        <w:t>.</w:t>
      </w:r>
    </w:p>
    <w:p w14:paraId="231E502E" w14:textId="77777777" w:rsidR="00582F3D" w:rsidRDefault="00823FA7" w:rsidP="00582F3D">
      <w:r>
        <w:t xml:space="preserve">Dass mit zunehmender Ladung </w:t>
      </w:r>
      <w:r w:rsidR="00CD3C92">
        <w:t xml:space="preserve">des Polymers </w:t>
      </w:r>
      <w:r>
        <w:t xml:space="preserve">die Wasserlöslichkeit von PEA 03 </w:t>
      </w:r>
      <w:r w:rsidR="00CD3C92">
        <w:t>tatsächlich steigt, zeigt auch</w:t>
      </w:r>
      <w:r>
        <w:t xml:space="preserve"> </w:t>
      </w:r>
      <w:r w:rsidR="00287A42">
        <w:t xml:space="preserve">die </w:t>
      </w:r>
      <w:r>
        <w:t xml:space="preserve">Auftragung des </w:t>
      </w:r>
      <w:r w:rsidR="002A6BC3">
        <w:t>logD-Wertes gegen den pH-Wert</w:t>
      </w:r>
      <w:r>
        <w:t xml:space="preserve"> </w:t>
      </w:r>
      <w:r w:rsidR="002A6BC3">
        <w:t>(</w:t>
      </w:r>
      <w:r w:rsidR="00D16240">
        <w:fldChar w:fldCharType="begin"/>
      </w:r>
      <w:r>
        <w:instrText xml:space="preserve"> REF _Ref275211665 \h </w:instrText>
      </w:r>
      <w:r w:rsidR="00D16240">
        <w:fldChar w:fldCharType="separate"/>
      </w:r>
      <w:r w:rsidR="00711AB8" w:rsidRPr="00DF49B8">
        <w:t xml:space="preserve">Abbildung </w:t>
      </w:r>
      <w:r w:rsidR="00711AB8">
        <w:rPr>
          <w:noProof/>
        </w:rPr>
        <w:t>18</w:t>
      </w:r>
      <w:r w:rsidR="00D16240">
        <w:fldChar w:fldCharType="end"/>
      </w:r>
      <w:r>
        <w:t xml:space="preserve"> rechts</w:t>
      </w:r>
      <w:r w:rsidR="002A6BC3">
        <w:t>)</w:t>
      </w:r>
      <w:r>
        <w:t xml:space="preserve">. Der logD-Wert des neutralen Polymers </w:t>
      </w:r>
      <w:r w:rsidR="002A6BC3">
        <w:t xml:space="preserve">beträgt </w:t>
      </w:r>
      <w:r>
        <w:t>2,49</w:t>
      </w:r>
      <w:r w:rsidR="00AB3B08">
        <w:t xml:space="preserve"> (</w:t>
      </w:r>
      <w:r w:rsidR="00B6394D">
        <w:t xml:space="preserve">dieser Wert </w:t>
      </w:r>
      <w:r w:rsidR="00AB3B08">
        <w:t>entspricht dem logP-</w:t>
      </w:r>
      <w:r w:rsidR="002A6BC3">
        <w:t>Wert)</w:t>
      </w:r>
      <w:r>
        <w:t xml:space="preserve">. </w:t>
      </w:r>
      <w:r w:rsidR="00CD3C92">
        <w:t>Ab einem pH-Wert von 4 sinkt der</w:t>
      </w:r>
      <w:r w:rsidR="002A6BC3">
        <w:t xml:space="preserve"> logD</w:t>
      </w:r>
      <w:r w:rsidR="00CD3C92">
        <w:t>-Wert mit steigenden pH-Werten</w:t>
      </w:r>
      <w:r w:rsidR="002A6BC3">
        <w:t xml:space="preserve"> und e</w:t>
      </w:r>
      <w:r w:rsidR="00CD3C92">
        <w:t xml:space="preserve">rreicht bei pH 8 einen Wert von </w:t>
      </w:r>
      <w:r w:rsidR="002A6BC3">
        <w:t>-1,22.</w:t>
      </w:r>
    </w:p>
    <w:p w14:paraId="5CF6B78C" w14:textId="77777777" w:rsidR="008E52CE" w:rsidRPr="00582F3D" w:rsidRDefault="008E52CE" w:rsidP="00582F3D">
      <w:r>
        <w:t>Die Cyste</w:t>
      </w:r>
      <w:r w:rsidR="00CD3C92">
        <w:t>in PEA Polymere zeigen keine pH-</w:t>
      </w:r>
      <w:r>
        <w:t>abhängige Wasserlöslichkeit und reagieren</w:t>
      </w:r>
      <w:r w:rsidR="00906DB9">
        <w:t xml:space="preserve"> entsprechend den Erwartungen</w:t>
      </w:r>
      <w:r>
        <w:t xml:space="preserve"> nicht sauer.</w:t>
      </w:r>
    </w:p>
    <w:p w14:paraId="7FEC5098" w14:textId="77777777" w:rsidR="003B37C5" w:rsidRDefault="003B37C5" w:rsidP="00ED4563">
      <w:pPr>
        <w:pStyle w:val="berschrift4"/>
      </w:pPr>
      <w:bookmarkStart w:id="195" w:name="_Toc294380235"/>
      <w:r w:rsidRPr="00552B90">
        <w:t>Säurekonstante (pK</w:t>
      </w:r>
      <w:r w:rsidR="003F59B1">
        <w:rPr>
          <w:vertAlign w:val="subscript"/>
        </w:rPr>
        <w:t>a</w:t>
      </w:r>
      <w:r w:rsidRPr="00552B90">
        <w:t>)</w:t>
      </w:r>
      <w:r w:rsidR="00D33715">
        <w:t xml:space="preserve"> von Asparaginsäure PEA</w:t>
      </w:r>
      <w:bookmarkEnd w:id="195"/>
    </w:p>
    <w:p w14:paraId="27DCD626" w14:textId="77777777" w:rsidR="00735F8B" w:rsidRDefault="00735F8B" w:rsidP="001F05E1">
      <w:r>
        <w:t>Im vorherigen Abschnitt wurde bereits auf die sauren Eigenschaften der Asparag</w:t>
      </w:r>
      <w:r w:rsidR="001D13BF">
        <w:t>ins</w:t>
      </w:r>
      <w:r w:rsidR="00FB14AF">
        <w:t>äure PEA Polymere hingewiesen</w:t>
      </w:r>
      <w:r>
        <w:t>. Zur genaueren Charakterisierung dieser Eigenschaft wurde mithilfe des Sirius T</w:t>
      </w:r>
      <w:r w:rsidR="0084553A">
        <w:t xml:space="preserve">3 die Säurekonstante </w:t>
      </w:r>
      <w:r>
        <w:rPr>
          <w:i/>
        </w:rPr>
        <w:t>pK</w:t>
      </w:r>
      <w:r w:rsidR="003F59B1">
        <w:rPr>
          <w:i/>
          <w:vertAlign w:val="subscript"/>
        </w:rPr>
        <w:t>a</w:t>
      </w:r>
      <w:r>
        <w:t xml:space="preserve"> von zwei Asparaginsäure PEA Polymeren gemessen.</w:t>
      </w:r>
    </w:p>
    <w:p w14:paraId="5E103E41" w14:textId="77777777" w:rsidR="001F05E1" w:rsidRDefault="00D33715" w:rsidP="001F05E1">
      <w:r w:rsidRPr="00D33715">
        <w:t>Die Bestimmung der Säurekonstante</w:t>
      </w:r>
      <w:r w:rsidR="00D9627F">
        <w:t xml:space="preserve"> setzt </w:t>
      </w:r>
      <w:r w:rsidR="00961B05">
        <w:t xml:space="preserve">prinzipiell </w:t>
      </w:r>
      <w:r w:rsidR="00D9627F">
        <w:t>eine gute Wasserlöslichkeit der zu untersuchenden Substanzen vo</w:t>
      </w:r>
      <w:r w:rsidR="00270279">
        <w:t>raus. Im Verlauf der Säure-Base-</w:t>
      </w:r>
      <w:r w:rsidR="00D9627F">
        <w:t>Titration darf es nicht zu einer Ausfällung kommen.</w:t>
      </w:r>
      <w:r w:rsidRPr="00D33715">
        <w:t xml:space="preserve"> </w:t>
      </w:r>
      <w:r w:rsidR="00D9627F">
        <w:t xml:space="preserve">Bei </w:t>
      </w:r>
      <w:r w:rsidRPr="00D33715">
        <w:t xml:space="preserve">schwer </w:t>
      </w:r>
      <w:r w:rsidR="00803A90">
        <w:t>wasser</w:t>
      </w:r>
      <w:r w:rsidR="00D9627F">
        <w:t>löslichen</w:t>
      </w:r>
      <w:r w:rsidRPr="00D33715">
        <w:t xml:space="preserve"> Su</w:t>
      </w:r>
      <w:r w:rsidR="00735F8B">
        <w:t>bstanzen</w:t>
      </w:r>
      <w:r w:rsidR="00D9627F">
        <w:t>, oder wenn</w:t>
      </w:r>
      <w:r w:rsidR="00FB14AF">
        <w:t xml:space="preserve"> auch nur eine Spezies der zu analysierenden Substanz</w:t>
      </w:r>
      <w:r w:rsidR="00D9627F">
        <w:t xml:space="preserve"> unlöslich ist, wie im konkreten Fall die protonierte</w:t>
      </w:r>
      <w:r w:rsidR="008E52CE">
        <w:t xml:space="preserve"> und neutrale</w:t>
      </w:r>
      <w:r w:rsidR="00D9627F">
        <w:t xml:space="preserve"> Form der Asparaginsäure PEA Polymere, können</w:t>
      </w:r>
      <w:r w:rsidR="001D13BF">
        <w:t xml:space="preserve"> mit Wasser mischbare</w:t>
      </w:r>
      <w:r w:rsidR="00D9627F">
        <w:t xml:space="preserve"> Cosolventien </w:t>
      </w:r>
      <w:r w:rsidR="00295A0B">
        <w:t>zur Erhöhung</w:t>
      </w:r>
      <w:r w:rsidR="008F0A70">
        <w:t xml:space="preserve"> der Löslichkeit </w:t>
      </w:r>
      <w:r w:rsidR="00AB3B08">
        <w:t>zugesetzt</w:t>
      </w:r>
      <w:r w:rsidR="00D9627F">
        <w:t xml:space="preserve"> werden. </w:t>
      </w:r>
      <w:r w:rsidR="00D9627F" w:rsidRPr="00D33715">
        <w:t>Der wahre Wert</w:t>
      </w:r>
      <w:r w:rsidR="00D9627F">
        <w:t xml:space="preserve"> der Säurekonstante in Wasser</w:t>
      </w:r>
      <w:r w:rsidR="00BB5E67">
        <w:t xml:space="preserve"> wird</w:t>
      </w:r>
      <w:r w:rsidR="00D9627F" w:rsidRPr="00D33715">
        <w:t xml:space="preserve"> anschließend durch Extrapolation auf einen Wassergehalt von </w:t>
      </w:r>
      <w:r w:rsidR="00D9627F" w:rsidRPr="00D33715">
        <w:lastRenderedPageBreak/>
        <w:t>100% ermittel</w:t>
      </w:r>
      <w:r w:rsidR="00BB5E67">
        <w:t>t</w:t>
      </w:r>
      <w:r w:rsidR="00D9627F" w:rsidRPr="00D33715">
        <w:rPr>
          <w:vertAlign w:val="superscript"/>
        </w:rPr>
        <w:endnoteReference w:id="135"/>
      </w:r>
      <w:r w:rsidR="00D9627F" w:rsidRPr="00D33715">
        <w:t>.</w:t>
      </w:r>
      <w:r w:rsidR="00D9627F">
        <w:t xml:space="preserve"> Als geeignetes Cosolvens für die Asparaginsäure </w:t>
      </w:r>
      <w:r w:rsidR="001D13BF">
        <w:t xml:space="preserve">PEA Polymere </w:t>
      </w:r>
      <w:r w:rsidR="00D9627F">
        <w:t>wurde Methanol identifiziert.</w:t>
      </w:r>
    </w:p>
    <w:p w14:paraId="30312446" w14:textId="77777777" w:rsidR="00805570" w:rsidRDefault="008F0A70" w:rsidP="001F05E1">
      <w:r>
        <w:t>Di</w:t>
      </w:r>
      <w:r w:rsidR="007C1E91">
        <w:t xml:space="preserve">e Ermittlung der Säurekonstante </w:t>
      </w:r>
      <w:r w:rsidR="007C1E91" w:rsidRPr="0084553A">
        <w:rPr>
          <w:i/>
        </w:rPr>
        <w:t>pK</w:t>
      </w:r>
      <w:r w:rsidR="007C1E91" w:rsidRPr="0084553A">
        <w:rPr>
          <w:i/>
          <w:vertAlign w:val="subscript"/>
        </w:rPr>
        <w:t>a</w:t>
      </w:r>
      <w:r w:rsidR="001B6398">
        <w:t xml:space="preserve"> </w:t>
      </w:r>
      <w:r>
        <w:t>erfolgte durch ein Verfa</w:t>
      </w:r>
      <w:r w:rsidR="001B6398">
        <w:t>hren, das von Yasuda und Shedlovsky</w:t>
      </w:r>
      <w:r w:rsidR="00295A0B">
        <w:t xml:space="preserve"> erstmalig beschrieben</w:t>
      </w:r>
      <w:r w:rsidR="001B6398">
        <w:t xml:space="preserve"> wurde, die sogenannte Ya</w:t>
      </w:r>
      <w:r>
        <w:t>suda-S</w:t>
      </w:r>
      <w:r w:rsidR="00270279">
        <w:t>hedlovsky-</w:t>
      </w:r>
      <w:r w:rsidR="001B6398">
        <w:t>Extrapolation</w:t>
      </w:r>
      <w:r w:rsidR="00BE34D8">
        <w:rPr>
          <w:rStyle w:val="Endnotenzeichen"/>
        </w:rPr>
        <w:endnoteReference w:id="136"/>
      </w:r>
      <w:r w:rsidR="00BE34D8">
        <w:rPr>
          <w:vertAlign w:val="superscript"/>
        </w:rPr>
        <w:t>,</w:t>
      </w:r>
      <w:r w:rsidR="00BE34D8">
        <w:rPr>
          <w:rStyle w:val="Endnotenzeichen"/>
        </w:rPr>
        <w:endnoteReference w:id="137"/>
      </w:r>
      <w:r w:rsidR="00E72777">
        <w:t xml:space="preserve">. </w:t>
      </w:r>
      <w:r w:rsidR="007C1E91">
        <w:t xml:space="preserve">Die beiden Wissenschaftler fanden heraus, dass bei der Auftragung der </w:t>
      </w:r>
      <w:r w:rsidR="001B6398" w:rsidRPr="00BB5E67">
        <w:rPr>
          <w:i/>
        </w:rPr>
        <w:t>p</w:t>
      </w:r>
      <w:r w:rsidR="001B6398" w:rsidRPr="00BB5E67">
        <w:rPr>
          <w:i/>
          <w:vertAlign w:val="subscript"/>
        </w:rPr>
        <w:t>s</w:t>
      </w:r>
      <w:r w:rsidR="001B6398" w:rsidRPr="00BB5E67">
        <w:rPr>
          <w:i/>
        </w:rPr>
        <w:t>K</w:t>
      </w:r>
      <w:r w:rsidR="001B6398" w:rsidRPr="00BB5E67">
        <w:rPr>
          <w:i/>
          <w:vertAlign w:val="subscript"/>
        </w:rPr>
        <w:t>a</w:t>
      </w:r>
      <w:r w:rsidR="001B6398">
        <w:t xml:space="preserve"> Werte</w:t>
      </w:r>
      <w:r w:rsidR="005D329A">
        <w:t xml:space="preserve"> (Säurekonstante in Mischungen aus Wasser und Cosolvens)</w:t>
      </w:r>
      <w:r w:rsidR="001B6398">
        <w:t xml:space="preserve"> </w:t>
      </w:r>
      <w:r w:rsidR="007C1E91">
        <w:t xml:space="preserve">für unterschiedliche Lösungsmittelgemische </w:t>
      </w:r>
      <w:r w:rsidR="001B6398">
        <w:t xml:space="preserve">gegen den reziproken Wert der </w:t>
      </w:r>
      <w:r w:rsidR="007C1E91">
        <w:t xml:space="preserve">zugehörigen </w:t>
      </w:r>
      <w:r w:rsidR="001B6398">
        <w:t>Dielektriz</w:t>
      </w:r>
      <w:r w:rsidR="007C1E91">
        <w:t>itätskonstante ein linearer Zusammenha</w:t>
      </w:r>
      <w:r w:rsidR="00805570">
        <w:t>ng resultiert. Durch</w:t>
      </w:r>
      <w:r w:rsidR="007C1E91">
        <w:t xml:space="preserve"> lineare Regression</w:t>
      </w:r>
      <w:r w:rsidR="00805570">
        <w:t xml:space="preserve"> der Messwerte</w:t>
      </w:r>
      <w:r w:rsidR="007C1E91">
        <w:t xml:space="preserve"> und Extrapolation auf einen Wassergehalt von 100% </w:t>
      </w:r>
      <w:r w:rsidR="00295A0B">
        <w:t>kann</w:t>
      </w:r>
      <w:r w:rsidR="00805570">
        <w:t xml:space="preserve"> anschließend die Säurekonstante </w:t>
      </w:r>
      <w:r w:rsidR="00805570" w:rsidRPr="0084553A">
        <w:rPr>
          <w:i/>
        </w:rPr>
        <w:t>pK</w:t>
      </w:r>
      <w:r w:rsidR="00805570" w:rsidRPr="0084553A">
        <w:rPr>
          <w:i/>
          <w:vertAlign w:val="subscript"/>
        </w:rPr>
        <w:t>a</w:t>
      </w:r>
      <w:r w:rsidR="00295A0B">
        <w:t xml:space="preserve"> ermittelt werden</w:t>
      </w:r>
      <w:r w:rsidR="00805570">
        <w:t>.</w:t>
      </w:r>
      <w:r w:rsidR="00295A0B">
        <w:t xml:space="preserve"> Die Bestimmung von Säurekonstanten mithilfe der Yasuda-Shedlovsky Extrapolation</w:t>
      </w:r>
      <w:r w:rsidR="00AB3B08">
        <w:t xml:space="preserve"> wurde</w:t>
      </w:r>
      <w:r w:rsidR="00295A0B">
        <w:t xml:space="preserve"> von Avdeef </w:t>
      </w:r>
      <w:r w:rsidR="00AB3B08">
        <w:t>für Ibuprofen und Chinin ausführlich beschrieben</w:t>
      </w:r>
      <w:r w:rsidR="00AB3B08">
        <w:rPr>
          <w:rStyle w:val="Endnotenzeichen"/>
        </w:rPr>
        <w:endnoteReference w:id="138"/>
      </w:r>
      <w:r w:rsidR="00AB3B08">
        <w:t>.</w:t>
      </w:r>
    </w:p>
    <w:p w14:paraId="6849510B" w14:textId="77777777" w:rsidR="00805570" w:rsidRDefault="008E52CE" w:rsidP="001F05E1">
      <w:r>
        <w:t>Bei der Durchführung der</w:t>
      </w:r>
      <w:r w:rsidR="00805570">
        <w:t xml:space="preserve"> Säu</w:t>
      </w:r>
      <w:r w:rsidR="00270279">
        <w:t>re-Base-</w:t>
      </w:r>
      <w:r w:rsidR="00295A0B">
        <w:t>Titration zur Bestimmung</w:t>
      </w:r>
      <w:r w:rsidR="00805570">
        <w:t xml:space="preserve"> der </w:t>
      </w:r>
      <w:r w:rsidR="00805570" w:rsidRPr="0084553A">
        <w:rPr>
          <w:i/>
        </w:rPr>
        <w:t>p</w:t>
      </w:r>
      <w:r w:rsidR="00805570" w:rsidRPr="0084553A">
        <w:rPr>
          <w:i/>
          <w:vertAlign w:val="subscript"/>
        </w:rPr>
        <w:t>s</w:t>
      </w:r>
      <w:r w:rsidR="00805570" w:rsidRPr="0084553A">
        <w:rPr>
          <w:i/>
        </w:rPr>
        <w:t>K</w:t>
      </w:r>
      <w:r w:rsidR="00805570" w:rsidRPr="0084553A">
        <w:rPr>
          <w:i/>
          <w:vertAlign w:val="subscript"/>
        </w:rPr>
        <w:t>a</w:t>
      </w:r>
      <w:r w:rsidR="00805570">
        <w:t xml:space="preserve"> Werte wurden die Polymere jeweils in drei unterschiedlichen Mischungen aus Wasser und Methanol gelöst (34%, 43% und 56% Massenanteil Methanol). Durch den Zusatz von Methanol konnte ein Ausfallen der Polymere während der Titration verhindert werden. Die Titration von sauer nach alkalisch </w:t>
      </w:r>
      <w:r>
        <w:t>erfolgte mit einer Kaliumhydroxi</w:t>
      </w:r>
      <w:r w:rsidR="00805570">
        <w:t xml:space="preserve">d Lösung, von alkalisch nach sauer wurde mit </w:t>
      </w:r>
      <w:r>
        <w:t xml:space="preserve">verdünnter </w:t>
      </w:r>
      <w:r w:rsidR="00805570">
        <w:t>Salzsäure titriert.</w:t>
      </w:r>
    </w:p>
    <w:p w14:paraId="5FB6F500" w14:textId="77777777" w:rsidR="00803A90" w:rsidRDefault="001B6398" w:rsidP="001F05E1">
      <w:r>
        <w:t xml:space="preserve">Die Ergebnisse </w:t>
      </w:r>
      <w:r w:rsidR="00270279">
        <w:t>der Yasuda-Shedlovsky-</w:t>
      </w:r>
      <w:r w:rsidR="00E72777">
        <w:t xml:space="preserve">Extrapolation </w:t>
      </w:r>
      <w:r>
        <w:t xml:space="preserve">für PEA 03 </w:t>
      </w:r>
      <w:r w:rsidR="003F59B1">
        <w:t xml:space="preserve">sind in </w:t>
      </w:r>
      <w:r w:rsidR="00D16240">
        <w:fldChar w:fldCharType="begin"/>
      </w:r>
      <w:r w:rsidR="003F59B1">
        <w:instrText xml:space="preserve"> REF _Ref275372915 \h </w:instrText>
      </w:r>
      <w:r w:rsidR="00D16240">
        <w:fldChar w:fldCharType="separate"/>
      </w:r>
      <w:r w:rsidR="00711AB8" w:rsidRPr="001B6398">
        <w:t xml:space="preserve">Abbildung </w:t>
      </w:r>
      <w:r w:rsidR="00711AB8">
        <w:rPr>
          <w:noProof/>
        </w:rPr>
        <w:t>19</w:t>
      </w:r>
      <w:r w:rsidR="00D16240">
        <w:fldChar w:fldCharType="end"/>
      </w:r>
      <w:r w:rsidR="003F59B1">
        <w:t xml:space="preserve"> dargestellt.</w:t>
      </w:r>
    </w:p>
    <w:p w14:paraId="08E1F152" w14:textId="77777777" w:rsidR="003F59B1" w:rsidRDefault="003F59B1" w:rsidP="00BB5E67">
      <w:pPr>
        <w:spacing w:after="120"/>
      </w:pPr>
    </w:p>
    <w:p w14:paraId="5EF394FA" w14:textId="77777777" w:rsidR="001B6398" w:rsidRDefault="001B6398" w:rsidP="001F05E1">
      <w:r>
        <w:rPr>
          <w:noProof/>
          <w:lang w:eastAsia="de-DE"/>
        </w:rPr>
        <w:drawing>
          <wp:inline distT="0" distB="0" distL="0" distR="0" wp14:anchorId="200D6A19" wp14:editId="3DAC093D">
            <wp:extent cx="2832991" cy="2313403"/>
            <wp:effectExtent l="0" t="0" r="12065" b="0"/>
            <wp:docPr id="21504" name="Distribution of species" descr="Si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Distribution of species" descr="Sir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32991" cy="2313403"/>
                    </a:xfrm>
                    <a:prstGeom prst="rect">
                      <a:avLst/>
                    </a:prstGeom>
                    <a:noFill/>
                    <a:ln>
                      <a:noFill/>
                    </a:ln>
                    <a:extLst/>
                  </pic:spPr>
                </pic:pic>
              </a:graphicData>
            </a:graphic>
          </wp:inline>
        </w:drawing>
      </w:r>
      <w:r>
        <w:t xml:space="preserve">    </w:t>
      </w:r>
      <w:r>
        <w:rPr>
          <w:noProof/>
          <w:lang w:eastAsia="de-DE"/>
        </w:rPr>
        <w:drawing>
          <wp:inline distT="0" distB="0" distL="0" distR="0" wp14:anchorId="0BEB3FEE" wp14:editId="5B004DF9">
            <wp:extent cx="2742663" cy="2239642"/>
            <wp:effectExtent l="0" t="0" r="635" b="0"/>
            <wp:docPr id="21506" name="Yasuda-Shedlovsky extrapolation" descr="Si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Yasuda-Shedlovsky extrapolation" descr="Sir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397" cy="2240241"/>
                    </a:xfrm>
                    <a:prstGeom prst="rect">
                      <a:avLst/>
                    </a:prstGeom>
                    <a:noFill/>
                    <a:ln>
                      <a:noFill/>
                    </a:ln>
                    <a:extLst/>
                  </pic:spPr>
                </pic:pic>
              </a:graphicData>
            </a:graphic>
          </wp:inline>
        </w:drawing>
      </w:r>
    </w:p>
    <w:p w14:paraId="41A731E2" w14:textId="77777777" w:rsidR="001B6398" w:rsidRDefault="001B6398" w:rsidP="003D6D5A">
      <w:pPr>
        <w:pStyle w:val="Beschriftung"/>
        <w:ind w:firstLine="0"/>
        <w:rPr>
          <w:b w:val="0"/>
        </w:rPr>
      </w:pPr>
      <w:bookmarkStart w:id="196" w:name="_Ref275372915"/>
      <w:r w:rsidRPr="001B6398">
        <w:t xml:space="preserve">Abbildung </w:t>
      </w:r>
      <w:fldSimple w:instr=" SEQ Abbildung \* ARABIC ">
        <w:r w:rsidR="00711AB8">
          <w:rPr>
            <w:noProof/>
          </w:rPr>
          <w:t>19</w:t>
        </w:r>
      </w:fldSimple>
      <w:bookmarkEnd w:id="196"/>
      <w:r>
        <w:t xml:space="preserve"> </w:t>
      </w:r>
      <w:r w:rsidR="00270279">
        <w:rPr>
          <w:b w:val="0"/>
        </w:rPr>
        <w:t>Yasuda-Shedlovski-</w:t>
      </w:r>
      <w:r>
        <w:rPr>
          <w:b w:val="0"/>
        </w:rPr>
        <w:t>Extrapolation für Asparaginsäure PEA Polymer PEA 03</w:t>
      </w:r>
      <w:r w:rsidR="00BE34D8">
        <w:rPr>
          <w:b w:val="0"/>
        </w:rPr>
        <w:t>, links: Titrationskurven für protonierte und deprotonierte Form nach Yasuda-Shedlovsky Extrapolation, rechts: Auftragung von p</w:t>
      </w:r>
      <w:r w:rsidR="00BE34D8" w:rsidRPr="00BE34D8">
        <w:rPr>
          <w:b w:val="0"/>
          <w:vertAlign w:val="subscript"/>
        </w:rPr>
        <w:t>s</w:t>
      </w:r>
      <w:r w:rsidR="00BE34D8">
        <w:rPr>
          <w:b w:val="0"/>
        </w:rPr>
        <w:t>K</w:t>
      </w:r>
      <w:r w:rsidR="00BE34D8" w:rsidRPr="00BE34D8">
        <w:rPr>
          <w:b w:val="0"/>
          <w:vertAlign w:val="subscript"/>
        </w:rPr>
        <w:t>a</w:t>
      </w:r>
      <w:r w:rsidR="00BE34D8">
        <w:rPr>
          <w:b w:val="0"/>
        </w:rPr>
        <w:t xml:space="preserve"> + log[H</w:t>
      </w:r>
      <w:r w:rsidR="00BE34D8">
        <w:rPr>
          <w:b w:val="0"/>
          <w:vertAlign w:val="subscript"/>
        </w:rPr>
        <w:t>2</w:t>
      </w:r>
      <w:r w:rsidR="00BE34D8">
        <w:rPr>
          <w:b w:val="0"/>
        </w:rPr>
        <w:t xml:space="preserve">O] gegen 1000 / Dielektrizitätskonstante und </w:t>
      </w:r>
      <w:r w:rsidR="00522432">
        <w:rPr>
          <w:b w:val="0"/>
        </w:rPr>
        <w:t>Yasuda-Shedlovsky Extr</w:t>
      </w:r>
      <w:r w:rsidR="00A02627">
        <w:rPr>
          <w:b w:val="0"/>
        </w:rPr>
        <w:t>apolation mit drei unterschied</w:t>
      </w:r>
      <w:r w:rsidR="00E44179">
        <w:rPr>
          <w:b w:val="0"/>
        </w:rPr>
        <w:t>lichen Methanol-Wasser Mischungen</w:t>
      </w:r>
      <w:r w:rsidR="00A02627">
        <w:rPr>
          <w:b w:val="0"/>
        </w:rPr>
        <w:t>, Ionenstärke 0,193 M</w:t>
      </w:r>
      <w:r w:rsidR="00961B05">
        <w:rPr>
          <w:b w:val="0"/>
        </w:rPr>
        <w:t>, Temperatur</w:t>
      </w:r>
      <w:r w:rsidR="00A426B8">
        <w:rPr>
          <w:b w:val="0"/>
        </w:rPr>
        <w:t xml:space="preserve"> 25,5 °</w:t>
      </w:r>
      <w:r w:rsidR="00A02627">
        <w:rPr>
          <w:b w:val="0"/>
        </w:rPr>
        <w:t>C</w:t>
      </w:r>
      <w:r w:rsidR="00906DB9">
        <w:rPr>
          <w:b w:val="0"/>
        </w:rPr>
        <w:t>.</w:t>
      </w:r>
    </w:p>
    <w:p w14:paraId="463176A1" w14:textId="77777777" w:rsidR="003F59B1" w:rsidRDefault="003F59B1" w:rsidP="00AB3B08">
      <w:pPr>
        <w:spacing w:after="120"/>
      </w:pPr>
    </w:p>
    <w:p w14:paraId="72A0DBEC" w14:textId="77777777" w:rsidR="00711718" w:rsidRDefault="003F59B1" w:rsidP="003F59B1">
      <w:r>
        <w:lastRenderedPageBreak/>
        <w:t>Die</w:t>
      </w:r>
      <w:r w:rsidR="00961B05">
        <w:t xml:space="preserve"> bei drei unterschiedlichen</w:t>
      </w:r>
      <w:r>
        <w:t xml:space="preserve"> Methanol Konzentrationen gemessenen </w:t>
      </w:r>
      <w:r w:rsidRPr="0084553A">
        <w:rPr>
          <w:i/>
        </w:rPr>
        <w:t>p</w:t>
      </w:r>
      <w:r w:rsidRPr="0084553A">
        <w:rPr>
          <w:i/>
          <w:vertAlign w:val="subscript"/>
        </w:rPr>
        <w:t>s</w:t>
      </w:r>
      <w:r w:rsidRPr="0084553A">
        <w:rPr>
          <w:i/>
        </w:rPr>
        <w:t>K</w:t>
      </w:r>
      <w:r w:rsidRPr="0084553A">
        <w:rPr>
          <w:i/>
          <w:vertAlign w:val="subscript"/>
        </w:rPr>
        <w:t>a</w:t>
      </w:r>
      <w:r>
        <w:t xml:space="preserve"> Werte wurden in </w:t>
      </w:r>
      <w:r w:rsidR="00D16240">
        <w:fldChar w:fldCharType="begin"/>
      </w:r>
      <w:r>
        <w:instrText xml:space="preserve"> REF _Ref275372915 \h </w:instrText>
      </w:r>
      <w:r w:rsidR="00D16240">
        <w:fldChar w:fldCharType="separate"/>
      </w:r>
      <w:r w:rsidR="00711AB8" w:rsidRPr="001B6398">
        <w:t xml:space="preserve">Abbildung </w:t>
      </w:r>
      <w:r w:rsidR="00711AB8">
        <w:rPr>
          <w:noProof/>
        </w:rPr>
        <w:t>19</w:t>
      </w:r>
      <w:r w:rsidR="00D16240">
        <w:fldChar w:fldCharType="end"/>
      </w:r>
      <w:r>
        <w:t xml:space="preserve"> rechts gegen den reziproken We</w:t>
      </w:r>
      <w:r w:rsidR="00522432">
        <w:t>rt der Dielektrizitätskonstante</w:t>
      </w:r>
      <w:r>
        <w:t xml:space="preserve"> des jeweiligen </w:t>
      </w:r>
      <w:r w:rsidR="00961B05">
        <w:t>Lösungsmittelgemisches aufgetragen. Die tatsächliche Säurekonstante</w:t>
      </w:r>
      <w:r w:rsidR="00A02627">
        <w:t xml:space="preserve"> </w:t>
      </w:r>
      <w:r w:rsidR="00522432">
        <w:t>wird am Schnittpunkt</w:t>
      </w:r>
      <w:r w:rsidR="00A02627">
        <w:t xml:space="preserve"> der </w:t>
      </w:r>
      <w:r w:rsidR="00522432">
        <w:t>extrapolierten Geraden</w:t>
      </w:r>
      <w:r w:rsidR="00A02627">
        <w:t xml:space="preserve"> mit dem x-Wert für reines Wasser</w:t>
      </w:r>
      <w:r w:rsidR="00522432">
        <w:t xml:space="preserve"> abgelesen.</w:t>
      </w:r>
      <w:r w:rsidR="00961B05">
        <w:t xml:space="preserve"> Durch Subtraktion des Logarithm</w:t>
      </w:r>
      <w:r w:rsidR="00805570">
        <w:t>us der Wasserkonzentration (log</w:t>
      </w:r>
      <w:r w:rsidR="00961B05">
        <w:t>[H</w:t>
      </w:r>
      <w:r w:rsidR="00961B05">
        <w:rPr>
          <w:vertAlign w:val="subscript"/>
        </w:rPr>
        <w:t>2</w:t>
      </w:r>
      <w:r w:rsidR="00961B05">
        <w:t xml:space="preserve">O]) wird der </w:t>
      </w:r>
      <w:r w:rsidR="00961B05" w:rsidRPr="0084553A">
        <w:rPr>
          <w:i/>
        </w:rPr>
        <w:t>pK</w:t>
      </w:r>
      <w:r w:rsidR="00961B05" w:rsidRPr="0084553A">
        <w:rPr>
          <w:i/>
          <w:vertAlign w:val="subscript"/>
        </w:rPr>
        <w:t>a</w:t>
      </w:r>
      <w:r w:rsidR="00961B05">
        <w:t xml:space="preserve"> Wert des Polymers in Wasser erhalten.</w:t>
      </w:r>
      <w:r w:rsidR="000C03D1">
        <w:t xml:space="preserve"> Die Auswertung der Daten erfolgte mithilfe der Gerätesoftware des Sirius T3.</w:t>
      </w:r>
    </w:p>
    <w:p w14:paraId="2021D9FB" w14:textId="77777777" w:rsidR="00711718" w:rsidRDefault="00711718" w:rsidP="003F59B1">
      <w:r>
        <w:t xml:space="preserve">Die Bestimmung der Säurekonstante </w:t>
      </w:r>
      <w:r w:rsidRPr="0084553A">
        <w:rPr>
          <w:i/>
        </w:rPr>
        <w:t>pK</w:t>
      </w:r>
      <w:r w:rsidRPr="0084553A">
        <w:rPr>
          <w:i/>
          <w:vertAlign w:val="subscript"/>
        </w:rPr>
        <w:t>a</w:t>
      </w:r>
      <w:r>
        <w:t xml:space="preserve"> des Asparaginsäure PEA </w:t>
      </w:r>
      <w:r w:rsidR="0084553A">
        <w:t>Polymeres PEA 06</w:t>
      </w:r>
      <w:r>
        <w:t xml:space="preserve"> erfolgte </w:t>
      </w:r>
      <w:r w:rsidR="00287A42">
        <w:t xml:space="preserve">in </w:t>
      </w:r>
      <w:r>
        <w:t>der gleichen Weise wie bere</w:t>
      </w:r>
      <w:r w:rsidR="0084553A">
        <w:t>its für PEA 03 beschrieben wurde</w:t>
      </w:r>
      <w:r>
        <w:t>.</w:t>
      </w:r>
    </w:p>
    <w:p w14:paraId="4DB445BA" w14:textId="77777777" w:rsidR="00711718" w:rsidRDefault="00711718" w:rsidP="003F59B1">
      <w:r>
        <w:t xml:space="preserve">Die Säurekonstante von PEA 03 beträgt </w:t>
      </w:r>
      <w:r w:rsidRPr="0084553A">
        <w:rPr>
          <w:i/>
        </w:rPr>
        <w:t>pK</w:t>
      </w:r>
      <w:r w:rsidRPr="0084553A">
        <w:rPr>
          <w:i/>
          <w:vertAlign w:val="subscript"/>
        </w:rPr>
        <w:t>a</w:t>
      </w:r>
      <w:r>
        <w:t xml:space="preserve"> = </w:t>
      </w:r>
      <w:r w:rsidR="0084553A">
        <w:t>4,32 (</w:t>
      </w:r>
      <w:r w:rsidR="0084553A">
        <w:sym w:font="Symbol" w:char="F0B1"/>
      </w:r>
      <w:r w:rsidR="0084553A">
        <w:t xml:space="preserve">0,01) und die Säurekonstante von PEA 06 beträgt </w:t>
      </w:r>
      <w:r w:rsidR="0084553A" w:rsidRPr="00340DBE">
        <w:rPr>
          <w:i/>
        </w:rPr>
        <w:t>pK</w:t>
      </w:r>
      <w:r w:rsidR="0084553A" w:rsidRPr="00340DBE">
        <w:rPr>
          <w:i/>
          <w:vertAlign w:val="subscript"/>
        </w:rPr>
        <w:t>a</w:t>
      </w:r>
      <w:r w:rsidR="0084553A">
        <w:t xml:space="preserve"> = 4,99 (</w:t>
      </w:r>
      <w:r w:rsidR="0084553A">
        <w:sym w:font="Symbol" w:char="F0B1"/>
      </w:r>
      <w:r w:rsidR="00340DBE">
        <w:t>0,02).</w:t>
      </w:r>
    </w:p>
    <w:p w14:paraId="17E3DEB8" w14:textId="77777777" w:rsidR="00340DBE" w:rsidRPr="0084553A" w:rsidRDefault="0084553A" w:rsidP="003F59B1">
      <w:r>
        <w:t>PEA 03 mit einem höheren Asparaginsäure Gehalt (Morpholinanteil 50%) reagiert stärker sauer als PEA 06 mit einem</w:t>
      </w:r>
      <w:r w:rsidR="00340DBE">
        <w:t xml:space="preserve"> geringeren Asparaginsäure Gehalt</w:t>
      </w:r>
      <w:r>
        <w:t xml:space="preserve"> </w:t>
      </w:r>
      <w:r w:rsidR="00340DBE">
        <w:t>(Morpholinanteil</w:t>
      </w:r>
      <w:r>
        <w:t xml:space="preserve"> 23%</w:t>
      </w:r>
      <w:r w:rsidR="00340DBE">
        <w:t>)</w:t>
      </w:r>
      <w:r>
        <w:t>.</w:t>
      </w:r>
      <w:r w:rsidR="00340DBE">
        <w:t xml:space="preserve"> Dass ein höherer Gehalt an Asparaginsäure Seitengruppen im Polymer eine höhere Säurestärke bewirkt, entspricht voll und ganz den Erwartungen. Dieses Ergebnis steht auch im Einklang mit den Beobachtungen bei den Löslichkeitstests in wässrigen Pufferlösungen. Die Polymere mit</w:t>
      </w:r>
      <w:r w:rsidR="00514C3F">
        <w:t xml:space="preserve"> einem</w:t>
      </w:r>
      <w:r w:rsidR="00340DBE">
        <w:t xml:space="preserve"> höhere</w:t>
      </w:r>
      <w:r w:rsidR="00514C3F">
        <w:t>n</w:t>
      </w:r>
      <w:r w:rsidR="00340DBE">
        <w:t xml:space="preserve"> Morpholingehalt</w:t>
      </w:r>
      <w:r w:rsidR="000B367D">
        <w:t xml:space="preserve"> liegen</w:t>
      </w:r>
      <w:r w:rsidR="00CE4CE2">
        <w:t xml:space="preserve"> </w:t>
      </w:r>
      <w:r w:rsidR="00340DBE">
        <w:t>be</w:t>
      </w:r>
      <w:r w:rsidR="00E44179">
        <w:t>reits bei niedrigeren pH-</w:t>
      </w:r>
      <w:r w:rsidR="00CE4CE2">
        <w:t>Werten</w:t>
      </w:r>
      <w:r w:rsidR="000B367D">
        <w:t xml:space="preserve"> </w:t>
      </w:r>
      <w:r w:rsidR="00514C3F">
        <w:t>zu einem größeren Anteil in dissoziierter und daher gelöster Form vor</w:t>
      </w:r>
      <w:r w:rsidR="00340DBE">
        <w:t xml:space="preserve"> als diejenigen Polymertypen mit einem niedrigeren Morpholingehalt.</w:t>
      </w:r>
    </w:p>
    <w:p w14:paraId="1BE3ECC6" w14:textId="77777777" w:rsidR="003B37C5" w:rsidRDefault="003B37C5" w:rsidP="00996F38">
      <w:pPr>
        <w:pStyle w:val="berschrift3"/>
      </w:pPr>
      <w:bookmarkStart w:id="197" w:name="_Toc294380236"/>
      <w:r w:rsidRPr="00552B90">
        <w:t xml:space="preserve">Anpassung </w:t>
      </w:r>
      <w:r w:rsidR="003466F7">
        <w:t>und Optimierung der Doppelemulsions</w:t>
      </w:r>
      <w:r w:rsidRPr="00552B90">
        <w:t>meth</w:t>
      </w:r>
      <w:r>
        <w:t>ode für Polyesteramide</w:t>
      </w:r>
      <w:bookmarkEnd w:id="197"/>
    </w:p>
    <w:p w14:paraId="11FF16B0" w14:textId="77777777" w:rsidR="00270279" w:rsidRDefault="004C270D" w:rsidP="00877A1E">
      <w:r>
        <w:t>Die für die handelsüblichen</w:t>
      </w:r>
      <w:r w:rsidR="00877A1E" w:rsidRPr="00557CFF">
        <w:t xml:space="preserve"> PLGA Polymere etablierte Doppelemulsionsmethode konnte aus mehreren Gründen</w:t>
      </w:r>
      <w:r w:rsidR="00650088">
        <w:t xml:space="preserve"> nicht unverändert für die PEA Polymere übernommen werden. Alle PEA Polymere waren nicht ausreichend in Ethylacetat löslich (siehe </w:t>
      </w:r>
      <w:r w:rsidR="00D16240">
        <w:fldChar w:fldCharType="begin"/>
      </w:r>
      <w:r w:rsidR="00650088">
        <w:instrText xml:space="preserve"> REF _Ref273895395 \h </w:instrText>
      </w:r>
      <w:r w:rsidR="00D16240">
        <w:fldChar w:fldCharType="separate"/>
      </w:r>
      <w:r w:rsidR="00711AB8" w:rsidRPr="00A70C82">
        <w:t xml:space="preserve">Tabelle </w:t>
      </w:r>
      <w:r w:rsidR="00711AB8">
        <w:rPr>
          <w:noProof/>
        </w:rPr>
        <w:t>16</w:t>
      </w:r>
      <w:r w:rsidR="00D16240">
        <w:fldChar w:fldCharType="end"/>
      </w:r>
      <w:r w:rsidR="00E141B3">
        <w:t>). Weiterhin</w:t>
      </w:r>
      <w:r w:rsidR="00650088">
        <w:t xml:space="preserve"> </w:t>
      </w:r>
      <w:r w:rsidR="00E141B3">
        <w:t>erwies sich der Microfluidizer</w:t>
      </w:r>
      <w:r w:rsidR="005943B9">
        <w:t xml:space="preserve"> als un</w:t>
      </w:r>
      <w:r w:rsidR="00650088">
        <w:t>geeignet für die Homogenisierung der Emulsionen</w:t>
      </w:r>
      <w:r w:rsidR="00FC53D0">
        <w:t xml:space="preserve"> mit PEA</w:t>
      </w:r>
      <w:r w:rsidR="00650088">
        <w:t xml:space="preserve">. </w:t>
      </w:r>
      <w:r w:rsidR="00ED6A46">
        <w:t>Im Wesentlichen wurden f</w:t>
      </w:r>
      <w:r w:rsidR="00877A1E" w:rsidRPr="00557CFF">
        <w:t>olgende Anpas</w:t>
      </w:r>
      <w:r w:rsidR="00ED6A46">
        <w:t>sungen</w:t>
      </w:r>
      <w:r w:rsidR="00270279">
        <w:t xml:space="preserve"> vorgenommen: Anstelle von</w:t>
      </w:r>
      <w:r w:rsidR="00877A1E" w:rsidRPr="00557CFF">
        <w:t xml:space="preserve"> reinem Ethylacetat wurden</w:t>
      </w:r>
      <w:r w:rsidR="00270279">
        <w:t xml:space="preserve"> für den Asparaginsäure-</w:t>
      </w:r>
      <w:r>
        <w:t>Typ</w:t>
      </w:r>
      <w:r w:rsidR="00877A1E" w:rsidRPr="00557CFF">
        <w:t xml:space="preserve"> Mischungen von Ethylacetat und</w:t>
      </w:r>
      <w:r>
        <w:t xml:space="preserve"> Aceton im Verhältnis zwischen 3</w:t>
      </w:r>
      <w:r w:rsidR="00877A1E" w:rsidRPr="00557CFF">
        <w:t>:1 und 4:1 als Lösungs</w:t>
      </w:r>
      <w:r w:rsidR="005943B9">
        <w:t>mittel verwendet</w:t>
      </w:r>
      <w:r w:rsidR="00877A1E" w:rsidRPr="00557CFF">
        <w:t xml:space="preserve">. </w:t>
      </w:r>
      <w:r w:rsidR="006129AA">
        <w:t>Für den Cystei</w:t>
      </w:r>
      <w:r w:rsidR="00270279">
        <w:t>n-</w:t>
      </w:r>
      <w:r w:rsidR="006129AA">
        <w:t xml:space="preserve">Typ wurde entweder </w:t>
      </w:r>
      <w:r w:rsidR="009B4B6D">
        <w:t xml:space="preserve">reines </w:t>
      </w:r>
      <w:r w:rsidR="006129AA">
        <w:t>Dichlormethan</w:t>
      </w:r>
      <w:r w:rsidR="005E1C3E">
        <w:t xml:space="preserve"> (DCM)</w:t>
      </w:r>
      <w:r w:rsidR="006129AA">
        <w:t xml:space="preserve"> oder eine Mischung</w:t>
      </w:r>
      <w:r w:rsidR="005943B9">
        <w:t xml:space="preserve"> aus </w:t>
      </w:r>
      <w:r w:rsidR="00650088">
        <w:t xml:space="preserve">Ethylacetat </w:t>
      </w:r>
      <w:r w:rsidR="005E1C3E">
        <w:t>und DCM</w:t>
      </w:r>
      <w:r w:rsidR="005943B9">
        <w:t xml:space="preserve"> </w:t>
      </w:r>
      <w:r w:rsidR="00650088">
        <w:t>im Verhältnis zwischen</w:t>
      </w:r>
      <w:r w:rsidR="006129AA">
        <w:t xml:space="preserve"> </w:t>
      </w:r>
      <w:r w:rsidR="005943B9">
        <w:t>2:1 und 3:1 verwendet.</w:t>
      </w:r>
    </w:p>
    <w:p w14:paraId="02161E9B" w14:textId="77777777" w:rsidR="005D329A" w:rsidRDefault="00877A1E" w:rsidP="00877A1E">
      <w:r w:rsidRPr="00557CFF">
        <w:t>Bei</w:t>
      </w:r>
      <w:r w:rsidR="004C270D">
        <w:t xml:space="preserve"> der Homogenisierung mit dem Microfluidizer wurde ein grobes</w:t>
      </w:r>
      <w:r w:rsidRPr="00557CFF">
        <w:t xml:space="preserve"> Ausflocken der </w:t>
      </w:r>
      <w:r w:rsidR="004C270D">
        <w:t xml:space="preserve">PEA </w:t>
      </w:r>
      <w:r w:rsidRPr="00557CFF">
        <w:t>Polymere beo</w:t>
      </w:r>
      <w:r w:rsidR="004C270D">
        <w:t>bachtet. Daher konnte die H</w:t>
      </w:r>
      <w:r w:rsidR="002D45B4">
        <w:t>ochdruckhomogenisation</w:t>
      </w:r>
      <w:r w:rsidR="004C270D">
        <w:t xml:space="preserve"> bei den PEA Polymeren nicht angewendet werden. Stattdessen wurde der</w:t>
      </w:r>
      <w:r w:rsidRPr="00557CFF">
        <w:t xml:space="preserve"> Ultra-Turrax</w:t>
      </w:r>
      <w:r w:rsidR="004C270D">
        <w:t xml:space="preserve"> zur Homogenisierung der Emulsionen verwendet</w:t>
      </w:r>
      <w:r w:rsidRPr="00557CFF">
        <w:t>.</w:t>
      </w:r>
      <w:r w:rsidR="002D45B4">
        <w:t xml:space="preserve"> </w:t>
      </w:r>
    </w:p>
    <w:p w14:paraId="25A0CA6C" w14:textId="77777777" w:rsidR="005943B9" w:rsidRDefault="002D45B4" w:rsidP="00877A1E">
      <w:r>
        <w:lastRenderedPageBreak/>
        <w:t>Der Grund für die</w:t>
      </w:r>
      <w:r w:rsidR="005D329A">
        <w:t xml:space="preserve"> irreversible</w:t>
      </w:r>
      <w:r w:rsidR="00CC0CD7">
        <w:t xml:space="preserve"> </w:t>
      </w:r>
      <w:r>
        <w:t>Ausflockung der Polyesteramide</w:t>
      </w:r>
      <w:r w:rsidR="005D329A">
        <w:t xml:space="preserve"> während der Hochdruckhomogenisation</w:t>
      </w:r>
      <w:r>
        <w:t xml:space="preserve"> </w:t>
      </w:r>
      <w:r w:rsidR="00CC0CD7">
        <w:t>liegt möglicherweise</w:t>
      </w:r>
      <w:r w:rsidR="005E1C3E">
        <w:t xml:space="preserve"> in der kurzzeitigen stärkeren Erwärmung der Probe in der Interaktionskammer</w:t>
      </w:r>
      <w:r w:rsidR="005D329A">
        <w:t>, was zu einer kurzzeitigen</w:t>
      </w:r>
      <w:r w:rsidR="005E1C3E">
        <w:t xml:space="preserve"> </w:t>
      </w:r>
      <w:r w:rsidR="005D329A">
        <w:t>Überschreitung der Löslichkeitsgrenze der Polymere führen könnte. Denkbar wäre zudem ein Abbau der Polymerketten aufgrund der</w:t>
      </w:r>
      <w:r w:rsidR="005E1C3E">
        <w:t xml:space="preserve"> extrem hohen Scherb</w:t>
      </w:r>
      <w:r w:rsidR="00CC0CD7">
        <w:t>eanspruchung des Polymers</w:t>
      </w:r>
      <w:r w:rsidR="001D367F">
        <w:t xml:space="preserve"> während der Hochdruckhomogenisation</w:t>
      </w:r>
      <w:r w:rsidR="005E1C3E">
        <w:t>.</w:t>
      </w:r>
      <w:r w:rsidR="005D329A">
        <w:t xml:space="preserve"> Dieser Aspekt wurde jedoch nicht genauer untersucht.</w:t>
      </w:r>
    </w:p>
    <w:p w14:paraId="248247DD" w14:textId="77777777" w:rsidR="00D63127" w:rsidRDefault="00BA4E15" w:rsidP="00D63127">
      <w:pPr>
        <w:pStyle w:val="berschrift4"/>
      </w:pPr>
      <w:bookmarkStart w:id="198" w:name="_Toc294380237"/>
      <w:r>
        <w:t xml:space="preserve">Doppelemulsionsmethode für </w:t>
      </w:r>
      <w:r w:rsidR="00D63127">
        <w:t>Asparaginsäure</w:t>
      </w:r>
      <w:r>
        <w:t xml:space="preserve"> PEA Polymere</w:t>
      </w:r>
      <w:bookmarkEnd w:id="198"/>
    </w:p>
    <w:p w14:paraId="350B9D5C" w14:textId="77777777" w:rsidR="00877A1E" w:rsidRDefault="005943B9" w:rsidP="00877A1E">
      <w:r>
        <w:t>Im Folgenden wird die für die Gruppe der</w:t>
      </w:r>
      <w:r w:rsidR="00877A1E" w:rsidRPr="00557CFF">
        <w:t xml:space="preserve"> </w:t>
      </w:r>
      <w:r>
        <w:t>PEA mit Asparaginsäure</w:t>
      </w:r>
      <w:r w:rsidR="00877A1E" w:rsidRPr="00557CFF">
        <w:t xml:space="preserve"> angepasste </w:t>
      </w:r>
      <w:r w:rsidR="00D63127">
        <w:t>Methode detailliert beschrieben.</w:t>
      </w:r>
    </w:p>
    <w:p w14:paraId="19A0B57B" w14:textId="77777777" w:rsidR="00ED6A46" w:rsidRDefault="007C3B4F" w:rsidP="00350C53">
      <w:pPr>
        <w:spacing w:after="0"/>
      </w:pPr>
      <w:r>
        <w:t>Als</w:t>
      </w:r>
      <w:r w:rsidR="00ED6A46" w:rsidRPr="00ED6A46">
        <w:t xml:space="preserve"> Lösungsmittel</w:t>
      </w:r>
      <w:r>
        <w:t xml:space="preserve"> für die Polymere wurden</w:t>
      </w:r>
      <w:r w:rsidR="00FB00C6">
        <w:t xml:space="preserve"> 3</w:t>
      </w:r>
      <w:r w:rsidR="00CC0CD7">
        <w:t xml:space="preserve"> </w:t>
      </w:r>
      <w:r>
        <w:t>T</w:t>
      </w:r>
      <w:r w:rsidR="00CC0CD7">
        <w:t>eile</w:t>
      </w:r>
      <w:r>
        <w:t xml:space="preserve"> Ethylacetat</w:t>
      </w:r>
      <w:r w:rsidR="00ED6A46" w:rsidRPr="00ED6A46">
        <w:t xml:space="preserve"> mit 1</w:t>
      </w:r>
      <w:r w:rsidR="00CC0CD7">
        <w:t xml:space="preserve"> </w:t>
      </w:r>
      <w:r w:rsidR="00ED6A46" w:rsidRPr="00ED6A46">
        <w:t>T</w:t>
      </w:r>
      <w:r w:rsidR="00CC0CD7">
        <w:t>eil</w:t>
      </w:r>
      <w:r w:rsidR="00ED6A46" w:rsidRPr="00ED6A46">
        <w:t xml:space="preserve"> Aceton</w:t>
      </w:r>
      <w:r>
        <w:t xml:space="preserve"> gemischt</w:t>
      </w:r>
      <w:r w:rsidR="00ED6A46" w:rsidRPr="00ED6A46">
        <w:t>.</w:t>
      </w:r>
      <w:r w:rsidR="00FB00C6">
        <w:t xml:space="preserve"> </w:t>
      </w:r>
      <w:r w:rsidR="002D2A6C">
        <w:t>Aufgrund der pH-abhängigen Wasserlöslichkeit der Asparaginsäu</w:t>
      </w:r>
      <w:r w:rsidR="00CC0CD7">
        <w:t>re Polyesteramide</w:t>
      </w:r>
      <w:r w:rsidR="002D2A6C">
        <w:t xml:space="preserve"> wurde als kontinuierliche Phase ein Puffer mit einem pH Wert von 5,0 verwendet.</w:t>
      </w:r>
      <w:r w:rsidR="00CE4CE2">
        <w:t xml:space="preserve"> Die Auswahl des Puffers erfolgte auf Basis der </w:t>
      </w:r>
      <w:r w:rsidR="003E04DF">
        <w:t xml:space="preserve">für die PEA Polymere </w:t>
      </w:r>
      <w:r w:rsidR="00CE4CE2">
        <w:t xml:space="preserve">ermittelten </w:t>
      </w:r>
      <w:r w:rsidR="00CE4CE2">
        <w:rPr>
          <w:i/>
        </w:rPr>
        <w:t>pK</w:t>
      </w:r>
      <w:r w:rsidR="00CE4CE2">
        <w:rPr>
          <w:i/>
          <w:vertAlign w:val="subscript"/>
        </w:rPr>
        <w:t>a</w:t>
      </w:r>
      <w:r w:rsidR="00CE4CE2">
        <w:t xml:space="preserve"> Werte.</w:t>
      </w:r>
      <w:r w:rsidR="002D2A6C">
        <w:t xml:space="preserve"> </w:t>
      </w:r>
      <w:r w:rsidR="00FB00C6">
        <w:t xml:space="preserve">Die </w:t>
      </w:r>
      <w:r w:rsidR="00ED6A46" w:rsidRPr="00ED6A46">
        <w:t xml:space="preserve">Herstellung </w:t>
      </w:r>
      <w:r w:rsidR="00FB00C6">
        <w:t xml:space="preserve">der verwendeten wässrigen Phosphatpufferlösungen (PBS) erfolgte </w:t>
      </w:r>
      <w:r w:rsidR="00ED6A46" w:rsidRPr="00ED6A46">
        <w:t xml:space="preserve">entsprechend </w:t>
      </w:r>
      <w:r w:rsidR="00FB00C6">
        <w:t xml:space="preserve">der jeweiligen </w:t>
      </w:r>
      <w:r w:rsidR="00ED6A46" w:rsidRPr="00ED6A46">
        <w:t>M</w:t>
      </w:r>
      <w:r w:rsidR="00FB00C6">
        <w:t xml:space="preserve">onographie des Europäischen Arzneibuches (Ph.Eur.). Die </w:t>
      </w:r>
      <w:r w:rsidR="00ED6A46" w:rsidRPr="00FB00C6">
        <w:t>Bestandteile</w:t>
      </w:r>
      <w:r w:rsidR="00FB00C6">
        <w:t xml:space="preserve"> wurden eingewogen und die Lösungen entspre</w:t>
      </w:r>
      <w:r w:rsidR="00350C53">
        <w:t xml:space="preserve">chend der Angaben in </w:t>
      </w:r>
      <w:r w:rsidR="00D16240">
        <w:fldChar w:fldCharType="begin"/>
      </w:r>
      <w:r w:rsidR="00350C53">
        <w:instrText xml:space="preserve"> REF _Ref273905141 \h </w:instrText>
      </w:r>
      <w:r w:rsidR="00D16240">
        <w:fldChar w:fldCharType="separate"/>
      </w:r>
      <w:r w:rsidR="00711AB8" w:rsidRPr="00350C53">
        <w:t xml:space="preserve">Tabelle </w:t>
      </w:r>
      <w:r w:rsidR="00711AB8">
        <w:rPr>
          <w:noProof/>
        </w:rPr>
        <w:t>17</w:t>
      </w:r>
      <w:r w:rsidR="00D16240">
        <w:fldChar w:fldCharType="end"/>
      </w:r>
      <w:r w:rsidR="00FB00C6">
        <w:t xml:space="preserve"> hergestellt. Die PVA Lösung wurde</w:t>
      </w:r>
      <w:r w:rsidR="00ED6A46" w:rsidRPr="00FB00C6">
        <w:t xml:space="preserve"> für 3 Stunden mit dem</w:t>
      </w:r>
      <w:r w:rsidR="009B4B6D">
        <w:t xml:space="preserve"> Magnetrührer bei 800 </w:t>
      </w:r>
      <w:r w:rsidR="00563E46">
        <w:t>Up</w:t>
      </w:r>
      <w:r w:rsidR="00ED6A46" w:rsidRPr="00FB00C6">
        <w:t>M gerührt, die mit Parafilm abgedeckte P</w:t>
      </w:r>
      <w:r w:rsidR="009B4B6D">
        <w:t>olymerlösung für 15 min bei 500 </w:t>
      </w:r>
      <w:r w:rsidR="00563E46">
        <w:t>Up</w:t>
      </w:r>
      <w:r w:rsidR="00ED6A46" w:rsidRPr="00FB00C6">
        <w:t>M.</w:t>
      </w:r>
    </w:p>
    <w:p w14:paraId="455EE81B" w14:textId="77777777" w:rsidR="00074A05" w:rsidRDefault="00074A05" w:rsidP="00350C53">
      <w:pPr>
        <w:spacing w:after="0"/>
      </w:pPr>
    </w:p>
    <w:p w14:paraId="64FB2507" w14:textId="77777777" w:rsidR="00074A05" w:rsidRPr="00350C53" w:rsidRDefault="00074A05" w:rsidP="003D6D5A">
      <w:pPr>
        <w:pStyle w:val="Beschriftung"/>
        <w:ind w:firstLine="0"/>
      </w:pPr>
      <w:bookmarkStart w:id="199" w:name="_Ref273905141"/>
      <w:r w:rsidRPr="00350C53">
        <w:t xml:space="preserve">Tabelle </w:t>
      </w:r>
      <w:fldSimple w:instr=" SEQ Tabelle \* ARABIC ">
        <w:r w:rsidR="00711AB8">
          <w:rPr>
            <w:noProof/>
          </w:rPr>
          <w:t>17</w:t>
        </w:r>
      </w:fldSimple>
      <w:bookmarkEnd w:id="199"/>
      <w:r w:rsidR="00350C53" w:rsidRPr="00350C53">
        <w:t xml:space="preserve"> </w:t>
      </w:r>
      <w:r w:rsidR="00350C53" w:rsidRPr="00350C53">
        <w:rPr>
          <w:b w:val="0"/>
        </w:rPr>
        <w:t>Zusammensetzung der Lösungen, die zur Herstellung von PEA Asparaginsäure Partikel</w:t>
      </w:r>
      <w:r w:rsidR="00512727">
        <w:rPr>
          <w:b w:val="0"/>
        </w:rPr>
        <w:t>n</w:t>
      </w:r>
      <w:r w:rsidR="00350C53" w:rsidRPr="00350C53">
        <w:rPr>
          <w:b w:val="0"/>
        </w:rPr>
        <w:t xml:space="preserve"> verwendet wurden</w:t>
      </w:r>
      <w:r w:rsidR="00E11D6B">
        <w:rPr>
          <w:b w:val="0"/>
        </w:rPr>
        <w:t>.</w:t>
      </w:r>
    </w:p>
    <w:tbl>
      <w:tblPr>
        <w:tblW w:w="89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8"/>
        <w:gridCol w:w="2126"/>
        <w:gridCol w:w="1418"/>
        <w:gridCol w:w="2135"/>
        <w:gridCol w:w="1267"/>
        <w:gridCol w:w="1231"/>
      </w:tblGrid>
      <w:tr w:rsidR="00FB00C6" w:rsidRPr="000545B3" w14:paraId="56967804" w14:textId="77777777" w:rsidTr="006360D4">
        <w:trPr>
          <w:cantSplit/>
          <w:trHeight w:val="447"/>
          <w:jc w:val="center"/>
        </w:trPr>
        <w:tc>
          <w:tcPr>
            <w:tcW w:w="808" w:type="dxa"/>
            <w:tcBorders>
              <w:top w:val="single" w:sz="8" w:space="0" w:color="auto"/>
              <w:left w:val="single" w:sz="8" w:space="0" w:color="auto"/>
              <w:bottom w:val="single" w:sz="8" w:space="0" w:color="auto"/>
              <w:right w:val="single" w:sz="8" w:space="0" w:color="auto"/>
            </w:tcBorders>
            <w:shd w:val="clear" w:color="auto" w:fill="E6E6E6"/>
            <w:vAlign w:val="center"/>
          </w:tcPr>
          <w:p w14:paraId="11C879DA" w14:textId="77777777" w:rsidR="00FB00C6" w:rsidRPr="000545B3" w:rsidRDefault="00FB00C6" w:rsidP="00ED5EBD">
            <w:pPr>
              <w:spacing w:line="240" w:lineRule="auto"/>
              <w:jc w:val="center"/>
              <w:rPr>
                <w:rFonts w:cs="Arial"/>
                <w:b/>
                <w:sz w:val="18"/>
                <w:szCs w:val="18"/>
              </w:rPr>
            </w:pPr>
            <w:r w:rsidRPr="000545B3">
              <w:rPr>
                <w:rFonts w:cs="Arial"/>
                <w:b/>
                <w:sz w:val="18"/>
                <w:szCs w:val="18"/>
              </w:rPr>
              <w:t>Lösung Nr.</w:t>
            </w:r>
          </w:p>
        </w:tc>
        <w:tc>
          <w:tcPr>
            <w:tcW w:w="2126" w:type="dxa"/>
            <w:tcBorders>
              <w:top w:val="single" w:sz="8" w:space="0" w:color="auto"/>
              <w:left w:val="single" w:sz="8" w:space="0" w:color="auto"/>
              <w:bottom w:val="single" w:sz="8" w:space="0" w:color="auto"/>
              <w:right w:val="single" w:sz="8" w:space="0" w:color="auto"/>
            </w:tcBorders>
            <w:shd w:val="clear" w:color="auto" w:fill="E6E6E6"/>
            <w:vAlign w:val="center"/>
          </w:tcPr>
          <w:p w14:paraId="52F760C8" w14:textId="77777777" w:rsidR="00FB00C6" w:rsidRPr="000545B3" w:rsidRDefault="00FB00C6" w:rsidP="00ED5EBD">
            <w:pPr>
              <w:spacing w:line="240" w:lineRule="auto"/>
              <w:jc w:val="center"/>
              <w:rPr>
                <w:rFonts w:cs="Arial"/>
                <w:b/>
                <w:sz w:val="18"/>
                <w:szCs w:val="18"/>
              </w:rPr>
            </w:pPr>
            <w:r w:rsidRPr="000545B3">
              <w:rPr>
                <w:rFonts w:cs="Arial"/>
                <w:b/>
                <w:sz w:val="18"/>
                <w:szCs w:val="18"/>
              </w:rPr>
              <w:t>Substanzen</w:t>
            </w:r>
          </w:p>
        </w:tc>
        <w:tc>
          <w:tcPr>
            <w:tcW w:w="1418" w:type="dxa"/>
            <w:tcBorders>
              <w:top w:val="single" w:sz="8" w:space="0" w:color="auto"/>
              <w:left w:val="single" w:sz="8" w:space="0" w:color="auto"/>
              <w:bottom w:val="single" w:sz="8" w:space="0" w:color="auto"/>
              <w:right w:val="single" w:sz="8" w:space="0" w:color="auto"/>
            </w:tcBorders>
            <w:shd w:val="clear" w:color="auto" w:fill="E6E6E6"/>
            <w:vAlign w:val="center"/>
          </w:tcPr>
          <w:p w14:paraId="7748C885" w14:textId="77777777" w:rsidR="00FB00C6" w:rsidRPr="000545B3" w:rsidRDefault="00FB00C6" w:rsidP="00ED5EBD">
            <w:pPr>
              <w:spacing w:line="240" w:lineRule="auto"/>
              <w:jc w:val="center"/>
              <w:rPr>
                <w:rFonts w:cs="Arial"/>
                <w:b/>
                <w:sz w:val="18"/>
                <w:szCs w:val="18"/>
              </w:rPr>
            </w:pPr>
            <w:r w:rsidRPr="000545B3">
              <w:rPr>
                <w:rFonts w:cs="Arial"/>
                <w:b/>
                <w:sz w:val="18"/>
                <w:szCs w:val="18"/>
              </w:rPr>
              <w:t>Einwaage</w:t>
            </w:r>
            <w:r w:rsidR="00074A05" w:rsidRPr="000545B3">
              <w:rPr>
                <w:rFonts w:cs="Arial"/>
                <w:b/>
                <w:sz w:val="18"/>
                <w:szCs w:val="18"/>
              </w:rPr>
              <w:t xml:space="preserve"> </w:t>
            </w:r>
            <w:r w:rsidRPr="000545B3">
              <w:rPr>
                <w:rFonts w:cs="Arial"/>
                <w:b/>
                <w:sz w:val="18"/>
                <w:szCs w:val="18"/>
              </w:rPr>
              <w:t>[g]</w:t>
            </w:r>
          </w:p>
        </w:tc>
        <w:tc>
          <w:tcPr>
            <w:tcW w:w="2135" w:type="dxa"/>
            <w:tcBorders>
              <w:top w:val="single" w:sz="8" w:space="0" w:color="auto"/>
              <w:left w:val="single" w:sz="8" w:space="0" w:color="auto"/>
              <w:bottom w:val="single" w:sz="8" w:space="0" w:color="auto"/>
              <w:right w:val="single" w:sz="8" w:space="0" w:color="auto"/>
            </w:tcBorders>
            <w:shd w:val="clear" w:color="auto" w:fill="E6E6E6"/>
            <w:vAlign w:val="center"/>
          </w:tcPr>
          <w:p w14:paraId="3E419DCA" w14:textId="77777777" w:rsidR="00FB00C6" w:rsidRPr="000545B3" w:rsidRDefault="00FB00C6" w:rsidP="00ED5EBD">
            <w:pPr>
              <w:spacing w:line="240" w:lineRule="auto"/>
              <w:jc w:val="center"/>
              <w:rPr>
                <w:rFonts w:cs="Arial"/>
                <w:b/>
                <w:sz w:val="18"/>
                <w:szCs w:val="18"/>
              </w:rPr>
            </w:pPr>
            <w:r w:rsidRPr="000545B3">
              <w:rPr>
                <w:rFonts w:cs="Arial"/>
                <w:b/>
                <w:sz w:val="18"/>
                <w:szCs w:val="18"/>
              </w:rPr>
              <w:t>Lösungsmittel</w:t>
            </w:r>
          </w:p>
        </w:tc>
        <w:tc>
          <w:tcPr>
            <w:tcW w:w="1267" w:type="dxa"/>
            <w:tcBorders>
              <w:top w:val="single" w:sz="8" w:space="0" w:color="auto"/>
              <w:left w:val="single" w:sz="8" w:space="0" w:color="auto"/>
              <w:bottom w:val="single" w:sz="8" w:space="0" w:color="auto"/>
              <w:right w:val="single" w:sz="8" w:space="0" w:color="auto"/>
            </w:tcBorders>
            <w:shd w:val="clear" w:color="auto" w:fill="E6E6E6"/>
            <w:vAlign w:val="center"/>
          </w:tcPr>
          <w:p w14:paraId="764F1171" w14:textId="77777777" w:rsidR="00FB00C6" w:rsidRPr="000545B3" w:rsidRDefault="00074A05" w:rsidP="00ED5EBD">
            <w:pPr>
              <w:spacing w:line="240" w:lineRule="auto"/>
              <w:jc w:val="center"/>
              <w:rPr>
                <w:rFonts w:cs="Arial"/>
                <w:b/>
                <w:sz w:val="18"/>
                <w:szCs w:val="18"/>
              </w:rPr>
            </w:pPr>
            <w:r w:rsidRPr="000545B3">
              <w:rPr>
                <w:rFonts w:cs="Arial"/>
                <w:b/>
                <w:sz w:val="18"/>
                <w:szCs w:val="18"/>
              </w:rPr>
              <w:t xml:space="preserve">Anteil </w:t>
            </w:r>
            <w:r w:rsidR="00FB00C6" w:rsidRPr="000545B3">
              <w:rPr>
                <w:rFonts w:cs="Arial"/>
                <w:b/>
                <w:sz w:val="18"/>
                <w:szCs w:val="18"/>
              </w:rPr>
              <w:t>[%]</w:t>
            </w:r>
          </w:p>
        </w:tc>
        <w:tc>
          <w:tcPr>
            <w:tcW w:w="1231" w:type="dxa"/>
            <w:tcBorders>
              <w:top w:val="single" w:sz="8" w:space="0" w:color="auto"/>
              <w:left w:val="single" w:sz="8" w:space="0" w:color="auto"/>
              <w:bottom w:val="single" w:sz="8" w:space="0" w:color="auto"/>
              <w:right w:val="single" w:sz="8" w:space="0" w:color="auto"/>
            </w:tcBorders>
            <w:shd w:val="clear" w:color="auto" w:fill="E6E6E6"/>
            <w:vAlign w:val="center"/>
          </w:tcPr>
          <w:p w14:paraId="525D0BB1" w14:textId="77777777" w:rsidR="00FB00C6" w:rsidRPr="000545B3" w:rsidRDefault="00FB00C6" w:rsidP="00ED5EBD">
            <w:pPr>
              <w:spacing w:line="240" w:lineRule="auto"/>
              <w:jc w:val="center"/>
              <w:rPr>
                <w:rFonts w:cs="Arial"/>
                <w:b/>
                <w:sz w:val="18"/>
                <w:szCs w:val="18"/>
              </w:rPr>
            </w:pPr>
            <w:r w:rsidRPr="000545B3">
              <w:rPr>
                <w:rFonts w:cs="Arial"/>
                <w:b/>
                <w:sz w:val="18"/>
                <w:szCs w:val="18"/>
              </w:rPr>
              <w:t>Menge [g]</w:t>
            </w:r>
          </w:p>
        </w:tc>
      </w:tr>
      <w:tr w:rsidR="00FB00C6" w:rsidRPr="008919DE" w14:paraId="2C96EAA5" w14:textId="77777777" w:rsidTr="006360D4">
        <w:trPr>
          <w:trHeight w:val="294"/>
          <w:jc w:val="center"/>
        </w:trPr>
        <w:tc>
          <w:tcPr>
            <w:tcW w:w="808" w:type="dxa"/>
            <w:tcBorders>
              <w:top w:val="single" w:sz="8" w:space="0" w:color="auto"/>
              <w:left w:val="single" w:sz="8" w:space="0" w:color="auto"/>
            </w:tcBorders>
            <w:shd w:val="clear" w:color="auto" w:fill="auto"/>
            <w:vAlign w:val="center"/>
          </w:tcPr>
          <w:p w14:paraId="65870ED0" w14:textId="77777777" w:rsidR="00FB00C6" w:rsidRPr="00074A05" w:rsidRDefault="00FB00C6" w:rsidP="00B24EE2">
            <w:pPr>
              <w:spacing w:line="240" w:lineRule="auto"/>
              <w:jc w:val="center"/>
              <w:rPr>
                <w:rFonts w:cs="Arial"/>
                <w:sz w:val="18"/>
                <w:szCs w:val="18"/>
              </w:rPr>
            </w:pPr>
            <w:r w:rsidRPr="00074A05">
              <w:rPr>
                <w:rFonts w:cs="Arial"/>
                <w:sz w:val="18"/>
                <w:szCs w:val="18"/>
              </w:rPr>
              <w:t>1</w:t>
            </w:r>
          </w:p>
        </w:tc>
        <w:tc>
          <w:tcPr>
            <w:tcW w:w="2126" w:type="dxa"/>
            <w:tcBorders>
              <w:top w:val="single" w:sz="8" w:space="0" w:color="auto"/>
            </w:tcBorders>
            <w:shd w:val="clear" w:color="auto" w:fill="auto"/>
            <w:vAlign w:val="center"/>
          </w:tcPr>
          <w:p w14:paraId="095027D8" w14:textId="77777777" w:rsidR="00FB00C6" w:rsidRPr="00074A05" w:rsidRDefault="00FB00C6" w:rsidP="00B24EE2">
            <w:pPr>
              <w:spacing w:line="240" w:lineRule="auto"/>
              <w:rPr>
                <w:rFonts w:cs="Arial"/>
                <w:sz w:val="18"/>
                <w:szCs w:val="18"/>
              </w:rPr>
            </w:pPr>
            <w:r w:rsidRPr="00074A05">
              <w:rPr>
                <w:rFonts w:cs="Arial"/>
                <w:sz w:val="18"/>
                <w:szCs w:val="18"/>
              </w:rPr>
              <w:t>PEG 4000</w:t>
            </w:r>
          </w:p>
          <w:p w14:paraId="63153A9F" w14:textId="77777777" w:rsidR="00FB00C6" w:rsidRPr="00074A05" w:rsidRDefault="00FB00C6" w:rsidP="00B24EE2">
            <w:pPr>
              <w:spacing w:line="240" w:lineRule="auto"/>
              <w:rPr>
                <w:rFonts w:cs="Arial"/>
                <w:sz w:val="18"/>
                <w:szCs w:val="18"/>
              </w:rPr>
            </w:pPr>
            <w:r w:rsidRPr="00074A05">
              <w:rPr>
                <w:rFonts w:cs="Arial"/>
                <w:sz w:val="18"/>
                <w:szCs w:val="18"/>
              </w:rPr>
              <w:t>Desmopressin</w:t>
            </w:r>
            <w:r w:rsidR="00E11D6B">
              <w:rPr>
                <w:rFonts w:cs="Arial"/>
                <w:sz w:val="18"/>
                <w:szCs w:val="18"/>
              </w:rPr>
              <w:t>acetat</w:t>
            </w:r>
          </w:p>
        </w:tc>
        <w:tc>
          <w:tcPr>
            <w:tcW w:w="1418" w:type="dxa"/>
            <w:tcBorders>
              <w:top w:val="single" w:sz="8" w:space="0" w:color="auto"/>
            </w:tcBorders>
            <w:shd w:val="clear" w:color="auto" w:fill="auto"/>
            <w:vAlign w:val="center"/>
          </w:tcPr>
          <w:p w14:paraId="4076C598" w14:textId="77777777" w:rsidR="00FB00C6" w:rsidRPr="00074A05" w:rsidRDefault="00FB00C6" w:rsidP="00B24EE2">
            <w:pPr>
              <w:spacing w:line="240" w:lineRule="auto"/>
              <w:jc w:val="center"/>
              <w:rPr>
                <w:rFonts w:cs="Arial"/>
                <w:sz w:val="18"/>
                <w:szCs w:val="18"/>
              </w:rPr>
            </w:pPr>
            <w:r w:rsidRPr="00074A05">
              <w:rPr>
                <w:rFonts w:cs="Arial"/>
                <w:sz w:val="18"/>
                <w:szCs w:val="18"/>
              </w:rPr>
              <w:t>0,06</w:t>
            </w:r>
          </w:p>
          <w:p w14:paraId="27873E46" w14:textId="77777777" w:rsidR="00FB00C6" w:rsidRPr="00074A05" w:rsidRDefault="00FB00C6" w:rsidP="00B24EE2">
            <w:pPr>
              <w:spacing w:line="240" w:lineRule="auto"/>
              <w:jc w:val="center"/>
              <w:rPr>
                <w:rFonts w:cs="Arial"/>
                <w:sz w:val="18"/>
                <w:szCs w:val="18"/>
              </w:rPr>
            </w:pPr>
            <w:r w:rsidRPr="00074A05">
              <w:rPr>
                <w:rFonts w:cs="Arial"/>
                <w:sz w:val="18"/>
                <w:szCs w:val="18"/>
              </w:rPr>
              <w:t>0,01</w:t>
            </w:r>
          </w:p>
        </w:tc>
        <w:tc>
          <w:tcPr>
            <w:tcW w:w="2135" w:type="dxa"/>
            <w:tcBorders>
              <w:top w:val="single" w:sz="8" w:space="0" w:color="auto"/>
            </w:tcBorders>
            <w:shd w:val="clear" w:color="auto" w:fill="auto"/>
            <w:vAlign w:val="center"/>
          </w:tcPr>
          <w:p w14:paraId="0A6CC60B" w14:textId="77777777" w:rsidR="00FB00C6" w:rsidRPr="00074A05" w:rsidRDefault="00B56418" w:rsidP="00B24EE2">
            <w:pPr>
              <w:spacing w:line="240" w:lineRule="auto"/>
              <w:jc w:val="center"/>
              <w:rPr>
                <w:rFonts w:cs="Arial"/>
                <w:sz w:val="18"/>
                <w:szCs w:val="18"/>
                <w:lang w:val="en-US"/>
              </w:rPr>
            </w:pPr>
            <w:r>
              <w:rPr>
                <w:rFonts w:cs="Arial"/>
                <w:sz w:val="18"/>
                <w:szCs w:val="18"/>
                <w:lang w:val="en-US"/>
              </w:rPr>
              <w:t>Destilliertes Wasser</w:t>
            </w:r>
          </w:p>
        </w:tc>
        <w:tc>
          <w:tcPr>
            <w:tcW w:w="1267" w:type="dxa"/>
            <w:tcBorders>
              <w:top w:val="single" w:sz="8" w:space="0" w:color="auto"/>
            </w:tcBorders>
            <w:shd w:val="clear" w:color="auto" w:fill="auto"/>
            <w:vAlign w:val="center"/>
          </w:tcPr>
          <w:p w14:paraId="09F659D5" w14:textId="77777777" w:rsidR="00FB00C6" w:rsidRPr="00074A05" w:rsidRDefault="00FB00C6" w:rsidP="00B24EE2">
            <w:pPr>
              <w:spacing w:line="240" w:lineRule="auto"/>
              <w:jc w:val="center"/>
              <w:rPr>
                <w:rFonts w:cs="Arial"/>
                <w:sz w:val="18"/>
                <w:szCs w:val="18"/>
              </w:rPr>
            </w:pPr>
            <w:r w:rsidRPr="00074A05">
              <w:rPr>
                <w:rFonts w:cs="Arial"/>
                <w:sz w:val="18"/>
                <w:szCs w:val="18"/>
              </w:rPr>
              <w:t>3</w:t>
            </w:r>
          </w:p>
          <w:p w14:paraId="4AE0FEF2" w14:textId="77777777" w:rsidR="00FB00C6" w:rsidRPr="00074A05" w:rsidRDefault="00FB00C6" w:rsidP="00B24EE2">
            <w:pPr>
              <w:spacing w:line="240" w:lineRule="auto"/>
              <w:jc w:val="center"/>
              <w:rPr>
                <w:rFonts w:cs="Arial"/>
                <w:sz w:val="18"/>
                <w:szCs w:val="18"/>
              </w:rPr>
            </w:pPr>
            <w:r w:rsidRPr="00074A05">
              <w:rPr>
                <w:rFonts w:cs="Arial"/>
                <w:sz w:val="18"/>
                <w:szCs w:val="18"/>
              </w:rPr>
              <w:t>0,5</w:t>
            </w:r>
          </w:p>
        </w:tc>
        <w:tc>
          <w:tcPr>
            <w:tcW w:w="1231" w:type="dxa"/>
            <w:tcBorders>
              <w:top w:val="single" w:sz="8" w:space="0" w:color="auto"/>
              <w:right w:val="single" w:sz="8" w:space="0" w:color="auto"/>
            </w:tcBorders>
            <w:shd w:val="clear" w:color="auto" w:fill="auto"/>
            <w:vAlign w:val="center"/>
          </w:tcPr>
          <w:p w14:paraId="34A15717" w14:textId="77777777" w:rsidR="00FB00C6" w:rsidRPr="00074A05" w:rsidRDefault="00FB00C6" w:rsidP="00B24EE2">
            <w:pPr>
              <w:spacing w:line="240" w:lineRule="auto"/>
              <w:jc w:val="center"/>
              <w:rPr>
                <w:rFonts w:cs="Arial"/>
                <w:sz w:val="18"/>
                <w:szCs w:val="18"/>
              </w:rPr>
            </w:pPr>
            <w:r w:rsidRPr="00074A05">
              <w:rPr>
                <w:rFonts w:cs="Arial"/>
                <w:sz w:val="18"/>
                <w:szCs w:val="18"/>
              </w:rPr>
              <w:t>2,0</w:t>
            </w:r>
          </w:p>
        </w:tc>
      </w:tr>
      <w:tr w:rsidR="00FB00C6" w:rsidRPr="008919DE" w14:paraId="2B7AA4F9" w14:textId="77777777" w:rsidTr="006360D4">
        <w:trPr>
          <w:trHeight w:val="313"/>
          <w:jc w:val="center"/>
        </w:trPr>
        <w:tc>
          <w:tcPr>
            <w:tcW w:w="808" w:type="dxa"/>
            <w:tcBorders>
              <w:left w:val="single" w:sz="8" w:space="0" w:color="auto"/>
            </w:tcBorders>
            <w:shd w:val="clear" w:color="auto" w:fill="auto"/>
            <w:vAlign w:val="center"/>
          </w:tcPr>
          <w:p w14:paraId="34B474E3" w14:textId="77777777" w:rsidR="00FB00C6" w:rsidRPr="00074A05" w:rsidRDefault="00FB00C6" w:rsidP="00B24EE2">
            <w:pPr>
              <w:spacing w:line="240" w:lineRule="auto"/>
              <w:jc w:val="center"/>
              <w:rPr>
                <w:rFonts w:cs="Arial"/>
                <w:sz w:val="18"/>
                <w:szCs w:val="18"/>
              </w:rPr>
            </w:pPr>
            <w:r w:rsidRPr="00074A05">
              <w:rPr>
                <w:rFonts w:cs="Arial"/>
                <w:sz w:val="18"/>
                <w:szCs w:val="18"/>
              </w:rPr>
              <w:t>2</w:t>
            </w:r>
          </w:p>
        </w:tc>
        <w:tc>
          <w:tcPr>
            <w:tcW w:w="2126" w:type="dxa"/>
            <w:shd w:val="clear" w:color="auto" w:fill="auto"/>
            <w:vAlign w:val="center"/>
          </w:tcPr>
          <w:p w14:paraId="09F5041B" w14:textId="77777777" w:rsidR="00FB00C6" w:rsidRPr="00074A05" w:rsidRDefault="00FB00C6" w:rsidP="00B24EE2">
            <w:pPr>
              <w:spacing w:line="240" w:lineRule="auto"/>
              <w:rPr>
                <w:rFonts w:cs="Arial"/>
                <w:sz w:val="18"/>
                <w:szCs w:val="18"/>
              </w:rPr>
            </w:pPr>
            <w:r w:rsidRPr="00074A05">
              <w:rPr>
                <w:rFonts w:cs="Arial"/>
                <w:sz w:val="18"/>
                <w:szCs w:val="18"/>
              </w:rPr>
              <w:t>PEA Asparaginsäure</w:t>
            </w:r>
          </w:p>
        </w:tc>
        <w:tc>
          <w:tcPr>
            <w:tcW w:w="1418" w:type="dxa"/>
            <w:shd w:val="clear" w:color="auto" w:fill="auto"/>
            <w:vAlign w:val="center"/>
          </w:tcPr>
          <w:p w14:paraId="17AB38E8" w14:textId="77777777" w:rsidR="00FB00C6" w:rsidRPr="00074A05" w:rsidRDefault="00FB00C6" w:rsidP="00B24EE2">
            <w:pPr>
              <w:spacing w:line="240" w:lineRule="auto"/>
              <w:jc w:val="center"/>
              <w:rPr>
                <w:rFonts w:cs="Arial"/>
                <w:sz w:val="18"/>
                <w:szCs w:val="18"/>
              </w:rPr>
            </w:pPr>
            <w:r w:rsidRPr="00074A05">
              <w:rPr>
                <w:rFonts w:cs="Arial"/>
                <w:sz w:val="18"/>
                <w:szCs w:val="18"/>
              </w:rPr>
              <w:t>0,08</w:t>
            </w:r>
          </w:p>
        </w:tc>
        <w:tc>
          <w:tcPr>
            <w:tcW w:w="2135" w:type="dxa"/>
            <w:shd w:val="clear" w:color="auto" w:fill="auto"/>
            <w:vAlign w:val="center"/>
          </w:tcPr>
          <w:p w14:paraId="1EB2DF7F" w14:textId="77777777" w:rsidR="00FB00C6" w:rsidRPr="00074A05" w:rsidRDefault="00FB00C6" w:rsidP="00B24EE2">
            <w:pPr>
              <w:spacing w:line="240" w:lineRule="auto"/>
              <w:jc w:val="center"/>
              <w:rPr>
                <w:rFonts w:cs="Arial"/>
                <w:sz w:val="18"/>
                <w:szCs w:val="18"/>
              </w:rPr>
            </w:pPr>
            <w:r w:rsidRPr="00074A05">
              <w:rPr>
                <w:rFonts w:cs="Arial"/>
                <w:sz w:val="18"/>
                <w:szCs w:val="18"/>
              </w:rPr>
              <w:t>Ethylacetat / Aceton Mischung 3:1</w:t>
            </w:r>
          </w:p>
        </w:tc>
        <w:tc>
          <w:tcPr>
            <w:tcW w:w="1267" w:type="dxa"/>
            <w:shd w:val="clear" w:color="auto" w:fill="auto"/>
            <w:vAlign w:val="center"/>
          </w:tcPr>
          <w:p w14:paraId="4F34BBFD" w14:textId="77777777" w:rsidR="00FB00C6" w:rsidRPr="00074A05" w:rsidRDefault="00FB00C6" w:rsidP="00B24EE2">
            <w:pPr>
              <w:spacing w:line="240" w:lineRule="auto"/>
              <w:jc w:val="center"/>
              <w:rPr>
                <w:rFonts w:cs="Arial"/>
                <w:sz w:val="18"/>
                <w:szCs w:val="18"/>
              </w:rPr>
            </w:pPr>
            <w:r w:rsidRPr="00074A05">
              <w:rPr>
                <w:rFonts w:cs="Arial"/>
                <w:sz w:val="18"/>
                <w:szCs w:val="18"/>
              </w:rPr>
              <w:t>1,0</w:t>
            </w:r>
          </w:p>
        </w:tc>
        <w:tc>
          <w:tcPr>
            <w:tcW w:w="1231" w:type="dxa"/>
            <w:tcBorders>
              <w:right w:val="single" w:sz="8" w:space="0" w:color="auto"/>
            </w:tcBorders>
            <w:shd w:val="clear" w:color="auto" w:fill="auto"/>
            <w:vAlign w:val="center"/>
          </w:tcPr>
          <w:p w14:paraId="351CC33C" w14:textId="77777777" w:rsidR="00FB00C6" w:rsidRPr="00074A05" w:rsidRDefault="00FB00C6" w:rsidP="00B24EE2">
            <w:pPr>
              <w:spacing w:line="240" w:lineRule="auto"/>
              <w:jc w:val="center"/>
              <w:rPr>
                <w:rFonts w:cs="Arial"/>
                <w:sz w:val="18"/>
                <w:szCs w:val="18"/>
              </w:rPr>
            </w:pPr>
            <w:r w:rsidRPr="00074A05">
              <w:rPr>
                <w:rFonts w:cs="Arial"/>
                <w:sz w:val="18"/>
                <w:szCs w:val="18"/>
              </w:rPr>
              <w:t>8,0</w:t>
            </w:r>
          </w:p>
        </w:tc>
      </w:tr>
      <w:tr w:rsidR="00FB00C6" w:rsidRPr="008919DE" w14:paraId="521164CA" w14:textId="77777777" w:rsidTr="006360D4">
        <w:trPr>
          <w:trHeight w:val="313"/>
          <w:jc w:val="center"/>
        </w:trPr>
        <w:tc>
          <w:tcPr>
            <w:tcW w:w="808" w:type="dxa"/>
            <w:tcBorders>
              <w:left w:val="single" w:sz="8" w:space="0" w:color="auto"/>
            </w:tcBorders>
            <w:shd w:val="clear" w:color="auto" w:fill="auto"/>
            <w:vAlign w:val="center"/>
          </w:tcPr>
          <w:p w14:paraId="1B17A593" w14:textId="77777777" w:rsidR="00FB00C6" w:rsidRPr="00074A05" w:rsidRDefault="00FB00C6" w:rsidP="00B24EE2">
            <w:pPr>
              <w:spacing w:line="240" w:lineRule="auto"/>
              <w:jc w:val="center"/>
              <w:rPr>
                <w:rFonts w:cs="Arial"/>
                <w:sz w:val="18"/>
                <w:szCs w:val="18"/>
              </w:rPr>
            </w:pPr>
            <w:r w:rsidRPr="00074A05">
              <w:rPr>
                <w:rFonts w:cs="Arial"/>
                <w:sz w:val="18"/>
                <w:szCs w:val="18"/>
              </w:rPr>
              <w:t>3</w:t>
            </w:r>
          </w:p>
        </w:tc>
        <w:tc>
          <w:tcPr>
            <w:tcW w:w="2126" w:type="dxa"/>
            <w:shd w:val="clear" w:color="auto" w:fill="auto"/>
            <w:vAlign w:val="center"/>
          </w:tcPr>
          <w:p w14:paraId="7537A5F5" w14:textId="77777777" w:rsidR="00FB00C6" w:rsidRPr="00074A05" w:rsidRDefault="00FB00C6" w:rsidP="00B24EE2">
            <w:pPr>
              <w:spacing w:line="240" w:lineRule="auto"/>
              <w:rPr>
                <w:rFonts w:cs="Arial"/>
                <w:sz w:val="18"/>
                <w:szCs w:val="18"/>
              </w:rPr>
            </w:pPr>
            <w:r w:rsidRPr="00074A05">
              <w:rPr>
                <w:rFonts w:cs="Arial"/>
                <w:sz w:val="18"/>
                <w:szCs w:val="18"/>
              </w:rPr>
              <w:t>PVA</w:t>
            </w:r>
          </w:p>
        </w:tc>
        <w:tc>
          <w:tcPr>
            <w:tcW w:w="1418" w:type="dxa"/>
            <w:shd w:val="clear" w:color="auto" w:fill="auto"/>
            <w:vAlign w:val="center"/>
          </w:tcPr>
          <w:p w14:paraId="72E692A0" w14:textId="77777777" w:rsidR="00FB00C6" w:rsidRPr="00074A05" w:rsidRDefault="00350C53" w:rsidP="00B24EE2">
            <w:pPr>
              <w:spacing w:line="240" w:lineRule="auto"/>
              <w:jc w:val="center"/>
              <w:rPr>
                <w:rFonts w:cs="Arial"/>
                <w:sz w:val="18"/>
                <w:szCs w:val="18"/>
              </w:rPr>
            </w:pPr>
            <w:r>
              <w:rPr>
                <w:rFonts w:cs="Arial"/>
                <w:sz w:val="18"/>
                <w:szCs w:val="18"/>
              </w:rPr>
              <w:t>variabel</w:t>
            </w:r>
          </w:p>
        </w:tc>
        <w:tc>
          <w:tcPr>
            <w:tcW w:w="2135" w:type="dxa"/>
            <w:shd w:val="clear" w:color="auto" w:fill="auto"/>
            <w:vAlign w:val="center"/>
          </w:tcPr>
          <w:p w14:paraId="1293F040" w14:textId="77777777" w:rsidR="00FB00C6" w:rsidRPr="00074A05" w:rsidRDefault="00FB00C6" w:rsidP="00B24EE2">
            <w:pPr>
              <w:spacing w:line="240" w:lineRule="auto"/>
              <w:jc w:val="center"/>
              <w:rPr>
                <w:rFonts w:cs="Arial"/>
                <w:sz w:val="18"/>
                <w:szCs w:val="18"/>
              </w:rPr>
            </w:pPr>
            <w:r w:rsidRPr="00074A05">
              <w:rPr>
                <w:rFonts w:cs="Arial"/>
                <w:sz w:val="18"/>
                <w:szCs w:val="18"/>
              </w:rPr>
              <w:t>Phosphatpuffer Ph</w:t>
            </w:r>
            <w:r w:rsidR="00B56418">
              <w:rPr>
                <w:rFonts w:cs="Arial"/>
                <w:sz w:val="18"/>
                <w:szCs w:val="18"/>
              </w:rPr>
              <w:t>.</w:t>
            </w:r>
            <w:r w:rsidRPr="00074A05">
              <w:rPr>
                <w:rFonts w:cs="Arial"/>
                <w:sz w:val="18"/>
                <w:szCs w:val="18"/>
              </w:rPr>
              <w:t>Eur</w:t>
            </w:r>
            <w:r w:rsidR="00B56418">
              <w:rPr>
                <w:rFonts w:cs="Arial"/>
                <w:sz w:val="18"/>
                <w:szCs w:val="18"/>
              </w:rPr>
              <w:t>.</w:t>
            </w:r>
            <w:r w:rsidRPr="00074A05">
              <w:rPr>
                <w:rFonts w:cs="Arial"/>
                <w:sz w:val="18"/>
                <w:szCs w:val="18"/>
              </w:rPr>
              <w:t xml:space="preserve"> pH 5,0</w:t>
            </w:r>
          </w:p>
        </w:tc>
        <w:tc>
          <w:tcPr>
            <w:tcW w:w="1267" w:type="dxa"/>
            <w:shd w:val="clear" w:color="auto" w:fill="auto"/>
            <w:vAlign w:val="center"/>
          </w:tcPr>
          <w:p w14:paraId="50747EEC" w14:textId="77777777" w:rsidR="00FB00C6" w:rsidRPr="00074A05" w:rsidRDefault="00FB00C6" w:rsidP="00B24EE2">
            <w:pPr>
              <w:spacing w:line="240" w:lineRule="auto"/>
              <w:jc w:val="center"/>
              <w:rPr>
                <w:rFonts w:cs="Arial"/>
                <w:sz w:val="18"/>
                <w:szCs w:val="18"/>
              </w:rPr>
            </w:pPr>
            <w:r w:rsidRPr="00074A05">
              <w:rPr>
                <w:rFonts w:cs="Arial"/>
                <w:sz w:val="18"/>
                <w:szCs w:val="18"/>
              </w:rPr>
              <w:t>0,3</w:t>
            </w:r>
            <w:r w:rsidR="00512727">
              <w:rPr>
                <w:rFonts w:cs="Arial"/>
                <w:sz w:val="18"/>
                <w:szCs w:val="18"/>
              </w:rPr>
              <w:t>-</w:t>
            </w:r>
            <w:r w:rsidR="009B4B6D">
              <w:rPr>
                <w:rFonts w:cs="Arial"/>
                <w:sz w:val="18"/>
                <w:szCs w:val="18"/>
              </w:rPr>
              <w:t>1,5</w:t>
            </w:r>
          </w:p>
        </w:tc>
        <w:tc>
          <w:tcPr>
            <w:tcW w:w="1231" w:type="dxa"/>
            <w:tcBorders>
              <w:right w:val="single" w:sz="8" w:space="0" w:color="auto"/>
            </w:tcBorders>
            <w:shd w:val="clear" w:color="auto" w:fill="auto"/>
            <w:vAlign w:val="center"/>
          </w:tcPr>
          <w:p w14:paraId="2035FC01" w14:textId="77777777" w:rsidR="00FB00C6" w:rsidRPr="00074A05" w:rsidRDefault="00FB00C6" w:rsidP="00B24EE2">
            <w:pPr>
              <w:spacing w:line="240" w:lineRule="auto"/>
              <w:jc w:val="center"/>
              <w:rPr>
                <w:rFonts w:cs="Arial"/>
                <w:sz w:val="18"/>
                <w:szCs w:val="18"/>
              </w:rPr>
            </w:pPr>
            <w:r w:rsidRPr="00074A05">
              <w:rPr>
                <w:rFonts w:cs="Arial"/>
                <w:sz w:val="18"/>
                <w:szCs w:val="18"/>
              </w:rPr>
              <w:t>30,0</w:t>
            </w:r>
          </w:p>
        </w:tc>
      </w:tr>
      <w:tr w:rsidR="00FB00C6" w:rsidRPr="008919DE" w14:paraId="7A851FED" w14:textId="77777777" w:rsidTr="006360D4">
        <w:trPr>
          <w:trHeight w:val="313"/>
          <w:jc w:val="center"/>
        </w:trPr>
        <w:tc>
          <w:tcPr>
            <w:tcW w:w="808" w:type="dxa"/>
            <w:tcBorders>
              <w:left w:val="single" w:sz="8" w:space="0" w:color="auto"/>
              <w:bottom w:val="single" w:sz="8" w:space="0" w:color="auto"/>
            </w:tcBorders>
            <w:shd w:val="clear" w:color="auto" w:fill="auto"/>
            <w:vAlign w:val="center"/>
          </w:tcPr>
          <w:p w14:paraId="00547C98" w14:textId="77777777" w:rsidR="00FB00C6" w:rsidRPr="00074A05" w:rsidRDefault="00FB00C6" w:rsidP="00B24EE2">
            <w:pPr>
              <w:spacing w:line="240" w:lineRule="auto"/>
              <w:jc w:val="center"/>
              <w:rPr>
                <w:rFonts w:cs="Arial"/>
                <w:sz w:val="18"/>
                <w:szCs w:val="18"/>
              </w:rPr>
            </w:pPr>
            <w:r w:rsidRPr="00074A05">
              <w:rPr>
                <w:rFonts w:cs="Arial"/>
                <w:sz w:val="18"/>
                <w:szCs w:val="18"/>
              </w:rPr>
              <w:t>4</w:t>
            </w:r>
          </w:p>
        </w:tc>
        <w:tc>
          <w:tcPr>
            <w:tcW w:w="2126" w:type="dxa"/>
            <w:tcBorders>
              <w:bottom w:val="single" w:sz="8" w:space="0" w:color="auto"/>
            </w:tcBorders>
            <w:shd w:val="clear" w:color="auto" w:fill="auto"/>
            <w:vAlign w:val="center"/>
          </w:tcPr>
          <w:p w14:paraId="443C7337" w14:textId="77777777" w:rsidR="00FB00C6" w:rsidRPr="00074A05" w:rsidRDefault="00FB00C6" w:rsidP="00B24EE2">
            <w:pPr>
              <w:spacing w:line="240" w:lineRule="auto"/>
              <w:rPr>
                <w:rFonts w:cs="Arial"/>
                <w:sz w:val="18"/>
                <w:szCs w:val="18"/>
              </w:rPr>
            </w:pPr>
            <w:r w:rsidRPr="00074A05">
              <w:rPr>
                <w:rFonts w:cs="Arial"/>
                <w:sz w:val="18"/>
                <w:szCs w:val="18"/>
              </w:rPr>
              <w:t>Partikelsuspension</w:t>
            </w:r>
          </w:p>
          <w:p w14:paraId="5E1CCDF6" w14:textId="77777777" w:rsidR="00FB00C6" w:rsidRPr="00074A05" w:rsidRDefault="00C464DD" w:rsidP="00B24EE2">
            <w:pPr>
              <w:spacing w:line="240" w:lineRule="auto"/>
              <w:rPr>
                <w:rFonts w:cs="Arial"/>
                <w:sz w:val="18"/>
                <w:szCs w:val="18"/>
              </w:rPr>
            </w:pPr>
            <w:r>
              <w:rPr>
                <w:rFonts w:cs="Arial"/>
                <w:sz w:val="18"/>
                <w:szCs w:val="18"/>
              </w:rPr>
              <w:t>Sorbitol / Mannitol (3:2)</w:t>
            </w:r>
          </w:p>
        </w:tc>
        <w:tc>
          <w:tcPr>
            <w:tcW w:w="1418" w:type="dxa"/>
            <w:tcBorders>
              <w:bottom w:val="single" w:sz="8" w:space="0" w:color="auto"/>
            </w:tcBorders>
            <w:shd w:val="clear" w:color="auto" w:fill="auto"/>
            <w:vAlign w:val="center"/>
          </w:tcPr>
          <w:p w14:paraId="12163B73" w14:textId="77777777" w:rsidR="00FB00C6" w:rsidRPr="00074A05" w:rsidRDefault="00131EC8" w:rsidP="00B24EE2">
            <w:pPr>
              <w:spacing w:line="240" w:lineRule="auto"/>
              <w:jc w:val="center"/>
              <w:rPr>
                <w:rFonts w:cs="Arial"/>
                <w:sz w:val="18"/>
                <w:szCs w:val="18"/>
              </w:rPr>
            </w:pPr>
            <w:r>
              <w:rPr>
                <w:rFonts w:cs="Arial"/>
                <w:sz w:val="18"/>
                <w:szCs w:val="18"/>
              </w:rPr>
              <w:t>9,85</w:t>
            </w:r>
          </w:p>
          <w:p w14:paraId="79F35F86" w14:textId="77777777" w:rsidR="00FB00C6" w:rsidRPr="00074A05" w:rsidRDefault="00FB00C6" w:rsidP="00B24EE2">
            <w:pPr>
              <w:spacing w:line="240" w:lineRule="auto"/>
              <w:jc w:val="center"/>
              <w:rPr>
                <w:rFonts w:cs="Arial"/>
                <w:sz w:val="18"/>
                <w:szCs w:val="18"/>
              </w:rPr>
            </w:pPr>
            <w:r w:rsidRPr="00074A05">
              <w:rPr>
                <w:rFonts w:cs="Arial"/>
                <w:sz w:val="18"/>
                <w:szCs w:val="18"/>
              </w:rPr>
              <w:t>0,15</w:t>
            </w:r>
          </w:p>
        </w:tc>
        <w:tc>
          <w:tcPr>
            <w:tcW w:w="2135" w:type="dxa"/>
            <w:tcBorders>
              <w:bottom w:val="single" w:sz="8" w:space="0" w:color="auto"/>
            </w:tcBorders>
            <w:shd w:val="clear" w:color="auto" w:fill="auto"/>
            <w:vAlign w:val="center"/>
          </w:tcPr>
          <w:p w14:paraId="08A49317" w14:textId="77777777" w:rsidR="00FB00C6" w:rsidRPr="00074A05" w:rsidRDefault="00FB00C6" w:rsidP="00B24EE2">
            <w:pPr>
              <w:spacing w:line="240" w:lineRule="auto"/>
              <w:jc w:val="center"/>
              <w:rPr>
                <w:rFonts w:cs="Arial"/>
                <w:sz w:val="18"/>
                <w:szCs w:val="18"/>
              </w:rPr>
            </w:pPr>
            <w:r w:rsidRPr="00074A05">
              <w:rPr>
                <w:rFonts w:cs="Arial"/>
                <w:sz w:val="18"/>
                <w:szCs w:val="18"/>
              </w:rPr>
              <w:t>Phosphatpuffer Ph</w:t>
            </w:r>
            <w:r w:rsidR="00B56418">
              <w:rPr>
                <w:rFonts w:cs="Arial"/>
                <w:sz w:val="18"/>
                <w:szCs w:val="18"/>
              </w:rPr>
              <w:t>.</w:t>
            </w:r>
            <w:r w:rsidRPr="00074A05">
              <w:rPr>
                <w:rFonts w:cs="Arial"/>
                <w:sz w:val="18"/>
                <w:szCs w:val="18"/>
              </w:rPr>
              <w:t>Eur</w:t>
            </w:r>
            <w:r w:rsidR="00B56418">
              <w:rPr>
                <w:rFonts w:cs="Arial"/>
                <w:sz w:val="18"/>
                <w:szCs w:val="18"/>
              </w:rPr>
              <w:t>.</w:t>
            </w:r>
            <w:r w:rsidRPr="00074A05">
              <w:rPr>
                <w:rFonts w:cs="Arial"/>
                <w:sz w:val="18"/>
                <w:szCs w:val="18"/>
              </w:rPr>
              <w:t xml:space="preserve"> pH 5,0</w:t>
            </w:r>
          </w:p>
        </w:tc>
        <w:tc>
          <w:tcPr>
            <w:tcW w:w="1267" w:type="dxa"/>
            <w:tcBorders>
              <w:bottom w:val="single" w:sz="8" w:space="0" w:color="auto"/>
            </w:tcBorders>
            <w:shd w:val="clear" w:color="auto" w:fill="auto"/>
            <w:vAlign w:val="center"/>
          </w:tcPr>
          <w:p w14:paraId="2CAB9320" w14:textId="77777777" w:rsidR="00FB00C6" w:rsidRPr="00074A05" w:rsidRDefault="00FB00C6" w:rsidP="00B24EE2">
            <w:pPr>
              <w:spacing w:line="240" w:lineRule="auto"/>
              <w:jc w:val="center"/>
              <w:rPr>
                <w:rFonts w:cs="Arial"/>
                <w:sz w:val="18"/>
                <w:szCs w:val="18"/>
              </w:rPr>
            </w:pPr>
            <w:r w:rsidRPr="00074A05">
              <w:rPr>
                <w:rFonts w:cs="Arial"/>
                <w:sz w:val="18"/>
                <w:szCs w:val="18"/>
              </w:rPr>
              <w:t>1,5</w:t>
            </w:r>
          </w:p>
        </w:tc>
        <w:tc>
          <w:tcPr>
            <w:tcW w:w="1231" w:type="dxa"/>
            <w:tcBorders>
              <w:bottom w:val="single" w:sz="8" w:space="0" w:color="auto"/>
              <w:right w:val="single" w:sz="8" w:space="0" w:color="auto"/>
            </w:tcBorders>
            <w:shd w:val="clear" w:color="auto" w:fill="auto"/>
            <w:vAlign w:val="center"/>
          </w:tcPr>
          <w:p w14:paraId="4D380E30" w14:textId="77777777" w:rsidR="00FB00C6" w:rsidRPr="00074A05" w:rsidRDefault="00131EC8" w:rsidP="00B24EE2">
            <w:pPr>
              <w:keepNext/>
              <w:spacing w:line="240" w:lineRule="auto"/>
              <w:jc w:val="center"/>
              <w:rPr>
                <w:rFonts w:cs="Arial"/>
                <w:sz w:val="18"/>
                <w:szCs w:val="18"/>
              </w:rPr>
            </w:pPr>
            <w:r>
              <w:rPr>
                <w:rFonts w:cs="Arial"/>
                <w:sz w:val="18"/>
                <w:szCs w:val="18"/>
              </w:rPr>
              <w:t>10,0</w:t>
            </w:r>
          </w:p>
        </w:tc>
      </w:tr>
    </w:tbl>
    <w:p w14:paraId="6026B4CB" w14:textId="77777777" w:rsidR="00FB00C6" w:rsidRDefault="00FB00C6" w:rsidP="005E4A2D">
      <w:pPr>
        <w:spacing w:after="120"/>
      </w:pPr>
    </w:p>
    <w:p w14:paraId="47F2A696" w14:textId="77777777" w:rsidR="00074A05" w:rsidRPr="00074A05" w:rsidRDefault="00074A05" w:rsidP="00074A05">
      <w:r w:rsidRPr="00074A05">
        <w:t>Lösung Nr. 1 (W</w:t>
      </w:r>
      <w:r w:rsidRPr="00074A05">
        <w:rPr>
          <w:vertAlign w:val="subscript"/>
        </w:rPr>
        <w:t>1</w:t>
      </w:r>
      <w:r w:rsidR="00270279">
        <w:t>) wurde</w:t>
      </w:r>
      <w:r w:rsidRPr="00074A05">
        <w:t xml:space="preserve"> tropfenweise unter Rühren mit dem Ultra-</w:t>
      </w:r>
      <w:r w:rsidR="002D2A6C">
        <w:t>Turrax (UT) bei 10.000 </w:t>
      </w:r>
      <w:r w:rsidR="00CC0CD7">
        <w:t>Up</w:t>
      </w:r>
      <w:r>
        <w:t>M zu</w:t>
      </w:r>
      <w:r w:rsidR="002D2A6C">
        <w:t xml:space="preserve"> Lösung Nr. </w:t>
      </w:r>
      <w:r w:rsidRPr="00074A05">
        <w:t>2 gegeben, sodass eine milchig trübe W</w:t>
      </w:r>
      <w:r w:rsidRPr="00074A05">
        <w:rPr>
          <w:vertAlign w:val="subscript"/>
        </w:rPr>
        <w:t>1</w:t>
      </w:r>
      <w:r w:rsidR="00ED5EBD">
        <w:t xml:space="preserve">/O </w:t>
      </w:r>
      <w:r w:rsidR="00270279">
        <w:t>Emulsion entstand</w:t>
      </w:r>
      <w:r w:rsidRPr="00074A05">
        <w:t>. Nach vollständiger Zugabe der wässrigen Lösung</w:t>
      </w:r>
      <w:r w:rsidR="00270279">
        <w:t xml:space="preserve"> wu</w:t>
      </w:r>
      <w:r w:rsidR="00CC0CD7">
        <w:t>rd</w:t>
      </w:r>
      <w:r w:rsidR="00270279">
        <w:t>e</w:t>
      </w:r>
      <w:r w:rsidR="00CC0CD7">
        <w:t xml:space="preserve"> 1 min bei 14.000 Up</w:t>
      </w:r>
      <w:r w:rsidRPr="00074A05">
        <w:t>M homogenisiert. Die W</w:t>
      </w:r>
      <w:r w:rsidRPr="00074A05">
        <w:rPr>
          <w:vertAlign w:val="subscript"/>
        </w:rPr>
        <w:t>1</w:t>
      </w:r>
      <w:r w:rsidR="00ED5EBD">
        <w:t xml:space="preserve">/O </w:t>
      </w:r>
      <w:r w:rsidR="00270279">
        <w:t>Emulsion wu</w:t>
      </w:r>
      <w:r w:rsidRPr="00074A05">
        <w:t>rd</w:t>
      </w:r>
      <w:r w:rsidR="00270279">
        <w:t>e</w:t>
      </w:r>
      <w:r w:rsidRPr="00074A05">
        <w:t xml:space="preserve"> tropfenweise unter Rühren zu Lösung drei gegeben. Die nun entstandene W</w:t>
      </w:r>
      <w:r w:rsidRPr="00074A05">
        <w:rPr>
          <w:vertAlign w:val="subscript"/>
        </w:rPr>
        <w:t>1</w:t>
      </w:r>
      <w:r w:rsidRPr="00074A05">
        <w:t>/O/W</w:t>
      </w:r>
      <w:r w:rsidRPr="00074A05">
        <w:rPr>
          <w:vertAlign w:val="subscript"/>
        </w:rPr>
        <w:t>2</w:t>
      </w:r>
      <w:r w:rsidRPr="00074A05">
        <w:t xml:space="preserve"> Emuls</w:t>
      </w:r>
      <w:r w:rsidR="00270279">
        <w:t>ion wu</w:t>
      </w:r>
      <w:r w:rsidR="00CC0CD7">
        <w:t>rd</w:t>
      </w:r>
      <w:r w:rsidR="00270279">
        <w:t>e</w:t>
      </w:r>
      <w:r w:rsidR="00CC0CD7">
        <w:t xml:space="preserve"> für 1 min bei 14.000 Up</w:t>
      </w:r>
      <w:r w:rsidRPr="00074A05">
        <w:t xml:space="preserve">M mit dem </w:t>
      </w:r>
      <w:r w:rsidRPr="00074A05">
        <w:lastRenderedPageBreak/>
        <w:t>U</w:t>
      </w:r>
      <w:r w:rsidR="00270279">
        <w:t>T homogenisiert. Anschließend wu</w:t>
      </w:r>
      <w:r w:rsidRPr="00074A05">
        <w:t>rd</w:t>
      </w:r>
      <w:r w:rsidR="00270279">
        <w:t>e</w:t>
      </w:r>
      <w:r w:rsidRPr="00074A05">
        <w:t xml:space="preserve"> der Emulsion mithilfe des Rotationsverdampfers unter Anlegen eines Vakuums das restliche Ethylacetat entzogen (Wasserbad 27</w:t>
      </w:r>
      <w:r w:rsidR="00A426B8">
        <w:t xml:space="preserve"> </w:t>
      </w:r>
      <w:r w:rsidRPr="00074A05">
        <w:t>°C</w:t>
      </w:r>
      <w:r w:rsidR="002D45B4">
        <w:t>, allmähliche Druckabsenkung</w:t>
      </w:r>
      <w:r w:rsidRPr="00074A05">
        <w:t xml:space="preserve"> bis ein Druck von 40 mbar erreicht wird, ca. 20 min).</w:t>
      </w:r>
    </w:p>
    <w:p w14:paraId="42EDB656" w14:textId="77777777" w:rsidR="00074A05" w:rsidRDefault="00270279" w:rsidP="00074A05">
      <w:r>
        <w:t>Es ent</w:t>
      </w:r>
      <w:r w:rsidR="00316AC2">
        <w:t>stand</w:t>
      </w:r>
      <w:r w:rsidR="00074A05" w:rsidRPr="00074A05">
        <w:t xml:space="preserve"> eine milchig trübe Suspension, die während </w:t>
      </w:r>
      <w:r w:rsidR="00316AC2">
        <w:t>der Destillation etwas klarer wu</w:t>
      </w:r>
      <w:r w:rsidR="00074A05" w:rsidRPr="00074A05">
        <w:t>rd</w:t>
      </w:r>
      <w:r w:rsidR="00316AC2">
        <w:t>e</w:t>
      </w:r>
      <w:r w:rsidR="00074A05" w:rsidRPr="00074A05">
        <w:t>. Mithilfe des Nicomp pa</w:t>
      </w:r>
      <w:r w:rsidR="00636EF2">
        <w:t>rticle sizing Systems (DLS) wurde</w:t>
      </w:r>
      <w:r w:rsidR="00074A05" w:rsidRPr="00074A05">
        <w:t xml:space="preserve"> die Partikelgröße ermittelt. Die Partikelgrößen lagen für alle getesteten Polymere im Bereich zwischen 240 nm und 300 nm mit einem PDI zwischen 0,03 und 0,1.</w:t>
      </w:r>
    </w:p>
    <w:p w14:paraId="3478E606" w14:textId="77777777" w:rsidR="00074A05" w:rsidRDefault="00074A05" w:rsidP="00074A05">
      <w:r>
        <w:t>Die Aufreinigung und Gefriertrocknung der Partikelsuspensionen wurde entsprechend den für PLGA optimierten Methoden durchgeführt (Beschreibung</w:t>
      </w:r>
      <w:r w:rsidR="00C464DD">
        <w:t xml:space="preserve"> der Methoden</w:t>
      </w:r>
      <w:r>
        <w:t xml:space="preserve"> in den jeweiligen Abschnitten der Kapitel </w:t>
      </w:r>
      <w:r w:rsidR="00D16240">
        <w:fldChar w:fldCharType="begin"/>
      </w:r>
      <w:r>
        <w:instrText xml:space="preserve"> REF _Ref273309973 \n \h </w:instrText>
      </w:r>
      <w:r w:rsidR="00D16240">
        <w:fldChar w:fldCharType="separate"/>
      </w:r>
      <w:r w:rsidR="00711AB8">
        <w:t>4.1</w:t>
      </w:r>
      <w:r w:rsidR="00D16240">
        <w:fldChar w:fldCharType="end"/>
      </w:r>
      <w:r>
        <w:t xml:space="preserve"> und </w:t>
      </w:r>
      <w:r w:rsidR="00D16240">
        <w:fldChar w:fldCharType="begin"/>
      </w:r>
      <w:r>
        <w:instrText xml:space="preserve"> REF _Ref272957759 \n \h </w:instrText>
      </w:r>
      <w:r w:rsidR="00D16240">
        <w:fldChar w:fldCharType="separate"/>
      </w:r>
      <w:r w:rsidR="00711AB8">
        <w:t>4.2</w:t>
      </w:r>
      <w:r w:rsidR="00D16240">
        <w:fldChar w:fldCharType="end"/>
      </w:r>
      <w:r>
        <w:t>.).</w:t>
      </w:r>
    </w:p>
    <w:p w14:paraId="1D1D336C" w14:textId="77777777" w:rsidR="00ED5EBD" w:rsidRDefault="00ED5EBD" w:rsidP="001D367F">
      <w:r>
        <w:t xml:space="preserve">Zur Überprüfung, ob die Herstellungsmethode geeignet ist, wurde nach den einzelnen Herstellungsschritten </w:t>
      </w:r>
      <w:r w:rsidR="00343941">
        <w:t xml:space="preserve">die Partikelgröße </w:t>
      </w:r>
      <w:r w:rsidR="00767B70">
        <w:t>gemessen</w:t>
      </w:r>
      <w:r w:rsidR="00C464DD">
        <w:t>. Die Ergebnisse d</w:t>
      </w:r>
      <w:r w:rsidR="007653F6">
        <w:t>i</w:t>
      </w:r>
      <w:r w:rsidR="00C464DD">
        <w:t>e</w:t>
      </w:r>
      <w:r w:rsidR="007653F6">
        <w:t>se</w:t>
      </w:r>
      <w:r w:rsidR="00C464DD">
        <w:t>r</w:t>
      </w:r>
      <w:r>
        <w:t xml:space="preserve"> In-Prozess-Kontrolle sind in </w:t>
      </w:r>
      <w:r w:rsidR="00D16240">
        <w:fldChar w:fldCharType="begin"/>
      </w:r>
      <w:r>
        <w:instrText xml:space="preserve"> REF _Ref273912754 \h </w:instrText>
      </w:r>
      <w:r w:rsidR="00D16240">
        <w:fldChar w:fldCharType="separate"/>
      </w:r>
      <w:r w:rsidR="00711AB8" w:rsidRPr="00ED5EBD">
        <w:t xml:space="preserve">Tabelle </w:t>
      </w:r>
      <w:r w:rsidR="00711AB8">
        <w:rPr>
          <w:noProof/>
        </w:rPr>
        <w:t>18</w:t>
      </w:r>
      <w:r w:rsidR="00D16240">
        <w:fldChar w:fldCharType="end"/>
      </w:r>
      <w:r>
        <w:t xml:space="preserve"> dargestellt.</w:t>
      </w:r>
    </w:p>
    <w:p w14:paraId="044A7567" w14:textId="77777777" w:rsidR="00ED5EBD" w:rsidRDefault="00ED5EBD" w:rsidP="00343941">
      <w:pPr>
        <w:spacing w:after="0"/>
      </w:pPr>
    </w:p>
    <w:p w14:paraId="3786A89D" w14:textId="77777777" w:rsidR="00ED5EBD" w:rsidRPr="00ED5EBD" w:rsidRDefault="00ED5EBD" w:rsidP="003D6D5A">
      <w:pPr>
        <w:pStyle w:val="Beschriftung"/>
        <w:ind w:firstLine="0"/>
      </w:pPr>
      <w:bookmarkStart w:id="200" w:name="_Ref273912754"/>
      <w:r w:rsidRPr="00ED5EBD">
        <w:t xml:space="preserve">Tabelle </w:t>
      </w:r>
      <w:fldSimple w:instr=" SEQ Tabelle \* ARABIC ">
        <w:r w:rsidR="00711AB8">
          <w:rPr>
            <w:noProof/>
          </w:rPr>
          <w:t>18</w:t>
        </w:r>
      </w:fldSimple>
      <w:bookmarkEnd w:id="200"/>
      <w:r w:rsidRPr="00ED5EBD">
        <w:t xml:space="preserve"> </w:t>
      </w:r>
      <w:r w:rsidRPr="00ED5EBD">
        <w:rPr>
          <w:b w:val="0"/>
        </w:rPr>
        <w:t xml:space="preserve">Ergebnisse der </w:t>
      </w:r>
      <w:r>
        <w:rPr>
          <w:b w:val="0"/>
        </w:rPr>
        <w:t>In-Prozess-</w:t>
      </w:r>
      <w:r w:rsidRPr="00ED5EBD">
        <w:rPr>
          <w:b w:val="0"/>
        </w:rPr>
        <w:t>Kontro</w:t>
      </w:r>
      <w:r>
        <w:rPr>
          <w:b w:val="0"/>
        </w:rPr>
        <w:t>lle während der Partikelherstellung mit PEA Asparaginsäure; DLS Messung</w:t>
      </w:r>
      <w:r w:rsidR="00906DB9">
        <w:rPr>
          <w:b w:val="0"/>
        </w:rPr>
        <w:t>.</w:t>
      </w:r>
    </w:p>
    <w:tbl>
      <w:tblPr>
        <w:tblW w:w="7067" w:type="dxa"/>
        <w:jc w:val="center"/>
        <w:tblCellMar>
          <w:left w:w="0" w:type="dxa"/>
          <w:right w:w="0" w:type="dxa"/>
        </w:tblCellMar>
        <w:tblLook w:val="0600" w:firstRow="0" w:lastRow="0" w:firstColumn="0" w:lastColumn="0" w:noHBand="1" w:noVBand="1"/>
      </w:tblPr>
      <w:tblGrid>
        <w:gridCol w:w="3070"/>
        <w:gridCol w:w="2235"/>
        <w:gridCol w:w="1762"/>
      </w:tblGrid>
      <w:tr w:rsidR="00787CE4" w:rsidRPr="00787CE4" w14:paraId="29E63FE7" w14:textId="77777777" w:rsidTr="006360D4">
        <w:trPr>
          <w:trHeight w:val="420"/>
          <w:jc w:val="center"/>
        </w:trPr>
        <w:tc>
          <w:tcPr>
            <w:tcW w:w="3070" w:type="dxa"/>
            <w:tcBorders>
              <w:top w:val="single" w:sz="8" w:space="0" w:color="000000"/>
              <w:left w:val="single" w:sz="8" w:space="0" w:color="000000"/>
              <w:bottom w:val="single" w:sz="8" w:space="0" w:color="000000"/>
              <w:right w:val="single" w:sz="8" w:space="0" w:color="000000"/>
            </w:tcBorders>
            <w:shd w:val="clear" w:color="auto" w:fill="E6E6E6"/>
            <w:tcMar>
              <w:top w:w="28" w:type="dxa"/>
              <w:left w:w="57" w:type="dxa"/>
              <w:bottom w:w="28" w:type="dxa"/>
              <w:right w:w="57" w:type="dxa"/>
            </w:tcMar>
            <w:vAlign w:val="center"/>
            <w:hideMark/>
          </w:tcPr>
          <w:p w14:paraId="43FF71B7" w14:textId="77777777" w:rsidR="00787CE4" w:rsidRPr="00787CE4" w:rsidRDefault="00787CE4" w:rsidP="00787CE4">
            <w:pPr>
              <w:spacing w:after="0" w:line="240" w:lineRule="auto"/>
              <w:jc w:val="center"/>
              <w:textAlignment w:val="baseline"/>
              <w:rPr>
                <w:rFonts w:cs="Times New Roman"/>
                <w:sz w:val="20"/>
                <w:szCs w:val="20"/>
                <w:lang w:eastAsia="de-DE"/>
              </w:rPr>
            </w:pPr>
            <w:r>
              <w:rPr>
                <w:rFonts w:eastAsia="SimSun" w:cs="Times New Roman"/>
                <w:b/>
                <w:bCs/>
                <w:color w:val="000000" w:themeColor="text1"/>
                <w:kern w:val="24"/>
                <w:sz w:val="20"/>
                <w:szCs w:val="20"/>
                <w:lang w:eastAsia="de-DE"/>
              </w:rPr>
              <w:t>Zeitpunkt der Messung bezogen auf Herstellungsschritte</w:t>
            </w:r>
          </w:p>
        </w:tc>
        <w:tc>
          <w:tcPr>
            <w:tcW w:w="2235" w:type="dxa"/>
            <w:tcBorders>
              <w:top w:val="single" w:sz="8" w:space="0" w:color="000000"/>
              <w:left w:val="single" w:sz="8" w:space="0" w:color="000000"/>
              <w:bottom w:val="single" w:sz="8" w:space="0" w:color="000000"/>
              <w:right w:val="single" w:sz="8" w:space="0" w:color="000000"/>
            </w:tcBorders>
            <w:shd w:val="clear" w:color="auto" w:fill="E6E6E6"/>
            <w:tcMar>
              <w:top w:w="28" w:type="dxa"/>
              <w:left w:w="57" w:type="dxa"/>
              <w:bottom w:w="28" w:type="dxa"/>
              <w:right w:w="57" w:type="dxa"/>
            </w:tcMar>
            <w:vAlign w:val="center"/>
            <w:hideMark/>
          </w:tcPr>
          <w:p w14:paraId="39BA5BC9" w14:textId="77777777" w:rsidR="00787CE4" w:rsidRPr="00787CE4" w:rsidRDefault="00787CE4" w:rsidP="00787CE4">
            <w:pPr>
              <w:spacing w:after="0" w:line="240" w:lineRule="auto"/>
              <w:jc w:val="center"/>
              <w:textAlignment w:val="baseline"/>
              <w:rPr>
                <w:rFonts w:cs="Times New Roman"/>
                <w:sz w:val="20"/>
                <w:szCs w:val="20"/>
                <w:lang w:eastAsia="de-DE"/>
              </w:rPr>
            </w:pPr>
            <w:r>
              <w:rPr>
                <w:rFonts w:eastAsia="SimSun" w:cs="Times New Roman"/>
                <w:b/>
                <w:bCs/>
                <w:color w:val="000000" w:themeColor="text1"/>
                <w:kern w:val="24"/>
                <w:sz w:val="20"/>
                <w:szCs w:val="20"/>
                <w:lang w:eastAsia="de-DE"/>
              </w:rPr>
              <w:t>Mittlerer Partikeldurchmesser</w:t>
            </w:r>
            <w:r w:rsidRPr="00787CE4">
              <w:rPr>
                <w:rFonts w:eastAsia="SimSun" w:cs="Times New Roman"/>
                <w:b/>
                <w:bCs/>
                <w:color w:val="000000" w:themeColor="text1"/>
                <w:kern w:val="24"/>
                <w:sz w:val="20"/>
                <w:szCs w:val="20"/>
                <w:lang w:eastAsia="de-DE"/>
              </w:rPr>
              <w:t xml:space="preserve"> [nm]</w:t>
            </w:r>
          </w:p>
        </w:tc>
        <w:tc>
          <w:tcPr>
            <w:tcW w:w="1762" w:type="dxa"/>
            <w:tcBorders>
              <w:top w:val="single" w:sz="8" w:space="0" w:color="000000"/>
              <w:left w:val="single" w:sz="8" w:space="0" w:color="000000"/>
              <w:bottom w:val="single" w:sz="8" w:space="0" w:color="000000"/>
              <w:right w:val="single" w:sz="8" w:space="0" w:color="000000"/>
            </w:tcBorders>
            <w:shd w:val="clear" w:color="auto" w:fill="E6E6E6"/>
            <w:tcMar>
              <w:top w:w="28" w:type="dxa"/>
              <w:left w:w="57" w:type="dxa"/>
              <w:bottom w:w="28" w:type="dxa"/>
              <w:right w:w="57" w:type="dxa"/>
            </w:tcMar>
            <w:vAlign w:val="center"/>
            <w:hideMark/>
          </w:tcPr>
          <w:p w14:paraId="3D6013D9" w14:textId="77777777" w:rsidR="00787CE4" w:rsidRPr="00787CE4" w:rsidRDefault="00787CE4" w:rsidP="00787CE4">
            <w:pPr>
              <w:spacing w:after="0" w:line="240" w:lineRule="auto"/>
              <w:jc w:val="center"/>
              <w:textAlignment w:val="baseline"/>
              <w:rPr>
                <w:rFonts w:cs="Times New Roman"/>
                <w:sz w:val="20"/>
                <w:szCs w:val="20"/>
                <w:lang w:eastAsia="de-DE"/>
              </w:rPr>
            </w:pPr>
            <w:r w:rsidRPr="00787CE4">
              <w:rPr>
                <w:rFonts w:eastAsia="SimSun" w:cs="Times New Roman"/>
                <w:b/>
                <w:bCs/>
                <w:color w:val="000000" w:themeColor="text1"/>
                <w:kern w:val="24"/>
                <w:sz w:val="20"/>
                <w:szCs w:val="20"/>
                <w:lang w:eastAsia="de-DE"/>
              </w:rPr>
              <w:t>PDI</w:t>
            </w:r>
          </w:p>
        </w:tc>
      </w:tr>
      <w:tr w:rsidR="00787CE4" w:rsidRPr="00787CE4" w14:paraId="287AA82C" w14:textId="77777777" w:rsidTr="006360D4">
        <w:trPr>
          <w:trHeight w:val="420"/>
          <w:jc w:val="center"/>
        </w:trPr>
        <w:tc>
          <w:tcPr>
            <w:tcW w:w="3070" w:type="dxa"/>
            <w:tcBorders>
              <w:top w:val="single" w:sz="8" w:space="0" w:color="000000"/>
              <w:left w:val="single" w:sz="8" w:space="0" w:color="000000"/>
              <w:bottom w:val="single" w:sz="4" w:space="0" w:color="000000"/>
              <w:right w:val="single" w:sz="4" w:space="0" w:color="000000"/>
            </w:tcBorders>
            <w:shd w:val="clear" w:color="auto" w:fill="auto"/>
            <w:tcMar>
              <w:top w:w="28" w:type="dxa"/>
              <w:left w:w="57" w:type="dxa"/>
              <w:bottom w:w="28" w:type="dxa"/>
              <w:right w:w="57" w:type="dxa"/>
            </w:tcMar>
            <w:vAlign w:val="center"/>
            <w:hideMark/>
          </w:tcPr>
          <w:p w14:paraId="012E531E" w14:textId="77777777" w:rsidR="00787CE4" w:rsidRPr="00787CE4" w:rsidRDefault="00787CE4" w:rsidP="00787CE4">
            <w:pPr>
              <w:spacing w:after="0" w:line="240" w:lineRule="auto"/>
              <w:jc w:val="center"/>
              <w:textAlignment w:val="baseline"/>
              <w:rPr>
                <w:rFonts w:cs="Times New Roman"/>
                <w:sz w:val="18"/>
                <w:szCs w:val="18"/>
                <w:lang w:eastAsia="de-DE"/>
              </w:rPr>
            </w:pPr>
            <w:r>
              <w:rPr>
                <w:rFonts w:cs="Times New Roman"/>
                <w:sz w:val="18"/>
                <w:szCs w:val="18"/>
                <w:lang w:eastAsia="de-DE"/>
              </w:rPr>
              <w:t>Nach Abziehen des Lösungsmittels</w:t>
            </w:r>
          </w:p>
        </w:tc>
        <w:tc>
          <w:tcPr>
            <w:tcW w:w="2235" w:type="dxa"/>
            <w:tcBorders>
              <w:top w:val="single" w:sz="8"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vAlign w:val="center"/>
            <w:hideMark/>
          </w:tcPr>
          <w:p w14:paraId="69376356" w14:textId="77777777" w:rsidR="00787CE4" w:rsidRPr="00787CE4" w:rsidRDefault="00282EFC" w:rsidP="00787CE4">
            <w:pPr>
              <w:spacing w:after="0" w:line="240" w:lineRule="auto"/>
              <w:jc w:val="center"/>
              <w:textAlignment w:val="baseline"/>
              <w:rPr>
                <w:rFonts w:cs="Times New Roman"/>
                <w:sz w:val="18"/>
                <w:szCs w:val="18"/>
                <w:lang w:eastAsia="de-DE"/>
              </w:rPr>
            </w:pPr>
            <w:r>
              <w:rPr>
                <w:rFonts w:eastAsia="SimSun" w:cs="Times New Roman"/>
                <w:color w:val="000000" w:themeColor="text1"/>
                <w:kern w:val="24"/>
                <w:sz w:val="18"/>
                <w:szCs w:val="18"/>
                <w:lang w:eastAsia="de-DE"/>
              </w:rPr>
              <w:t>246,</w:t>
            </w:r>
            <w:r w:rsidR="00787CE4" w:rsidRPr="00787CE4">
              <w:rPr>
                <w:rFonts w:eastAsia="SimSun" w:cs="Times New Roman"/>
                <w:color w:val="000000" w:themeColor="text1"/>
                <w:kern w:val="24"/>
                <w:sz w:val="18"/>
                <w:szCs w:val="18"/>
                <w:lang w:eastAsia="de-DE"/>
              </w:rPr>
              <w:t>2</w:t>
            </w:r>
          </w:p>
        </w:tc>
        <w:tc>
          <w:tcPr>
            <w:tcW w:w="1762" w:type="dxa"/>
            <w:tcBorders>
              <w:top w:val="single" w:sz="8" w:space="0" w:color="000000"/>
              <w:left w:val="single" w:sz="4" w:space="0" w:color="000000"/>
              <w:bottom w:val="single" w:sz="4" w:space="0" w:color="000000"/>
              <w:right w:val="single" w:sz="8" w:space="0" w:color="000000"/>
            </w:tcBorders>
            <w:shd w:val="clear" w:color="auto" w:fill="auto"/>
            <w:tcMar>
              <w:top w:w="28" w:type="dxa"/>
              <w:left w:w="57" w:type="dxa"/>
              <w:bottom w:w="28" w:type="dxa"/>
              <w:right w:w="57" w:type="dxa"/>
            </w:tcMar>
            <w:vAlign w:val="center"/>
            <w:hideMark/>
          </w:tcPr>
          <w:p w14:paraId="0CEAD85A" w14:textId="77777777" w:rsidR="00787CE4" w:rsidRPr="00787CE4" w:rsidRDefault="00282EFC" w:rsidP="00787CE4">
            <w:pPr>
              <w:spacing w:after="0" w:line="240" w:lineRule="auto"/>
              <w:jc w:val="center"/>
              <w:textAlignment w:val="baseline"/>
              <w:rPr>
                <w:rFonts w:cs="Times New Roman"/>
                <w:sz w:val="18"/>
                <w:szCs w:val="18"/>
                <w:lang w:eastAsia="de-DE"/>
              </w:rPr>
            </w:pPr>
            <w:r>
              <w:rPr>
                <w:rFonts w:eastAsia="SimSun" w:cs="Times New Roman"/>
                <w:color w:val="000000" w:themeColor="text1"/>
                <w:kern w:val="24"/>
                <w:sz w:val="18"/>
                <w:szCs w:val="18"/>
                <w:lang w:eastAsia="de-DE"/>
              </w:rPr>
              <w:t>0,</w:t>
            </w:r>
            <w:r w:rsidR="00787CE4" w:rsidRPr="00787CE4">
              <w:rPr>
                <w:rFonts w:eastAsia="SimSun" w:cs="Times New Roman"/>
                <w:color w:val="000000" w:themeColor="text1"/>
                <w:kern w:val="24"/>
                <w:sz w:val="18"/>
                <w:szCs w:val="18"/>
                <w:lang w:eastAsia="de-DE"/>
              </w:rPr>
              <w:t>023</w:t>
            </w:r>
          </w:p>
        </w:tc>
      </w:tr>
      <w:tr w:rsidR="00787CE4" w:rsidRPr="00787CE4" w14:paraId="41A14E9F" w14:textId="77777777" w:rsidTr="006360D4">
        <w:trPr>
          <w:trHeight w:val="389"/>
          <w:jc w:val="center"/>
        </w:trPr>
        <w:tc>
          <w:tcPr>
            <w:tcW w:w="3070" w:type="dxa"/>
            <w:tcBorders>
              <w:top w:val="single" w:sz="4" w:space="0" w:color="000000"/>
              <w:left w:val="single" w:sz="8" w:space="0" w:color="000000"/>
              <w:bottom w:val="single" w:sz="4" w:space="0" w:color="000000"/>
              <w:right w:val="single" w:sz="4" w:space="0" w:color="000000"/>
            </w:tcBorders>
            <w:shd w:val="clear" w:color="auto" w:fill="auto"/>
            <w:tcMar>
              <w:top w:w="28" w:type="dxa"/>
              <w:left w:w="57" w:type="dxa"/>
              <w:bottom w:w="28" w:type="dxa"/>
              <w:right w:w="57" w:type="dxa"/>
            </w:tcMar>
            <w:vAlign w:val="center"/>
            <w:hideMark/>
          </w:tcPr>
          <w:p w14:paraId="049271A9" w14:textId="77777777" w:rsidR="00787CE4" w:rsidRPr="00787CE4" w:rsidRDefault="00787CE4" w:rsidP="00787CE4">
            <w:pPr>
              <w:spacing w:after="0" w:line="240" w:lineRule="auto"/>
              <w:jc w:val="center"/>
              <w:textAlignment w:val="baseline"/>
              <w:rPr>
                <w:rFonts w:cs="Times New Roman"/>
                <w:sz w:val="18"/>
                <w:szCs w:val="18"/>
                <w:lang w:eastAsia="de-DE"/>
              </w:rPr>
            </w:pPr>
            <w:r>
              <w:rPr>
                <w:rFonts w:eastAsia="SimSun" w:cs="Times New Roman"/>
                <w:color w:val="000000" w:themeColor="text1"/>
                <w:kern w:val="24"/>
                <w:sz w:val="18"/>
                <w:szCs w:val="18"/>
                <w:lang w:eastAsia="de-DE"/>
              </w:rPr>
              <w:t>Nach Aufreinigung</w:t>
            </w:r>
          </w:p>
        </w:tc>
        <w:tc>
          <w:tcPr>
            <w:tcW w:w="2235"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vAlign w:val="center"/>
            <w:hideMark/>
          </w:tcPr>
          <w:p w14:paraId="011F136D" w14:textId="77777777" w:rsidR="00787CE4" w:rsidRPr="00787CE4" w:rsidRDefault="00282EFC" w:rsidP="00787CE4">
            <w:pPr>
              <w:spacing w:after="0" w:line="240" w:lineRule="auto"/>
              <w:jc w:val="center"/>
              <w:textAlignment w:val="baseline"/>
              <w:rPr>
                <w:rFonts w:cs="Times New Roman"/>
                <w:sz w:val="18"/>
                <w:szCs w:val="18"/>
                <w:lang w:eastAsia="de-DE"/>
              </w:rPr>
            </w:pPr>
            <w:r>
              <w:rPr>
                <w:rFonts w:eastAsia="SimSun" w:cs="Times New Roman"/>
                <w:color w:val="000000" w:themeColor="text1"/>
                <w:kern w:val="24"/>
                <w:sz w:val="18"/>
                <w:szCs w:val="18"/>
                <w:lang w:eastAsia="de-DE"/>
              </w:rPr>
              <w:t>252,</w:t>
            </w:r>
            <w:r w:rsidR="00787CE4" w:rsidRPr="00787CE4">
              <w:rPr>
                <w:rFonts w:eastAsia="SimSun" w:cs="Times New Roman"/>
                <w:color w:val="000000" w:themeColor="text1"/>
                <w:kern w:val="24"/>
                <w:sz w:val="18"/>
                <w:szCs w:val="18"/>
                <w:lang w:eastAsia="de-DE"/>
              </w:rPr>
              <w:t>7</w:t>
            </w:r>
          </w:p>
        </w:tc>
        <w:tc>
          <w:tcPr>
            <w:tcW w:w="1762" w:type="dxa"/>
            <w:tcBorders>
              <w:top w:val="single" w:sz="4" w:space="0" w:color="000000"/>
              <w:left w:val="single" w:sz="4" w:space="0" w:color="000000"/>
              <w:bottom w:val="single" w:sz="4" w:space="0" w:color="000000"/>
              <w:right w:val="single" w:sz="8" w:space="0" w:color="000000"/>
            </w:tcBorders>
            <w:shd w:val="clear" w:color="auto" w:fill="auto"/>
            <w:tcMar>
              <w:top w:w="28" w:type="dxa"/>
              <w:left w:w="57" w:type="dxa"/>
              <w:bottom w:w="28" w:type="dxa"/>
              <w:right w:w="57" w:type="dxa"/>
            </w:tcMar>
            <w:vAlign w:val="center"/>
            <w:hideMark/>
          </w:tcPr>
          <w:p w14:paraId="2038E476" w14:textId="77777777" w:rsidR="00787CE4" w:rsidRPr="00787CE4" w:rsidRDefault="00282EFC" w:rsidP="00787CE4">
            <w:pPr>
              <w:spacing w:after="0" w:line="240" w:lineRule="auto"/>
              <w:jc w:val="center"/>
              <w:textAlignment w:val="baseline"/>
              <w:rPr>
                <w:rFonts w:cs="Times New Roman"/>
                <w:sz w:val="18"/>
                <w:szCs w:val="18"/>
                <w:lang w:eastAsia="de-DE"/>
              </w:rPr>
            </w:pPr>
            <w:r>
              <w:rPr>
                <w:rFonts w:eastAsia="SimSun" w:cs="Times New Roman"/>
                <w:color w:val="000000" w:themeColor="text1"/>
                <w:kern w:val="24"/>
                <w:sz w:val="18"/>
                <w:szCs w:val="18"/>
                <w:lang w:eastAsia="de-DE"/>
              </w:rPr>
              <w:t>0,</w:t>
            </w:r>
            <w:r w:rsidR="00787CE4" w:rsidRPr="00787CE4">
              <w:rPr>
                <w:rFonts w:eastAsia="SimSun" w:cs="Times New Roman"/>
                <w:color w:val="000000" w:themeColor="text1"/>
                <w:kern w:val="24"/>
                <w:sz w:val="18"/>
                <w:szCs w:val="18"/>
                <w:lang w:eastAsia="de-DE"/>
              </w:rPr>
              <w:t>059</w:t>
            </w:r>
          </w:p>
        </w:tc>
      </w:tr>
      <w:tr w:rsidR="00787CE4" w:rsidRPr="00787CE4" w14:paraId="2F7E8A47" w14:textId="77777777" w:rsidTr="006360D4">
        <w:trPr>
          <w:trHeight w:val="420"/>
          <w:jc w:val="center"/>
        </w:trPr>
        <w:tc>
          <w:tcPr>
            <w:tcW w:w="3070" w:type="dxa"/>
            <w:tcBorders>
              <w:top w:val="single" w:sz="4" w:space="0" w:color="000000"/>
              <w:left w:val="single" w:sz="8" w:space="0" w:color="000000"/>
              <w:bottom w:val="single" w:sz="4" w:space="0" w:color="000000"/>
              <w:right w:val="single" w:sz="4" w:space="0" w:color="000000"/>
            </w:tcBorders>
            <w:shd w:val="clear" w:color="auto" w:fill="auto"/>
            <w:tcMar>
              <w:top w:w="28" w:type="dxa"/>
              <w:left w:w="57" w:type="dxa"/>
              <w:bottom w:w="28" w:type="dxa"/>
              <w:right w:w="57" w:type="dxa"/>
            </w:tcMar>
            <w:vAlign w:val="center"/>
            <w:hideMark/>
          </w:tcPr>
          <w:p w14:paraId="6452013D" w14:textId="77777777" w:rsidR="00787CE4" w:rsidRPr="00787CE4" w:rsidRDefault="00787CE4" w:rsidP="00787CE4">
            <w:pPr>
              <w:spacing w:after="0" w:line="240" w:lineRule="auto"/>
              <w:jc w:val="center"/>
              <w:textAlignment w:val="baseline"/>
              <w:rPr>
                <w:rFonts w:cs="Times New Roman"/>
                <w:sz w:val="18"/>
                <w:szCs w:val="18"/>
                <w:lang w:eastAsia="de-DE"/>
              </w:rPr>
            </w:pPr>
            <w:r>
              <w:rPr>
                <w:rFonts w:eastAsia="SimSun" w:cs="Times New Roman"/>
                <w:color w:val="000000" w:themeColor="text1"/>
                <w:kern w:val="24"/>
                <w:sz w:val="18"/>
                <w:szCs w:val="18"/>
                <w:lang w:eastAsia="de-DE"/>
              </w:rPr>
              <w:t>Nach Trocknung und Resuspendierung</w:t>
            </w:r>
          </w:p>
        </w:tc>
        <w:tc>
          <w:tcPr>
            <w:tcW w:w="2235"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right w:w="57" w:type="dxa"/>
            </w:tcMar>
            <w:vAlign w:val="center"/>
            <w:hideMark/>
          </w:tcPr>
          <w:p w14:paraId="390670A7" w14:textId="77777777" w:rsidR="00787CE4" w:rsidRPr="00787CE4" w:rsidRDefault="00282EFC" w:rsidP="00787CE4">
            <w:pPr>
              <w:spacing w:after="0" w:line="240" w:lineRule="auto"/>
              <w:jc w:val="center"/>
              <w:textAlignment w:val="baseline"/>
              <w:rPr>
                <w:rFonts w:cs="Times New Roman"/>
                <w:sz w:val="18"/>
                <w:szCs w:val="18"/>
                <w:lang w:eastAsia="de-DE"/>
              </w:rPr>
            </w:pPr>
            <w:r>
              <w:rPr>
                <w:rFonts w:eastAsia="SimSun" w:cs="Times New Roman"/>
                <w:color w:val="000000" w:themeColor="text1"/>
                <w:kern w:val="24"/>
                <w:sz w:val="18"/>
                <w:szCs w:val="18"/>
                <w:lang w:eastAsia="de-DE"/>
              </w:rPr>
              <w:t>253,</w:t>
            </w:r>
            <w:r w:rsidR="00787CE4" w:rsidRPr="00787CE4">
              <w:rPr>
                <w:rFonts w:eastAsia="SimSun" w:cs="Times New Roman"/>
                <w:color w:val="000000" w:themeColor="text1"/>
                <w:kern w:val="24"/>
                <w:sz w:val="18"/>
                <w:szCs w:val="18"/>
                <w:lang w:eastAsia="de-DE"/>
              </w:rPr>
              <w:t>8</w:t>
            </w:r>
          </w:p>
        </w:tc>
        <w:tc>
          <w:tcPr>
            <w:tcW w:w="1762" w:type="dxa"/>
            <w:tcBorders>
              <w:top w:val="single" w:sz="4" w:space="0" w:color="000000"/>
              <w:left w:val="single" w:sz="4" w:space="0" w:color="000000"/>
              <w:bottom w:val="single" w:sz="4" w:space="0" w:color="000000"/>
              <w:right w:val="single" w:sz="8" w:space="0" w:color="000000"/>
            </w:tcBorders>
            <w:shd w:val="clear" w:color="auto" w:fill="auto"/>
            <w:tcMar>
              <w:top w:w="28" w:type="dxa"/>
              <w:left w:w="57" w:type="dxa"/>
              <w:bottom w:w="28" w:type="dxa"/>
              <w:right w:w="57" w:type="dxa"/>
            </w:tcMar>
            <w:vAlign w:val="center"/>
            <w:hideMark/>
          </w:tcPr>
          <w:p w14:paraId="471C9B4C" w14:textId="77777777" w:rsidR="00787CE4" w:rsidRPr="00787CE4" w:rsidRDefault="00282EFC" w:rsidP="00787CE4">
            <w:pPr>
              <w:spacing w:after="0" w:line="240" w:lineRule="auto"/>
              <w:jc w:val="center"/>
              <w:textAlignment w:val="baseline"/>
              <w:rPr>
                <w:rFonts w:cs="Times New Roman"/>
                <w:sz w:val="18"/>
                <w:szCs w:val="18"/>
                <w:lang w:eastAsia="de-DE"/>
              </w:rPr>
            </w:pPr>
            <w:r>
              <w:rPr>
                <w:rFonts w:eastAsia="SimSun" w:cs="Times New Roman"/>
                <w:color w:val="000000" w:themeColor="text1"/>
                <w:kern w:val="24"/>
                <w:sz w:val="18"/>
                <w:szCs w:val="18"/>
                <w:lang w:eastAsia="de-DE"/>
              </w:rPr>
              <w:t>0,</w:t>
            </w:r>
            <w:r w:rsidR="00787CE4" w:rsidRPr="00787CE4">
              <w:rPr>
                <w:rFonts w:eastAsia="SimSun" w:cs="Times New Roman"/>
                <w:color w:val="000000" w:themeColor="text1"/>
                <w:kern w:val="24"/>
                <w:sz w:val="18"/>
                <w:szCs w:val="18"/>
                <w:lang w:eastAsia="de-DE"/>
              </w:rPr>
              <w:t>043</w:t>
            </w:r>
          </w:p>
        </w:tc>
      </w:tr>
      <w:tr w:rsidR="00787CE4" w:rsidRPr="00787CE4" w14:paraId="20CED7E3" w14:textId="77777777" w:rsidTr="006360D4">
        <w:trPr>
          <w:trHeight w:val="420"/>
          <w:jc w:val="center"/>
        </w:trPr>
        <w:tc>
          <w:tcPr>
            <w:tcW w:w="3070" w:type="dxa"/>
            <w:tcBorders>
              <w:top w:val="single" w:sz="4" w:space="0" w:color="000000"/>
              <w:left w:val="single" w:sz="8" w:space="0" w:color="000000"/>
              <w:bottom w:val="single" w:sz="8" w:space="0" w:color="000000"/>
              <w:right w:val="single" w:sz="4" w:space="0" w:color="000000"/>
            </w:tcBorders>
            <w:shd w:val="clear" w:color="auto" w:fill="auto"/>
            <w:tcMar>
              <w:top w:w="28" w:type="dxa"/>
              <w:left w:w="57" w:type="dxa"/>
              <w:bottom w:w="28" w:type="dxa"/>
              <w:right w:w="57" w:type="dxa"/>
            </w:tcMar>
            <w:vAlign w:val="center"/>
            <w:hideMark/>
          </w:tcPr>
          <w:p w14:paraId="248B8D34" w14:textId="77777777" w:rsidR="00787CE4" w:rsidRPr="00787CE4" w:rsidRDefault="00787CE4" w:rsidP="00787CE4">
            <w:pPr>
              <w:spacing w:after="0" w:line="240" w:lineRule="auto"/>
              <w:jc w:val="center"/>
              <w:textAlignment w:val="baseline"/>
              <w:rPr>
                <w:rFonts w:cs="Times New Roman"/>
                <w:sz w:val="18"/>
                <w:szCs w:val="18"/>
                <w:lang w:eastAsia="de-DE"/>
              </w:rPr>
            </w:pPr>
            <w:r>
              <w:rPr>
                <w:rFonts w:cs="Times New Roman"/>
                <w:sz w:val="18"/>
                <w:szCs w:val="18"/>
                <w:lang w:eastAsia="de-DE"/>
              </w:rPr>
              <w:t>Nach 2 Tagen in Suspension</w:t>
            </w:r>
          </w:p>
        </w:tc>
        <w:tc>
          <w:tcPr>
            <w:tcW w:w="2235" w:type="dxa"/>
            <w:tcBorders>
              <w:top w:val="single" w:sz="4" w:space="0" w:color="000000"/>
              <w:left w:val="single" w:sz="4" w:space="0" w:color="000000"/>
              <w:bottom w:val="single" w:sz="8" w:space="0" w:color="000000"/>
              <w:right w:val="single" w:sz="4" w:space="0" w:color="000000"/>
            </w:tcBorders>
            <w:shd w:val="clear" w:color="auto" w:fill="auto"/>
            <w:tcMar>
              <w:top w:w="28" w:type="dxa"/>
              <w:left w:w="57" w:type="dxa"/>
              <w:bottom w:w="28" w:type="dxa"/>
              <w:right w:w="57" w:type="dxa"/>
            </w:tcMar>
            <w:vAlign w:val="center"/>
            <w:hideMark/>
          </w:tcPr>
          <w:p w14:paraId="18B4BB57" w14:textId="77777777" w:rsidR="00787CE4" w:rsidRPr="00787CE4" w:rsidRDefault="00282EFC" w:rsidP="00787CE4">
            <w:pPr>
              <w:spacing w:after="0" w:line="240" w:lineRule="auto"/>
              <w:jc w:val="center"/>
              <w:textAlignment w:val="baseline"/>
              <w:rPr>
                <w:rFonts w:cs="Times New Roman"/>
                <w:sz w:val="18"/>
                <w:szCs w:val="18"/>
                <w:lang w:eastAsia="de-DE"/>
              </w:rPr>
            </w:pPr>
            <w:r>
              <w:rPr>
                <w:rFonts w:eastAsia="SimSun" w:cs="Times New Roman"/>
                <w:color w:val="000000" w:themeColor="text1"/>
                <w:kern w:val="24"/>
                <w:sz w:val="18"/>
                <w:szCs w:val="18"/>
                <w:lang w:eastAsia="de-DE"/>
              </w:rPr>
              <w:t>237,</w:t>
            </w:r>
            <w:r w:rsidR="00787CE4" w:rsidRPr="00787CE4">
              <w:rPr>
                <w:rFonts w:eastAsia="SimSun" w:cs="Times New Roman"/>
                <w:color w:val="000000" w:themeColor="text1"/>
                <w:kern w:val="24"/>
                <w:sz w:val="18"/>
                <w:szCs w:val="18"/>
                <w:lang w:eastAsia="de-DE"/>
              </w:rPr>
              <w:t>6</w:t>
            </w:r>
          </w:p>
        </w:tc>
        <w:tc>
          <w:tcPr>
            <w:tcW w:w="1762" w:type="dxa"/>
            <w:tcBorders>
              <w:top w:val="single" w:sz="4" w:space="0" w:color="000000"/>
              <w:left w:val="single" w:sz="4" w:space="0" w:color="000000"/>
              <w:bottom w:val="single" w:sz="8" w:space="0" w:color="000000"/>
              <w:right w:val="single" w:sz="8" w:space="0" w:color="000000"/>
            </w:tcBorders>
            <w:shd w:val="clear" w:color="auto" w:fill="auto"/>
            <w:tcMar>
              <w:top w:w="28" w:type="dxa"/>
              <w:left w:w="57" w:type="dxa"/>
              <w:bottom w:w="28" w:type="dxa"/>
              <w:right w:w="57" w:type="dxa"/>
            </w:tcMar>
            <w:vAlign w:val="center"/>
            <w:hideMark/>
          </w:tcPr>
          <w:p w14:paraId="6883BBF7" w14:textId="77777777" w:rsidR="00787CE4" w:rsidRPr="00787CE4" w:rsidRDefault="00282EFC" w:rsidP="00787CE4">
            <w:pPr>
              <w:spacing w:after="0" w:line="240" w:lineRule="auto"/>
              <w:jc w:val="center"/>
              <w:textAlignment w:val="baseline"/>
              <w:rPr>
                <w:rFonts w:cs="Times New Roman"/>
                <w:sz w:val="18"/>
                <w:szCs w:val="18"/>
                <w:lang w:eastAsia="de-DE"/>
              </w:rPr>
            </w:pPr>
            <w:r>
              <w:rPr>
                <w:rFonts w:eastAsia="SimSun" w:cs="Times New Roman"/>
                <w:color w:val="000000" w:themeColor="text1"/>
                <w:kern w:val="24"/>
                <w:sz w:val="18"/>
                <w:szCs w:val="18"/>
                <w:lang w:eastAsia="de-DE"/>
              </w:rPr>
              <w:t>0,</w:t>
            </w:r>
            <w:r w:rsidR="00787CE4" w:rsidRPr="00787CE4">
              <w:rPr>
                <w:rFonts w:eastAsia="SimSun" w:cs="Times New Roman"/>
                <w:color w:val="000000" w:themeColor="text1"/>
                <w:kern w:val="24"/>
                <w:sz w:val="18"/>
                <w:szCs w:val="18"/>
                <w:lang w:eastAsia="de-DE"/>
              </w:rPr>
              <w:t>076</w:t>
            </w:r>
          </w:p>
        </w:tc>
      </w:tr>
    </w:tbl>
    <w:p w14:paraId="3A3CDB2F" w14:textId="77777777" w:rsidR="00787CE4" w:rsidRDefault="00787CE4" w:rsidP="001D367F"/>
    <w:p w14:paraId="4BB16AFF" w14:textId="77777777" w:rsidR="00131EC8" w:rsidRDefault="00781666" w:rsidP="00074A05">
      <w:r>
        <w:t xml:space="preserve">Die In-Prozess-Kontrolle durch DLS Messung ergab, dass die Partikelgröße sich während der Herstellung nur unwesentlich </w:t>
      </w:r>
      <w:r w:rsidR="0083794A">
        <w:t xml:space="preserve">änderte. Im Rahmen der Messgenauigkeit der DLS Messung von </w:t>
      </w:r>
      <w:r w:rsidR="0083794A">
        <w:sym w:font="Symbol" w:char="F0B1"/>
      </w:r>
      <w:r w:rsidR="0083794A">
        <w:t>12 nm sind die Partikelgrößen konstant geblieben</w:t>
      </w:r>
      <w:r>
        <w:t xml:space="preserve">. </w:t>
      </w:r>
      <w:r w:rsidR="00563E46">
        <w:t>Die M</w:t>
      </w:r>
      <w:r w:rsidR="00282EFC">
        <w:t>ethode ist z</w:t>
      </w:r>
      <w:r w:rsidR="00E11D6B">
        <w:t>ur Herstellung von Desmopressin-</w:t>
      </w:r>
      <w:r w:rsidR="00282EFC">
        <w:t>beladenen PEA Asparaginsäure Nanopartikeln</w:t>
      </w:r>
      <w:r w:rsidR="00563E46">
        <w:t xml:space="preserve"> mit einem mittleren Partikeldur</w:t>
      </w:r>
      <w:r w:rsidR="002D45B4">
        <w:t>chmesser zwischen 240 nm und 300</w:t>
      </w:r>
      <w:r w:rsidR="00563E46">
        <w:t> nm</w:t>
      </w:r>
      <w:r w:rsidR="00282EFC">
        <w:t xml:space="preserve"> mit monomodaler und enger Partikelgrößenverteilung geeignet.</w:t>
      </w:r>
    </w:p>
    <w:p w14:paraId="70629911" w14:textId="77777777" w:rsidR="00131EC8" w:rsidRDefault="00131EC8" w:rsidP="001D367F">
      <w:r>
        <w:t xml:space="preserve">Die Stabilität der Partikel in wässriger Suspension über einen Zeitraum von 2 Monaten wurde durch DLS Messungen überprüft. Die Ergebnisse sind in </w:t>
      </w:r>
      <w:r w:rsidR="00D16240">
        <w:fldChar w:fldCharType="begin"/>
      </w:r>
      <w:r w:rsidR="00282EFC">
        <w:instrText xml:space="preserve"> REF _Ref274161857 \h </w:instrText>
      </w:r>
      <w:r w:rsidR="00D16240">
        <w:fldChar w:fldCharType="separate"/>
      </w:r>
      <w:r w:rsidR="00711AB8" w:rsidRPr="00131EC8">
        <w:t xml:space="preserve">Tabelle </w:t>
      </w:r>
      <w:r w:rsidR="00711AB8">
        <w:rPr>
          <w:noProof/>
        </w:rPr>
        <w:t>19</w:t>
      </w:r>
      <w:r w:rsidR="00D16240">
        <w:fldChar w:fldCharType="end"/>
      </w:r>
      <w:r w:rsidR="00282EFC">
        <w:t xml:space="preserve"> dargestellt.</w:t>
      </w:r>
    </w:p>
    <w:p w14:paraId="1197189D" w14:textId="77777777" w:rsidR="00131EC8" w:rsidRDefault="00131EC8" w:rsidP="00131EC8">
      <w:pPr>
        <w:spacing w:after="0"/>
      </w:pPr>
    </w:p>
    <w:p w14:paraId="6C980730" w14:textId="77777777" w:rsidR="00960B93" w:rsidRDefault="00960B93" w:rsidP="00131EC8">
      <w:pPr>
        <w:spacing w:after="0"/>
      </w:pPr>
    </w:p>
    <w:p w14:paraId="1F58B992" w14:textId="77777777" w:rsidR="00960B93" w:rsidRDefault="00960B93" w:rsidP="00131EC8">
      <w:pPr>
        <w:spacing w:after="0"/>
      </w:pPr>
    </w:p>
    <w:p w14:paraId="29D3D6B4" w14:textId="77777777" w:rsidR="00131EC8" w:rsidRPr="00131EC8" w:rsidRDefault="00131EC8" w:rsidP="003D6D5A">
      <w:pPr>
        <w:pStyle w:val="Beschriftung"/>
        <w:ind w:firstLine="0"/>
        <w:rPr>
          <w:b w:val="0"/>
        </w:rPr>
      </w:pPr>
      <w:bookmarkStart w:id="201" w:name="_Ref274161857"/>
      <w:r w:rsidRPr="00131EC8">
        <w:lastRenderedPageBreak/>
        <w:t xml:space="preserve">Tabelle </w:t>
      </w:r>
      <w:fldSimple w:instr=" SEQ Tabelle \* ARABIC ">
        <w:r w:rsidR="00711AB8">
          <w:rPr>
            <w:noProof/>
          </w:rPr>
          <w:t>19</w:t>
        </w:r>
      </w:fldSimple>
      <w:bookmarkEnd w:id="201"/>
      <w:r>
        <w:t xml:space="preserve"> </w:t>
      </w:r>
      <w:r>
        <w:rPr>
          <w:b w:val="0"/>
        </w:rPr>
        <w:t xml:space="preserve">DLS Messungen einer wässrigen PEA 06 Partikelsuspension aus Versuch Nr. 10 in </w:t>
      </w:r>
      <w:r w:rsidR="00057BAF">
        <w:fldChar w:fldCharType="begin"/>
      </w:r>
      <w:r w:rsidR="00057BAF">
        <w:instrText xml:space="preserve"> REF _Ref274161710 \h  \* MERGEFORMAT </w:instrText>
      </w:r>
      <w:r w:rsidR="00057BAF">
        <w:fldChar w:fldCharType="separate"/>
      </w:r>
      <w:r w:rsidR="00711AB8" w:rsidRPr="00711AB8">
        <w:rPr>
          <w:b w:val="0"/>
        </w:rPr>
        <w:t xml:space="preserve">Tabelle </w:t>
      </w:r>
      <w:r w:rsidR="00711AB8" w:rsidRPr="00711AB8">
        <w:rPr>
          <w:b w:val="0"/>
          <w:noProof/>
        </w:rPr>
        <w:t>22</w:t>
      </w:r>
      <w:r w:rsidR="00057BAF">
        <w:fldChar w:fldCharType="end"/>
      </w:r>
      <w:r>
        <w:rPr>
          <w:b w:val="0"/>
        </w:rPr>
        <w:t xml:space="preserve"> zur Stabilitätskontrolle</w:t>
      </w:r>
      <w:r w:rsidR="00906DB9">
        <w:rPr>
          <w:b w:val="0"/>
        </w:rPr>
        <w:t>.</w:t>
      </w:r>
    </w:p>
    <w:tbl>
      <w:tblPr>
        <w:tblStyle w:val="Tabellenraster"/>
        <w:tblW w:w="8897" w:type="dxa"/>
        <w:jc w:val="center"/>
        <w:tblLayout w:type="fixed"/>
        <w:tblLook w:val="04A0" w:firstRow="1" w:lastRow="0" w:firstColumn="1" w:lastColumn="0" w:noHBand="0" w:noVBand="1"/>
      </w:tblPr>
      <w:tblGrid>
        <w:gridCol w:w="1951"/>
        <w:gridCol w:w="1701"/>
        <w:gridCol w:w="1701"/>
        <w:gridCol w:w="1701"/>
        <w:gridCol w:w="1843"/>
      </w:tblGrid>
      <w:tr w:rsidR="00131EC8" w:rsidRPr="00255D99" w14:paraId="55151152" w14:textId="77777777" w:rsidTr="003A42DA">
        <w:trPr>
          <w:trHeight w:val="340"/>
          <w:jc w:val="center"/>
        </w:trPr>
        <w:tc>
          <w:tcPr>
            <w:tcW w:w="1951" w:type="dxa"/>
            <w:tcBorders>
              <w:top w:val="nil"/>
              <w:left w:val="nil"/>
              <w:bottom w:val="single" w:sz="8" w:space="0" w:color="auto"/>
              <w:right w:val="single" w:sz="8" w:space="0" w:color="auto"/>
            </w:tcBorders>
            <w:vAlign w:val="center"/>
          </w:tcPr>
          <w:p w14:paraId="3EE087DD" w14:textId="77777777" w:rsidR="00131EC8" w:rsidRPr="00255D99" w:rsidRDefault="00131EC8" w:rsidP="00131EC8">
            <w:pPr>
              <w:spacing w:line="240" w:lineRule="auto"/>
              <w:jc w:val="center"/>
            </w:pPr>
          </w:p>
        </w:tc>
        <w:tc>
          <w:tcPr>
            <w:tcW w:w="1701" w:type="dxa"/>
            <w:tcBorders>
              <w:top w:val="single" w:sz="8" w:space="0" w:color="auto"/>
              <w:left w:val="single" w:sz="8" w:space="0" w:color="auto"/>
              <w:bottom w:val="single" w:sz="8" w:space="0" w:color="auto"/>
              <w:right w:val="single" w:sz="8" w:space="0" w:color="auto"/>
            </w:tcBorders>
            <w:shd w:val="clear" w:color="auto" w:fill="E6E6E6"/>
            <w:vAlign w:val="center"/>
          </w:tcPr>
          <w:p w14:paraId="46C90645" w14:textId="77777777" w:rsidR="00131EC8" w:rsidRPr="00282EFC" w:rsidRDefault="00131EC8" w:rsidP="00131EC8">
            <w:pPr>
              <w:spacing w:line="240" w:lineRule="auto"/>
              <w:jc w:val="center"/>
              <w:rPr>
                <w:b/>
                <w:sz w:val="18"/>
                <w:szCs w:val="18"/>
              </w:rPr>
            </w:pPr>
            <w:r w:rsidRPr="00282EFC">
              <w:rPr>
                <w:b/>
                <w:sz w:val="18"/>
                <w:szCs w:val="18"/>
              </w:rPr>
              <w:t>Nach Herstellung</w:t>
            </w:r>
          </w:p>
        </w:tc>
        <w:tc>
          <w:tcPr>
            <w:tcW w:w="1701" w:type="dxa"/>
            <w:tcBorders>
              <w:top w:val="single" w:sz="8" w:space="0" w:color="auto"/>
              <w:left w:val="single" w:sz="8" w:space="0" w:color="auto"/>
              <w:bottom w:val="single" w:sz="8" w:space="0" w:color="auto"/>
              <w:right w:val="single" w:sz="8" w:space="0" w:color="auto"/>
            </w:tcBorders>
            <w:shd w:val="clear" w:color="auto" w:fill="E6E6E6"/>
            <w:vAlign w:val="center"/>
          </w:tcPr>
          <w:p w14:paraId="29026EDE" w14:textId="77777777" w:rsidR="00131EC8" w:rsidRPr="00282EFC" w:rsidRDefault="00131EC8" w:rsidP="00131EC8">
            <w:pPr>
              <w:spacing w:line="240" w:lineRule="auto"/>
              <w:jc w:val="center"/>
              <w:rPr>
                <w:b/>
                <w:sz w:val="18"/>
                <w:szCs w:val="18"/>
              </w:rPr>
            </w:pPr>
            <w:r w:rsidRPr="00282EFC">
              <w:rPr>
                <w:b/>
                <w:sz w:val="18"/>
                <w:szCs w:val="18"/>
              </w:rPr>
              <w:t>nach 1 Tag</w:t>
            </w:r>
          </w:p>
        </w:tc>
        <w:tc>
          <w:tcPr>
            <w:tcW w:w="1701" w:type="dxa"/>
            <w:tcBorders>
              <w:top w:val="single" w:sz="8" w:space="0" w:color="auto"/>
              <w:left w:val="single" w:sz="8" w:space="0" w:color="auto"/>
              <w:bottom w:val="single" w:sz="8" w:space="0" w:color="auto"/>
              <w:right w:val="single" w:sz="8" w:space="0" w:color="auto"/>
            </w:tcBorders>
            <w:shd w:val="clear" w:color="auto" w:fill="E6E6E6"/>
            <w:vAlign w:val="center"/>
          </w:tcPr>
          <w:p w14:paraId="5D640068" w14:textId="77777777" w:rsidR="00131EC8" w:rsidRPr="00282EFC" w:rsidRDefault="00131EC8" w:rsidP="00131EC8">
            <w:pPr>
              <w:spacing w:line="240" w:lineRule="auto"/>
              <w:jc w:val="center"/>
              <w:rPr>
                <w:b/>
                <w:sz w:val="18"/>
                <w:szCs w:val="18"/>
              </w:rPr>
            </w:pPr>
            <w:r w:rsidRPr="00282EFC">
              <w:rPr>
                <w:b/>
                <w:sz w:val="18"/>
                <w:szCs w:val="18"/>
              </w:rPr>
              <w:t>nach 7 Tagen</w:t>
            </w:r>
          </w:p>
        </w:tc>
        <w:tc>
          <w:tcPr>
            <w:tcW w:w="1843" w:type="dxa"/>
            <w:tcBorders>
              <w:top w:val="single" w:sz="8" w:space="0" w:color="auto"/>
              <w:left w:val="single" w:sz="8" w:space="0" w:color="auto"/>
              <w:bottom w:val="single" w:sz="8" w:space="0" w:color="auto"/>
              <w:right w:val="single" w:sz="8" w:space="0" w:color="auto"/>
            </w:tcBorders>
            <w:shd w:val="clear" w:color="auto" w:fill="E6E6E6"/>
            <w:vAlign w:val="center"/>
          </w:tcPr>
          <w:p w14:paraId="607073BD" w14:textId="77777777" w:rsidR="00131EC8" w:rsidRPr="00282EFC" w:rsidRDefault="00131EC8" w:rsidP="00131EC8">
            <w:pPr>
              <w:spacing w:line="240" w:lineRule="auto"/>
              <w:jc w:val="center"/>
              <w:rPr>
                <w:b/>
                <w:sz w:val="18"/>
                <w:szCs w:val="18"/>
              </w:rPr>
            </w:pPr>
            <w:r w:rsidRPr="00282EFC">
              <w:rPr>
                <w:b/>
                <w:sz w:val="18"/>
                <w:szCs w:val="18"/>
              </w:rPr>
              <w:t>nach 2 Monaten</w:t>
            </w:r>
          </w:p>
        </w:tc>
      </w:tr>
      <w:tr w:rsidR="00131EC8" w:rsidRPr="00255D99" w14:paraId="5C798D38" w14:textId="77777777" w:rsidTr="003A42DA">
        <w:trPr>
          <w:trHeight w:val="340"/>
          <w:jc w:val="center"/>
        </w:trPr>
        <w:tc>
          <w:tcPr>
            <w:tcW w:w="1951" w:type="dxa"/>
            <w:tcBorders>
              <w:top w:val="single" w:sz="8" w:space="0" w:color="auto"/>
              <w:left w:val="single" w:sz="8" w:space="0" w:color="auto"/>
              <w:bottom w:val="single" w:sz="8" w:space="0" w:color="auto"/>
              <w:right w:val="single" w:sz="8" w:space="0" w:color="auto"/>
            </w:tcBorders>
            <w:shd w:val="clear" w:color="auto" w:fill="E6E6E6"/>
            <w:vAlign w:val="center"/>
          </w:tcPr>
          <w:p w14:paraId="244653B4" w14:textId="77777777" w:rsidR="00131EC8" w:rsidRPr="00282EFC" w:rsidRDefault="00131EC8" w:rsidP="00131EC8">
            <w:pPr>
              <w:spacing w:line="240" w:lineRule="auto"/>
              <w:jc w:val="center"/>
              <w:rPr>
                <w:b/>
                <w:sz w:val="18"/>
                <w:szCs w:val="18"/>
              </w:rPr>
            </w:pPr>
            <w:r w:rsidRPr="00282EFC">
              <w:rPr>
                <w:b/>
                <w:sz w:val="18"/>
                <w:szCs w:val="18"/>
              </w:rPr>
              <w:t>Partikeldurchmesser</w:t>
            </w:r>
          </w:p>
        </w:tc>
        <w:tc>
          <w:tcPr>
            <w:tcW w:w="1701" w:type="dxa"/>
            <w:tcBorders>
              <w:top w:val="single" w:sz="8" w:space="0" w:color="auto"/>
              <w:left w:val="single" w:sz="8" w:space="0" w:color="auto"/>
            </w:tcBorders>
            <w:vAlign w:val="center"/>
          </w:tcPr>
          <w:p w14:paraId="3905DCDC" w14:textId="77777777" w:rsidR="00131EC8" w:rsidRPr="00131EC8" w:rsidRDefault="00131EC8" w:rsidP="00131EC8">
            <w:pPr>
              <w:spacing w:line="240" w:lineRule="auto"/>
              <w:jc w:val="center"/>
              <w:rPr>
                <w:sz w:val="18"/>
                <w:szCs w:val="18"/>
              </w:rPr>
            </w:pPr>
            <w:r w:rsidRPr="00131EC8">
              <w:rPr>
                <w:sz w:val="18"/>
                <w:szCs w:val="18"/>
              </w:rPr>
              <w:t>244 nm</w:t>
            </w:r>
          </w:p>
        </w:tc>
        <w:tc>
          <w:tcPr>
            <w:tcW w:w="1701" w:type="dxa"/>
            <w:tcBorders>
              <w:top w:val="single" w:sz="8" w:space="0" w:color="auto"/>
            </w:tcBorders>
            <w:vAlign w:val="center"/>
          </w:tcPr>
          <w:p w14:paraId="30F6ADCD" w14:textId="77777777" w:rsidR="00131EC8" w:rsidRPr="00131EC8" w:rsidRDefault="00131EC8" w:rsidP="00131EC8">
            <w:pPr>
              <w:spacing w:line="240" w:lineRule="auto"/>
              <w:jc w:val="center"/>
              <w:rPr>
                <w:sz w:val="18"/>
                <w:szCs w:val="18"/>
              </w:rPr>
            </w:pPr>
            <w:r w:rsidRPr="00131EC8">
              <w:rPr>
                <w:sz w:val="18"/>
                <w:szCs w:val="18"/>
              </w:rPr>
              <w:t>236 nm</w:t>
            </w:r>
          </w:p>
        </w:tc>
        <w:tc>
          <w:tcPr>
            <w:tcW w:w="1701" w:type="dxa"/>
            <w:tcBorders>
              <w:top w:val="single" w:sz="8" w:space="0" w:color="auto"/>
            </w:tcBorders>
            <w:vAlign w:val="center"/>
          </w:tcPr>
          <w:p w14:paraId="02766F10" w14:textId="77777777" w:rsidR="00131EC8" w:rsidRPr="00131EC8" w:rsidRDefault="00131EC8" w:rsidP="00131EC8">
            <w:pPr>
              <w:spacing w:line="240" w:lineRule="auto"/>
              <w:jc w:val="center"/>
              <w:rPr>
                <w:sz w:val="18"/>
                <w:szCs w:val="18"/>
              </w:rPr>
            </w:pPr>
            <w:r w:rsidRPr="00131EC8">
              <w:rPr>
                <w:sz w:val="18"/>
                <w:szCs w:val="18"/>
              </w:rPr>
              <w:t>235 nm</w:t>
            </w:r>
          </w:p>
        </w:tc>
        <w:tc>
          <w:tcPr>
            <w:tcW w:w="1843" w:type="dxa"/>
            <w:tcBorders>
              <w:top w:val="single" w:sz="8" w:space="0" w:color="auto"/>
              <w:right w:val="single" w:sz="8" w:space="0" w:color="auto"/>
            </w:tcBorders>
            <w:vAlign w:val="center"/>
          </w:tcPr>
          <w:p w14:paraId="148F6745" w14:textId="77777777" w:rsidR="00131EC8" w:rsidRPr="00131EC8" w:rsidRDefault="00131EC8" w:rsidP="00131EC8">
            <w:pPr>
              <w:spacing w:line="240" w:lineRule="auto"/>
              <w:jc w:val="center"/>
              <w:rPr>
                <w:sz w:val="18"/>
                <w:szCs w:val="18"/>
              </w:rPr>
            </w:pPr>
            <w:r w:rsidRPr="00131EC8">
              <w:rPr>
                <w:sz w:val="18"/>
                <w:szCs w:val="18"/>
              </w:rPr>
              <w:t>167 / 650 nm</w:t>
            </w:r>
          </w:p>
        </w:tc>
      </w:tr>
      <w:tr w:rsidR="00131EC8" w:rsidRPr="00255D99" w14:paraId="78A6DFE7" w14:textId="77777777" w:rsidTr="003A42DA">
        <w:trPr>
          <w:trHeight w:val="340"/>
          <w:jc w:val="center"/>
        </w:trPr>
        <w:tc>
          <w:tcPr>
            <w:tcW w:w="1951" w:type="dxa"/>
            <w:tcBorders>
              <w:top w:val="single" w:sz="8" w:space="0" w:color="auto"/>
              <w:left w:val="single" w:sz="8" w:space="0" w:color="auto"/>
              <w:bottom w:val="single" w:sz="8" w:space="0" w:color="auto"/>
              <w:right w:val="single" w:sz="8" w:space="0" w:color="auto"/>
            </w:tcBorders>
            <w:shd w:val="clear" w:color="auto" w:fill="E6E6E6"/>
            <w:vAlign w:val="center"/>
          </w:tcPr>
          <w:p w14:paraId="3E2B954E" w14:textId="77777777" w:rsidR="00131EC8" w:rsidRPr="00282EFC" w:rsidRDefault="00131EC8" w:rsidP="00131EC8">
            <w:pPr>
              <w:spacing w:line="240" w:lineRule="auto"/>
              <w:jc w:val="center"/>
              <w:rPr>
                <w:b/>
                <w:sz w:val="18"/>
                <w:szCs w:val="18"/>
              </w:rPr>
            </w:pPr>
            <w:r w:rsidRPr="00282EFC">
              <w:rPr>
                <w:b/>
                <w:sz w:val="18"/>
                <w:szCs w:val="18"/>
              </w:rPr>
              <w:t>PDI</w:t>
            </w:r>
          </w:p>
        </w:tc>
        <w:tc>
          <w:tcPr>
            <w:tcW w:w="1701" w:type="dxa"/>
            <w:tcBorders>
              <w:left w:val="single" w:sz="8" w:space="0" w:color="auto"/>
              <w:bottom w:val="single" w:sz="8" w:space="0" w:color="auto"/>
            </w:tcBorders>
            <w:vAlign w:val="center"/>
          </w:tcPr>
          <w:p w14:paraId="290BA3C2" w14:textId="77777777" w:rsidR="00131EC8" w:rsidRPr="00131EC8" w:rsidRDefault="00131EC8" w:rsidP="00131EC8">
            <w:pPr>
              <w:spacing w:line="240" w:lineRule="auto"/>
              <w:jc w:val="center"/>
              <w:rPr>
                <w:sz w:val="18"/>
                <w:szCs w:val="18"/>
              </w:rPr>
            </w:pPr>
            <w:r w:rsidRPr="00131EC8">
              <w:rPr>
                <w:sz w:val="18"/>
                <w:szCs w:val="18"/>
              </w:rPr>
              <w:t>0,035</w:t>
            </w:r>
          </w:p>
        </w:tc>
        <w:tc>
          <w:tcPr>
            <w:tcW w:w="1701" w:type="dxa"/>
            <w:tcBorders>
              <w:bottom w:val="single" w:sz="8" w:space="0" w:color="auto"/>
            </w:tcBorders>
            <w:vAlign w:val="center"/>
          </w:tcPr>
          <w:p w14:paraId="3E961BD3" w14:textId="77777777" w:rsidR="00131EC8" w:rsidRPr="00131EC8" w:rsidRDefault="00131EC8" w:rsidP="00131EC8">
            <w:pPr>
              <w:spacing w:line="240" w:lineRule="auto"/>
              <w:jc w:val="center"/>
              <w:rPr>
                <w:sz w:val="18"/>
                <w:szCs w:val="18"/>
              </w:rPr>
            </w:pPr>
            <w:r w:rsidRPr="00131EC8">
              <w:rPr>
                <w:sz w:val="18"/>
                <w:szCs w:val="18"/>
              </w:rPr>
              <w:t>0,064</w:t>
            </w:r>
          </w:p>
        </w:tc>
        <w:tc>
          <w:tcPr>
            <w:tcW w:w="1701" w:type="dxa"/>
            <w:tcBorders>
              <w:bottom w:val="single" w:sz="8" w:space="0" w:color="auto"/>
            </w:tcBorders>
            <w:vAlign w:val="center"/>
          </w:tcPr>
          <w:p w14:paraId="1FB63908" w14:textId="77777777" w:rsidR="00131EC8" w:rsidRPr="00131EC8" w:rsidRDefault="00131EC8" w:rsidP="00131EC8">
            <w:pPr>
              <w:spacing w:line="240" w:lineRule="auto"/>
              <w:jc w:val="center"/>
              <w:rPr>
                <w:sz w:val="18"/>
                <w:szCs w:val="18"/>
              </w:rPr>
            </w:pPr>
            <w:r w:rsidRPr="00131EC8">
              <w:rPr>
                <w:sz w:val="18"/>
                <w:szCs w:val="18"/>
              </w:rPr>
              <w:t>0,146</w:t>
            </w:r>
          </w:p>
        </w:tc>
        <w:tc>
          <w:tcPr>
            <w:tcW w:w="1843" w:type="dxa"/>
            <w:tcBorders>
              <w:bottom w:val="single" w:sz="8" w:space="0" w:color="auto"/>
              <w:right w:val="single" w:sz="8" w:space="0" w:color="auto"/>
            </w:tcBorders>
            <w:vAlign w:val="center"/>
          </w:tcPr>
          <w:p w14:paraId="2CB6B768" w14:textId="77777777" w:rsidR="00131EC8" w:rsidRPr="00131EC8" w:rsidRDefault="00131EC8" w:rsidP="00131EC8">
            <w:pPr>
              <w:keepNext/>
              <w:spacing w:line="240" w:lineRule="auto"/>
              <w:jc w:val="center"/>
              <w:rPr>
                <w:sz w:val="18"/>
                <w:szCs w:val="18"/>
              </w:rPr>
            </w:pPr>
            <w:r w:rsidRPr="00131EC8">
              <w:rPr>
                <w:sz w:val="18"/>
                <w:szCs w:val="18"/>
              </w:rPr>
              <w:t>0,254 (bimodal)</w:t>
            </w:r>
          </w:p>
        </w:tc>
      </w:tr>
    </w:tbl>
    <w:p w14:paraId="34E899EE" w14:textId="77777777" w:rsidR="00131EC8" w:rsidRDefault="00131EC8" w:rsidP="001D367F"/>
    <w:p w14:paraId="5A66006C" w14:textId="77777777" w:rsidR="005218F7" w:rsidRDefault="00282EFC" w:rsidP="00074A05">
      <w:r w:rsidRPr="00282EFC">
        <w:t>Die Par</w:t>
      </w:r>
      <w:r w:rsidR="00316AC2">
        <w:t>tikel wie</w:t>
      </w:r>
      <w:r w:rsidRPr="00282EFC">
        <w:t>sen in wässriger Suspension über einen Zeitraum von bis zu einer Woche eine gute Stabilität hinsichtlich Größe und</w:t>
      </w:r>
      <w:r>
        <w:t xml:space="preserve"> Größenverteilung auf (</w:t>
      </w:r>
      <w:r w:rsidR="00D16240">
        <w:fldChar w:fldCharType="begin"/>
      </w:r>
      <w:r>
        <w:instrText xml:space="preserve"> REF _Ref274161857 \h </w:instrText>
      </w:r>
      <w:r w:rsidR="00D16240">
        <w:fldChar w:fldCharType="separate"/>
      </w:r>
      <w:r w:rsidR="00711AB8" w:rsidRPr="00131EC8">
        <w:t xml:space="preserve">Tabelle </w:t>
      </w:r>
      <w:r w:rsidR="00711AB8">
        <w:rPr>
          <w:noProof/>
        </w:rPr>
        <w:t>19</w:t>
      </w:r>
      <w:r w:rsidR="00D16240">
        <w:fldChar w:fldCharType="end"/>
      </w:r>
      <w:r w:rsidR="00316AC2">
        <w:t>). Die Verteilung war</w:t>
      </w:r>
      <w:r w:rsidRPr="00282EFC">
        <w:t xml:space="preserve"> nach wie vor monomodal und die Partikelgröße verändert</w:t>
      </w:r>
      <w:r w:rsidR="00316AC2">
        <w:t>e</w:t>
      </w:r>
      <w:r w:rsidRPr="00282EFC">
        <w:t xml:space="preserve"> sich nic</w:t>
      </w:r>
      <w:r w:rsidR="00316AC2">
        <w:t>ht wesentlich, die Verteilung wu</w:t>
      </w:r>
      <w:r w:rsidRPr="00282EFC">
        <w:t>rd</w:t>
      </w:r>
      <w:r w:rsidR="00316AC2">
        <w:t>e</w:t>
      </w:r>
      <w:r w:rsidRPr="00282EFC">
        <w:t xml:space="preserve"> lediglich etwas breiter. Nach zwei Monaten hat</w:t>
      </w:r>
      <w:r w:rsidR="00316AC2">
        <w:t>te</w:t>
      </w:r>
      <w:r w:rsidRPr="00282EFC">
        <w:t xml:space="preserve"> sich eine bimodale Partikel</w:t>
      </w:r>
      <w:r>
        <w:t>größenverteilung ein</w:t>
      </w:r>
      <w:r w:rsidRPr="00282EFC">
        <w:t xml:space="preserve">gestellt, die Primärpartikel sind kleiner geworden </w:t>
      </w:r>
      <w:r>
        <w:t xml:space="preserve">(167 nm) </w:t>
      </w:r>
      <w:r w:rsidRPr="00282EFC">
        <w:t>und haben größere Agglomerate gebildet</w:t>
      </w:r>
      <w:r>
        <w:t xml:space="preserve"> (650 nm)</w:t>
      </w:r>
      <w:r w:rsidRPr="00282EFC">
        <w:t>.</w:t>
      </w:r>
      <w:r>
        <w:t xml:space="preserve"> Für eine Lagerung von mehr als 7 Tagen empfiehlt sich</w:t>
      </w:r>
      <w:r w:rsidR="00BE61CC">
        <w:t xml:space="preserve"> daher</w:t>
      </w:r>
      <w:r>
        <w:t xml:space="preserve"> die Trocknung der Partikelsuspension.</w:t>
      </w:r>
      <w:r w:rsidR="00BE61CC">
        <w:t xml:space="preserve"> Für PLGA Nanopartikel wurde bereits gezeigt, dass eine drei monatige Lagerung der getrockneten Pulver keine negative Auswirkung auf die Partikelgröße und Redispergierbarkeit hatte.</w:t>
      </w:r>
    </w:p>
    <w:p w14:paraId="162B1B95" w14:textId="77777777" w:rsidR="00960B93" w:rsidRDefault="00960B93" w:rsidP="00074A05"/>
    <w:p w14:paraId="0ECDEFA2" w14:textId="77777777" w:rsidR="00960B93" w:rsidRDefault="00960B93" w:rsidP="00074A05"/>
    <w:p w14:paraId="0D6EDECA" w14:textId="77777777" w:rsidR="00960B93" w:rsidRDefault="00960B93" w:rsidP="00074A05"/>
    <w:p w14:paraId="7165A30D" w14:textId="77777777" w:rsidR="00960B93" w:rsidRDefault="00960B93" w:rsidP="00074A05"/>
    <w:p w14:paraId="632D285A" w14:textId="77777777" w:rsidR="00960B93" w:rsidRDefault="00960B93" w:rsidP="00074A05"/>
    <w:p w14:paraId="5671DDA2" w14:textId="77777777" w:rsidR="00960B93" w:rsidRDefault="00960B93" w:rsidP="00074A05"/>
    <w:p w14:paraId="695080FE" w14:textId="77777777" w:rsidR="00960B93" w:rsidRDefault="00960B93" w:rsidP="00074A05"/>
    <w:p w14:paraId="507174C0" w14:textId="77777777" w:rsidR="00960B93" w:rsidRDefault="00960B93" w:rsidP="00074A05"/>
    <w:p w14:paraId="2B98D9D8" w14:textId="77777777" w:rsidR="00960B93" w:rsidRDefault="00960B93" w:rsidP="00074A05"/>
    <w:p w14:paraId="21EA031F" w14:textId="77777777" w:rsidR="00960B93" w:rsidRDefault="00960B93" w:rsidP="00074A05"/>
    <w:p w14:paraId="298672F6" w14:textId="77777777" w:rsidR="00960B93" w:rsidRDefault="00960B93" w:rsidP="00074A05"/>
    <w:p w14:paraId="25F511C6" w14:textId="77777777" w:rsidR="00960B93" w:rsidRDefault="00960B93" w:rsidP="00074A05"/>
    <w:p w14:paraId="45B79A91" w14:textId="77777777" w:rsidR="00960B93" w:rsidRDefault="00960B93" w:rsidP="00074A05"/>
    <w:p w14:paraId="2FB18B03" w14:textId="77777777" w:rsidR="00CD2FA1" w:rsidRDefault="00BA4E15" w:rsidP="00CD2FA1">
      <w:pPr>
        <w:pStyle w:val="berschrift4"/>
      </w:pPr>
      <w:bookmarkStart w:id="202" w:name="_Ref402278045"/>
      <w:bookmarkStart w:id="203" w:name="_Toc294380238"/>
      <w:r>
        <w:lastRenderedPageBreak/>
        <w:t>Entwicklung</w:t>
      </w:r>
      <w:r w:rsidR="00BA7226">
        <w:t xml:space="preserve"> der </w:t>
      </w:r>
      <w:r>
        <w:t>Doppelemulsionsmethode</w:t>
      </w:r>
      <w:r w:rsidR="00CD2FA1">
        <w:t xml:space="preserve"> für </w:t>
      </w:r>
      <w:r>
        <w:t>Cystein PEA Polymere</w:t>
      </w:r>
      <w:bookmarkEnd w:id="202"/>
      <w:bookmarkEnd w:id="203"/>
    </w:p>
    <w:p w14:paraId="492EBFDD" w14:textId="77777777" w:rsidR="005E1C3E" w:rsidRDefault="005E1C3E" w:rsidP="00F14BF3">
      <w:r>
        <w:t>Im folgenden Abschnitt wird der Entwicklungsprozess zur Optimierung der Doppel</w:t>
      </w:r>
      <w:r w:rsidR="00906DB9">
        <w:t>-</w:t>
      </w:r>
      <w:r>
        <w:t>em</w:t>
      </w:r>
      <w:r w:rsidR="00F7074C">
        <w:t>ulsionsmethode mit Cystein PEA</w:t>
      </w:r>
      <w:r>
        <w:t xml:space="preserve"> beschrieben.</w:t>
      </w:r>
    </w:p>
    <w:p w14:paraId="21836FF5" w14:textId="77777777" w:rsidR="00BE61CC" w:rsidRDefault="00BE61CC" w:rsidP="003D6D5A">
      <w:pPr>
        <w:spacing w:after="120"/>
      </w:pPr>
      <w:r>
        <w:t xml:space="preserve">In </w:t>
      </w:r>
      <w:r w:rsidR="00D16240">
        <w:fldChar w:fldCharType="begin"/>
      </w:r>
      <w:r>
        <w:instrText xml:space="preserve"> REF _Ref402278387 \h </w:instrText>
      </w:r>
      <w:r w:rsidR="00D16240">
        <w:fldChar w:fldCharType="separate"/>
      </w:r>
      <w:r w:rsidR="00711AB8" w:rsidRPr="0065001B">
        <w:t xml:space="preserve">Tabelle </w:t>
      </w:r>
      <w:r w:rsidR="00711AB8">
        <w:rPr>
          <w:noProof/>
        </w:rPr>
        <w:t>20</w:t>
      </w:r>
      <w:r w:rsidR="00D16240">
        <w:fldChar w:fldCharType="end"/>
      </w:r>
      <w:r>
        <w:t xml:space="preserve"> sind die Ergebnisse der für die Optimierung des Herstellungsprozesses wesentlichen Versuche zusammengefasst.</w:t>
      </w:r>
      <w:r w:rsidR="00DF0223">
        <w:t xml:space="preserve"> Alle Herstellungsparameter, die in </w:t>
      </w:r>
      <w:r w:rsidR="00D16240">
        <w:fldChar w:fldCharType="begin"/>
      </w:r>
      <w:r w:rsidR="00DF0223">
        <w:instrText xml:space="preserve"> REF _Ref402278387 \h </w:instrText>
      </w:r>
      <w:r w:rsidR="00D16240">
        <w:fldChar w:fldCharType="separate"/>
      </w:r>
      <w:r w:rsidR="00711AB8" w:rsidRPr="0065001B">
        <w:t xml:space="preserve">Tabelle </w:t>
      </w:r>
      <w:r w:rsidR="00711AB8">
        <w:rPr>
          <w:noProof/>
        </w:rPr>
        <w:t>20</w:t>
      </w:r>
      <w:r w:rsidR="00D16240">
        <w:fldChar w:fldCharType="end"/>
      </w:r>
      <w:r w:rsidR="00906DB9">
        <w:t xml:space="preserve"> keine Erwähnung finden</w:t>
      </w:r>
      <w:r w:rsidR="00DF0223">
        <w:t>,</w:t>
      </w:r>
      <w:r w:rsidR="00B24EE2">
        <w:t xml:space="preserve"> wurden unverändert von der Herstellung der Asparaginsäure PEA Partikel übernommen.</w:t>
      </w:r>
    </w:p>
    <w:p w14:paraId="4A6AC858" w14:textId="77777777" w:rsidR="0065001B" w:rsidRDefault="0065001B" w:rsidP="0065001B">
      <w:pPr>
        <w:spacing w:after="0"/>
      </w:pPr>
    </w:p>
    <w:p w14:paraId="7D94B69A" w14:textId="77777777" w:rsidR="0065001B" w:rsidRPr="0065001B" w:rsidRDefault="0065001B" w:rsidP="003D6D5A">
      <w:pPr>
        <w:pStyle w:val="Beschriftung"/>
        <w:ind w:firstLine="0"/>
      </w:pPr>
      <w:bookmarkStart w:id="204" w:name="_Ref402278387"/>
      <w:r w:rsidRPr="0065001B">
        <w:t xml:space="preserve">Tabelle </w:t>
      </w:r>
      <w:fldSimple w:instr=" SEQ Tabelle \* ARABIC ">
        <w:r w:rsidR="00711AB8">
          <w:rPr>
            <w:noProof/>
          </w:rPr>
          <w:t>20</w:t>
        </w:r>
      </w:fldSimple>
      <w:bookmarkEnd w:id="204"/>
      <w:r>
        <w:t xml:space="preserve"> </w:t>
      </w:r>
      <w:r w:rsidRPr="0065001B">
        <w:rPr>
          <w:b w:val="0"/>
        </w:rPr>
        <w:t xml:space="preserve">Versuche zur </w:t>
      </w:r>
      <w:r>
        <w:rPr>
          <w:b w:val="0"/>
        </w:rPr>
        <w:t>Optimierung der Partikelherstellungsmethode mit Cystein PEA Polymeren</w:t>
      </w:r>
      <w:r w:rsidR="00906DB9">
        <w:rPr>
          <w:b w:val="0"/>
        </w:rPr>
        <w:t>.</w:t>
      </w:r>
    </w:p>
    <w:tbl>
      <w:tblPr>
        <w:tblW w:w="8790" w:type="dxa"/>
        <w:jc w:val="center"/>
        <w:tblInd w:w="-978" w:type="dxa"/>
        <w:tblLayout w:type="fixed"/>
        <w:tblCellMar>
          <w:left w:w="0" w:type="dxa"/>
          <w:right w:w="0" w:type="dxa"/>
        </w:tblCellMar>
        <w:tblLook w:val="0420" w:firstRow="1" w:lastRow="0" w:firstColumn="0" w:lastColumn="0" w:noHBand="0" w:noVBand="1"/>
      </w:tblPr>
      <w:tblGrid>
        <w:gridCol w:w="1136"/>
        <w:gridCol w:w="1134"/>
        <w:gridCol w:w="1559"/>
        <w:gridCol w:w="1133"/>
        <w:gridCol w:w="1843"/>
        <w:gridCol w:w="1985"/>
      </w:tblGrid>
      <w:tr w:rsidR="0065001B" w:rsidRPr="00971822" w14:paraId="5B30E1B7" w14:textId="77777777" w:rsidTr="003A42DA">
        <w:trPr>
          <w:trHeight w:val="855"/>
          <w:jc w:val="center"/>
        </w:trPr>
        <w:tc>
          <w:tcPr>
            <w:tcW w:w="1136" w:type="dxa"/>
            <w:tcBorders>
              <w:top w:val="single" w:sz="8" w:space="0" w:color="000000"/>
              <w:left w:val="single" w:sz="8" w:space="0" w:color="000000"/>
              <w:bottom w:val="single" w:sz="8" w:space="0" w:color="000000"/>
              <w:right w:val="single" w:sz="8" w:space="0" w:color="000000"/>
            </w:tcBorders>
            <w:shd w:val="clear" w:color="auto" w:fill="E6E6E6"/>
            <w:vAlign w:val="center"/>
          </w:tcPr>
          <w:p w14:paraId="4D2E1B98" w14:textId="77777777" w:rsidR="0065001B" w:rsidRPr="00971822" w:rsidRDefault="0065001B" w:rsidP="007B24FC">
            <w:pPr>
              <w:spacing w:after="0" w:line="240" w:lineRule="auto"/>
              <w:jc w:val="center"/>
              <w:rPr>
                <w:rFonts w:eastAsia="SimSun" w:cs="Times New Roman"/>
                <w:b/>
                <w:bCs/>
                <w:sz w:val="18"/>
                <w:szCs w:val="18"/>
                <w:lang w:eastAsia="de-DE"/>
              </w:rPr>
            </w:pPr>
            <w:r>
              <w:rPr>
                <w:rFonts w:eastAsia="SimSun" w:cs="Times New Roman"/>
                <w:b/>
                <w:bCs/>
                <w:sz w:val="18"/>
                <w:szCs w:val="18"/>
                <w:lang w:eastAsia="de-DE"/>
              </w:rPr>
              <w:t>Versuch Nr. / Polymer</w:t>
            </w:r>
          </w:p>
        </w:tc>
        <w:tc>
          <w:tcPr>
            <w:tcW w:w="1134"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14:paraId="7CE5748D" w14:textId="77777777" w:rsidR="0065001B" w:rsidRPr="00971822" w:rsidRDefault="0065001B" w:rsidP="007B24FC">
            <w:pPr>
              <w:spacing w:after="0" w:line="240" w:lineRule="auto"/>
              <w:jc w:val="center"/>
              <w:rPr>
                <w:rFonts w:eastAsia="SimSun" w:cs="Times New Roman"/>
                <w:sz w:val="18"/>
                <w:szCs w:val="18"/>
                <w:lang w:eastAsia="de-DE"/>
              </w:rPr>
            </w:pPr>
            <w:r w:rsidRPr="00971822">
              <w:rPr>
                <w:rFonts w:eastAsia="SimSun" w:cs="Times New Roman"/>
                <w:b/>
                <w:bCs/>
                <w:sz w:val="18"/>
                <w:szCs w:val="18"/>
                <w:lang w:eastAsia="de-DE"/>
              </w:rPr>
              <w:t>Lösungs</w:t>
            </w:r>
            <w:r>
              <w:rPr>
                <w:rFonts w:eastAsia="SimSun" w:cs="Times New Roman"/>
                <w:b/>
                <w:bCs/>
                <w:sz w:val="18"/>
                <w:szCs w:val="18"/>
                <w:lang w:eastAsia="de-DE"/>
              </w:rPr>
              <w:t>-</w:t>
            </w:r>
            <w:r w:rsidRPr="00971822">
              <w:rPr>
                <w:rFonts w:eastAsia="SimSun" w:cs="Times New Roman"/>
                <w:b/>
                <w:bCs/>
                <w:sz w:val="18"/>
                <w:szCs w:val="18"/>
                <w:lang w:eastAsia="de-DE"/>
              </w:rPr>
              <w:t>mittel</w:t>
            </w:r>
          </w:p>
        </w:tc>
        <w:tc>
          <w:tcPr>
            <w:tcW w:w="1559"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14:paraId="09B5395D" w14:textId="77777777" w:rsidR="0065001B" w:rsidRDefault="0065001B" w:rsidP="007B24FC">
            <w:pPr>
              <w:spacing w:after="0" w:line="240" w:lineRule="auto"/>
              <w:jc w:val="center"/>
              <w:rPr>
                <w:rFonts w:eastAsia="SimSun" w:cs="Times New Roman"/>
                <w:b/>
                <w:bCs/>
                <w:sz w:val="18"/>
                <w:szCs w:val="18"/>
                <w:lang w:eastAsia="de-DE"/>
              </w:rPr>
            </w:pPr>
            <w:r w:rsidRPr="00971822">
              <w:rPr>
                <w:rFonts w:eastAsia="SimSun" w:cs="Times New Roman"/>
                <w:b/>
                <w:bCs/>
                <w:sz w:val="18"/>
                <w:szCs w:val="18"/>
                <w:lang w:eastAsia="de-DE"/>
              </w:rPr>
              <w:t>Methode</w:t>
            </w:r>
            <w:r>
              <w:rPr>
                <w:rFonts w:eastAsia="SimSun" w:cs="Times New Roman"/>
                <w:b/>
                <w:bCs/>
                <w:sz w:val="18"/>
                <w:szCs w:val="18"/>
                <w:lang w:eastAsia="de-DE"/>
              </w:rPr>
              <w:t xml:space="preserve"> /</w:t>
            </w:r>
          </w:p>
          <w:p w14:paraId="08666D3F" w14:textId="77777777" w:rsidR="0065001B" w:rsidRPr="00066733" w:rsidRDefault="0065001B" w:rsidP="007B24FC">
            <w:pPr>
              <w:spacing w:after="0" w:line="240" w:lineRule="auto"/>
              <w:jc w:val="center"/>
              <w:rPr>
                <w:rFonts w:eastAsia="SimSun" w:cs="Times New Roman"/>
                <w:b/>
                <w:bCs/>
                <w:sz w:val="18"/>
                <w:szCs w:val="18"/>
                <w:lang w:eastAsia="de-DE"/>
              </w:rPr>
            </w:pPr>
            <w:r>
              <w:rPr>
                <w:rFonts w:eastAsia="SimSun" w:cs="Times New Roman"/>
                <w:b/>
                <w:bCs/>
                <w:sz w:val="18"/>
                <w:szCs w:val="18"/>
                <w:lang w:eastAsia="de-DE"/>
              </w:rPr>
              <w:t>W</w:t>
            </w:r>
            <w:r>
              <w:rPr>
                <w:rFonts w:eastAsia="SimSun" w:cs="Times New Roman"/>
                <w:b/>
                <w:bCs/>
                <w:sz w:val="18"/>
                <w:szCs w:val="18"/>
                <w:vertAlign w:val="subscript"/>
                <w:lang w:eastAsia="de-DE"/>
              </w:rPr>
              <w:t>2</w:t>
            </w:r>
            <w:r>
              <w:rPr>
                <w:rFonts w:eastAsia="SimSun" w:cs="Times New Roman"/>
                <w:b/>
                <w:bCs/>
                <w:sz w:val="18"/>
                <w:szCs w:val="18"/>
                <w:lang w:eastAsia="de-DE"/>
              </w:rPr>
              <w:t xml:space="preserve"> Phase</w:t>
            </w:r>
          </w:p>
        </w:tc>
        <w:tc>
          <w:tcPr>
            <w:tcW w:w="1133"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14:paraId="5C79AFCD" w14:textId="77777777" w:rsidR="0065001B" w:rsidRPr="00971822" w:rsidRDefault="0065001B" w:rsidP="007B24FC">
            <w:pPr>
              <w:spacing w:after="0" w:line="240" w:lineRule="auto"/>
              <w:jc w:val="center"/>
              <w:rPr>
                <w:rFonts w:eastAsia="SimSun" w:cs="Times New Roman"/>
                <w:sz w:val="18"/>
                <w:szCs w:val="18"/>
                <w:lang w:eastAsia="de-DE"/>
              </w:rPr>
            </w:pPr>
            <w:r w:rsidRPr="00971822">
              <w:rPr>
                <w:rFonts w:eastAsia="SimSun" w:cs="Times New Roman"/>
                <w:b/>
                <w:bCs/>
                <w:sz w:val="18"/>
                <w:szCs w:val="18"/>
                <w:lang w:eastAsia="de-DE"/>
              </w:rPr>
              <w:t>PVA Konz. [%]</w:t>
            </w:r>
          </w:p>
        </w:tc>
        <w:tc>
          <w:tcPr>
            <w:tcW w:w="1843"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14:paraId="435A21DD" w14:textId="77777777" w:rsidR="0065001B" w:rsidRPr="00BD7711" w:rsidRDefault="0065001B" w:rsidP="007B24FC">
            <w:pPr>
              <w:spacing w:after="0" w:line="240" w:lineRule="auto"/>
              <w:jc w:val="center"/>
              <w:rPr>
                <w:rFonts w:eastAsia="SimSun" w:cs="Times New Roman"/>
                <w:sz w:val="18"/>
                <w:szCs w:val="18"/>
                <w:lang w:eastAsia="de-DE"/>
              </w:rPr>
            </w:pPr>
            <w:r w:rsidRPr="00BD7711">
              <w:rPr>
                <w:rFonts w:eastAsia="SimSun" w:cs="Times New Roman"/>
                <w:b/>
                <w:bCs/>
                <w:sz w:val="18"/>
                <w:szCs w:val="18"/>
                <w:lang w:eastAsia="de-DE"/>
              </w:rPr>
              <w:t>Partikelgröße vor dem Trocknen / PDI</w:t>
            </w:r>
          </w:p>
        </w:tc>
        <w:tc>
          <w:tcPr>
            <w:tcW w:w="1985"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14:paraId="73D205AE" w14:textId="77777777" w:rsidR="0065001B" w:rsidRPr="00971822" w:rsidRDefault="0065001B" w:rsidP="007B24FC">
            <w:pPr>
              <w:spacing w:after="0" w:line="240" w:lineRule="auto"/>
              <w:jc w:val="center"/>
              <w:rPr>
                <w:rFonts w:eastAsia="SimSun" w:cs="Times New Roman"/>
                <w:sz w:val="18"/>
                <w:szCs w:val="18"/>
                <w:lang w:eastAsia="de-DE"/>
              </w:rPr>
            </w:pPr>
            <w:r w:rsidRPr="00971822">
              <w:rPr>
                <w:rFonts w:eastAsia="SimSun" w:cs="Times New Roman"/>
                <w:b/>
                <w:bCs/>
                <w:sz w:val="18"/>
                <w:szCs w:val="18"/>
                <w:lang w:eastAsia="de-DE"/>
              </w:rPr>
              <w:t xml:space="preserve">Partikelgröße nach </w:t>
            </w:r>
            <w:r>
              <w:rPr>
                <w:rFonts w:eastAsia="SimSun" w:cs="Times New Roman"/>
                <w:b/>
                <w:bCs/>
                <w:sz w:val="18"/>
                <w:szCs w:val="18"/>
                <w:lang w:eastAsia="de-DE"/>
              </w:rPr>
              <w:t>Trocknen und Redispergieren</w:t>
            </w:r>
            <w:r w:rsidRPr="00971822">
              <w:rPr>
                <w:rFonts w:eastAsia="SimSun" w:cs="Times New Roman"/>
                <w:b/>
                <w:bCs/>
                <w:sz w:val="18"/>
                <w:szCs w:val="18"/>
                <w:lang w:eastAsia="de-DE"/>
              </w:rPr>
              <w:t xml:space="preserve"> / PDI</w:t>
            </w:r>
          </w:p>
        </w:tc>
      </w:tr>
      <w:tr w:rsidR="0065001B" w:rsidRPr="00BC5DCC" w14:paraId="1A2249E5" w14:textId="77777777" w:rsidTr="003A42DA">
        <w:trPr>
          <w:trHeight w:val="20"/>
          <w:jc w:val="center"/>
        </w:trPr>
        <w:tc>
          <w:tcPr>
            <w:tcW w:w="1136" w:type="dxa"/>
            <w:tcBorders>
              <w:top w:val="single" w:sz="8" w:space="0" w:color="000000"/>
              <w:left w:val="single" w:sz="8" w:space="0" w:color="000000"/>
              <w:bottom w:val="single" w:sz="4" w:space="0" w:color="000000"/>
              <w:right w:val="single" w:sz="4" w:space="0" w:color="000000"/>
            </w:tcBorders>
            <w:shd w:val="clear" w:color="auto" w:fill="FFFFFF"/>
            <w:vAlign w:val="center"/>
          </w:tcPr>
          <w:p w14:paraId="7D500CE8"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1</w:t>
            </w:r>
          </w:p>
          <w:p w14:paraId="030C21E9"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PEA 07</w:t>
            </w:r>
          </w:p>
        </w:tc>
        <w:tc>
          <w:tcPr>
            <w:tcW w:w="1134" w:type="dxa"/>
            <w:tcBorders>
              <w:top w:val="single" w:sz="8" w:space="0" w:color="000000"/>
              <w:left w:val="single" w:sz="4" w:space="0" w:color="000000"/>
              <w:bottom w:val="single" w:sz="4" w:space="0" w:color="000000"/>
              <w:right w:val="single" w:sz="4" w:space="0" w:color="000000"/>
            </w:tcBorders>
            <w:shd w:val="clear" w:color="auto" w:fill="FFFFFF"/>
            <w:tcMar>
              <w:top w:w="28" w:type="dxa"/>
              <w:left w:w="37" w:type="dxa"/>
              <w:bottom w:w="28" w:type="dxa"/>
              <w:right w:w="37" w:type="dxa"/>
            </w:tcMar>
            <w:vAlign w:val="center"/>
            <w:hideMark/>
          </w:tcPr>
          <w:p w14:paraId="037DA46A" w14:textId="77777777" w:rsidR="0065001B" w:rsidRPr="00971822" w:rsidRDefault="0065001B" w:rsidP="007B24FC">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2T EtAc : 1T Aceton</w:t>
            </w:r>
          </w:p>
        </w:tc>
        <w:tc>
          <w:tcPr>
            <w:tcW w:w="1559" w:type="dxa"/>
            <w:tcBorders>
              <w:top w:val="single" w:sz="8"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061935E7"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Doppelemulsion /</w:t>
            </w:r>
          </w:p>
          <w:p w14:paraId="10359CA7"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Wasser pH 7,</w:t>
            </w:r>
            <w:r w:rsidRPr="00971822">
              <w:rPr>
                <w:rFonts w:eastAsia="SimSun" w:cs="Times New Roman"/>
                <w:sz w:val="16"/>
                <w:szCs w:val="16"/>
                <w:lang w:eastAsia="de-DE"/>
              </w:rPr>
              <w:t>0</w:t>
            </w:r>
          </w:p>
        </w:tc>
        <w:tc>
          <w:tcPr>
            <w:tcW w:w="1133" w:type="dxa"/>
            <w:tcBorders>
              <w:top w:val="single" w:sz="8"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73C770A9"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0,</w:t>
            </w:r>
            <w:r w:rsidRPr="00971822">
              <w:rPr>
                <w:rFonts w:eastAsia="SimSun" w:cs="Times New Roman"/>
                <w:sz w:val="16"/>
                <w:szCs w:val="16"/>
                <w:lang w:eastAsia="de-DE"/>
              </w:rPr>
              <w:t>8</w:t>
            </w:r>
          </w:p>
        </w:tc>
        <w:tc>
          <w:tcPr>
            <w:tcW w:w="1843" w:type="dxa"/>
            <w:tcBorders>
              <w:top w:val="single" w:sz="8"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4539ECF8"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629 nm / 0,</w:t>
            </w:r>
            <w:r w:rsidRPr="00971822">
              <w:rPr>
                <w:rFonts w:eastAsia="SimSun" w:cs="Times New Roman"/>
                <w:sz w:val="16"/>
                <w:szCs w:val="16"/>
                <w:lang w:eastAsia="de-DE"/>
              </w:rPr>
              <w:t>379</w:t>
            </w:r>
          </w:p>
        </w:tc>
        <w:tc>
          <w:tcPr>
            <w:tcW w:w="1985" w:type="dxa"/>
            <w:tcBorders>
              <w:top w:val="single" w:sz="8" w:space="0" w:color="000000"/>
              <w:left w:val="single" w:sz="4" w:space="0" w:color="000000"/>
              <w:bottom w:val="single" w:sz="4" w:space="0" w:color="000000"/>
              <w:right w:val="single" w:sz="8" w:space="0" w:color="000000"/>
            </w:tcBorders>
            <w:shd w:val="clear" w:color="auto" w:fill="FFFFFF"/>
            <w:tcMar>
              <w:top w:w="72" w:type="dxa"/>
              <w:left w:w="144" w:type="dxa"/>
              <w:bottom w:w="72" w:type="dxa"/>
              <w:right w:w="144" w:type="dxa"/>
            </w:tcMar>
            <w:vAlign w:val="center"/>
            <w:hideMark/>
          </w:tcPr>
          <w:p w14:paraId="5A44BD62" w14:textId="77777777" w:rsidR="0065001B" w:rsidRPr="00971822" w:rsidRDefault="0065001B" w:rsidP="007B24FC">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 xml:space="preserve">630 nm (56%)      </w:t>
            </w:r>
            <w:r>
              <w:rPr>
                <w:rFonts w:eastAsia="SimSun" w:cs="Times New Roman"/>
                <w:sz w:val="16"/>
                <w:szCs w:val="16"/>
                <w:lang w:eastAsia="de-DE"/>
              </w:rPr>
              <w:t xml:space="preserve">     </w:t>
            </w:r>
            <w:r w:rsidRPr="00971822">
              <w:rPr>
                <w:rFonts w:eastAsia="SimSun" w:cs="Times New Roman"/>
                <w:sz w:val="16"/>
                <w:szCs w:val="16"/>
                <w:lang w:eastAsia="de-DE"/>
              </w:rPr>
              <w:t xml:space="preserve"> 3900 nm (40%)</w:t>
            </w:r>
          </w:p>
        </w:tc>
      </w:tr>
      <w:tr w:rsidR="0065001B" w:rsidRPr="00BC5DCC" w14:paraId="42685EDC" w14:textId="77777777" w:rsidTr="003A42DA">
        <w:trPr>
          <w:trHeight w:val="20"/>
          <w:jc w:val="center"/>
        </w:trPr>
        <w:tc>
          <w:tcPr>
            <w:tcW w:w="1136"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3079A23F"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2</w:t>
            </w:r>
          </w:p>
          <w:p w14:paraId="45520C60"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PEA 07</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28" w:type="dxa"/>
              <w:left w:w="37" w:type="dxa"/>
              <w:bottom w:w="28" w:type="dxa"/>
              <w:right w:w="37" w:type="dxa"/>
            </w:tcMar>
            <w:vAlign w:val="center"/>
            <w:hideMark/>
          </w:tcPr>
          <w:p w14:paraId="77B18F45" w14:textId="77777777" w:rsidR="0065001B" w:rsidRPr="00971822" w:rsidRDefault="0065001B" w:rsidP="007B24FC">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DCM</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71D24672"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Doppelemulsion /</w:t>
            </w:r>
          </w:p>
          <w:p w14:paraId="2AE57156"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PBS pH 5,</w:t>
            </w:r>
            <w:r w:rsidRPr="00971822">
              <w:rPr>
                <w:rFonts w:eastAsia="SimSun" w:cs="Times New Roman"/>
                <w:sz w:val="16"/>
                <w:szCs w:val="16"/>
                <w:lang w:eastAsia="de-DE"/>
              </w:rPr>
              <w:t>0</w:t>
            </w:r>
          </w:p>
        </w:tc>
        <w:tc>
          <w:tcPr>
            <w:tcW w:w="11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3F39B5B3"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0,</w:t>
            </w:r>
            <w:r w:rsidRPr="00971822">
              <w:rPr>
                <w:rFonts w:eastAsia="SimSun" w:cs="Times New Roman"/>
                <w:sz w:val="16"/>
                <w:szCs w:val="16"/>
                <w:lang w:eastAsia="de-DE"/>
              </w:rPr>
              <w:t>8</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23FC7C7B" w14:textId="77777777" w:rsidR="0065001B" w:rsidRPr="00971822" w:rsidRDefault="0065001B" w:rsidP="007B24FC">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167 nm (4%)              3255 nm (96%)</w:t>
            </w:r>
          </w:p>
        </w:tc>
        <w:tc>
          <w:tcPr>
            <w:tcW w:w="1985" w:type="dxa"/>
            <w:tcBorders>
              <w:top w:val="single" w:sz="4" w:space="0" w:color="000000"/>
              <w:left w:val="single" w:sz="4" w:space="0" w:color="000000"/>
              <w:bottom w:val="single" w:sz="4" w:space="0" w:color="000000"/>
              <w:right w:val="single" w:sz="8" w:space="0" w:color="000000"/>
            </w:tcBorders>
            <w:shd w:val="clear" w:color="auto" w:fill="FFFFFF"/>
            <w:tcMar>
              <w:top w:w="72" w:type="dxa"/>
              <w:left w:w="144" w:type="dxa"/>
              <w:bottom w:w="72" w:type="dxa"/>
              <w:right w:w="144" w:type="dxa"/>
            </w:tcMar>
            <w:vAlign w:val="center"/>
            <w:hideMark/>
          </w:tcPr>
          <w:p w14:paraId="2840361A" w14:textId="77777777" w:rsidR="0065001B" w:rsidRPr="00971822" w:rsidRDefault="0065001B" w:rsidP="007B24FC">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3</w:t>
            </w:r>
            <w:r>
              <w:rPr>
                <w:rFonts w:eastAsia="SimSun" w:cs="Times New Roman"/>
                <w:sz w:val="16"/>
                <w:szCs w:val="16"/>
                <w:lang w:eastAsia="de-DE"/>
              </w:rPr>
              <w:t>180 nm / 0,</w:t>
            </w:r>
            <w:r w:rsidRPr="00971822">
              <w:rPr>
                <w:rFonts w:eastAsia="SimSun" w:cs="Times New Roman"/>
                <w:sz w:val="16"/>
                <w:szCs w:val="16"/>
                <w:lang w:eastAsia="de-DE"/>
              </w:rPr>
              <w:t>874</w:t>
            </w:r>
          </w:p>
        </w:tc>
      </w:tr>
      <w:tr w:rsidR="0065001B" w:rsidRPr="00BC5DCC" w14:paraId="3D61FF4E" w14:textId="77777777" w:rsidTr="003A42DA">
        <w:trPr>
          <w:trHeight w:val="20"/>
          <w:jc w:val="center"/>
        </w:trPr>
        <w:tc>
          <w:tcPr>
            <w:tcW w:w="1136"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390BE87A"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3</w:t>
            </w:r>
          </w:p>
          <w:p w14:paraId="18E25FE6"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PEA 07</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28" w:type="dxa"/>
              <w:left w:w="37" w:type="dxa"/>
              <w:bottom w:w="28" w:type="dxa"/>
              <w:right w:w="37" w:type="dxa"/>
            </w:tcMar>
            <w:vAlign w:val="center"/>
            <w:hideMark/>
          </w:tcPr>
          <w:p w14:paraId="3F85AA49" w14:textId="77777777" w:rsidR="0065001B" w:rsidRPr="00971822" w:rsidRDefault="0065001B" w:rsidP="007B24FC">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DCM</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05E2810C"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Doppelemulsion /</w:t>
            </w:r>
          </w:p>
          <w:p w14:paraId="5D7D6A9F"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PBS pH 5,</w:t>
            </w:r>
            <w:r w:rsidRPr="00971822">
              <w:rPr>
                <w:rFonts w:eastAsia="SimSun" w:cs="Times New Roman"/>
                <w:sz w:val="16"/>
                <w:szCs w:val="16"/>
                <w:lang w:eastAsia="de-DE"/>
              </w:rPr>
              <w:t>0</w:t>
            </w:r>
          </w:p>
        </w:tc>
        <w:tc>
          <w:tcPr>
            <w:tcW w:w="11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2F70379F"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1,</w:t>
            </w:r>
            <w:r w:rsidRPr="00971822">
              <w:rPr>
                <w:rFonts w:eastAsia="SimSun" w:cs="Times New Roman"/>
                <w:sz w:val="16"/>
                <w:szCs w:val="16"/>
                <w:lang w:eastAsia="de-DE"/>
              </w:rPr>
              <w:t>5</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7F128AC7"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1630 nm / 0,</w:t>
            </w:r>
            <w:r w:rsidRPr="00971822">
              <w:rPr>
                <w:rFonts w:eastAsia="SimSun" w:cs="Times New Roman"/>
                <w:sz w:val="16"/>
                <w:szCs w:val="16"/>
                <w:lang w:eastAsia="de-DE"/>
              </w:rPr>
              <w:t>349</w:t>
            </w:r>
          </w:p>
        </w:tc>
        <w:tc>
          <w:tcPr>
            <w:tcW w:w="1985" w:type="dxa"/>
            <w:tcBorders>
              <w:top w:val="single" w:sz="4" w:space="0" w:color="000000"/>
              <w:left w:val="single" w:sz="4" w:space="0" w:color="000000"/>
              <w:bottom w:val="single" w:sz="4" w:space="0" w:color="000000"/>
              <w:right w:val="single" w:sz="8" w:space="0" w:color="000000"/>
            </w:tcBorders>
            <w:shd w:val="clear" w:color="auto" w:fill="FFFFFF"/>
            <w:tcMar>
              <w:top w:w="72" w:type="dxa"/>
              <w:left w:w="144" w:type="dxa"/>
              <w:bottom w:w="72" w:type="dxa"/>
              <w:right w:w="144" w:type="dxa"/>
            </w:tcMar>
            <w:vAlign w:val="center"/>
            <w:hideMark/>
          </w:tcPr>
          <w:p w14:paraId="0562E118"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1440 nm / 0,</w:t>
            </w:r>
            <w:r w:rsidRPr="00971822">
              <w:rPr>
                <w:rFonts w:eastAsia="SimSun" w:cs="Times New Roman"/>
                <w:sz w:val="16"/>
                <w:szCs w:val="16"/>
                <w:lang w:eastAsia="de-DE"/>
              </w:rPr>
              <w:t>317</w:t>
            </w:r>
          </w:p>
        </w:tc>
      </w:tr>
      <w:tr w:rsidR="0065001B" w:rsidRPr="00BC5DCC" w14:paraId="0EF005B4" w14:textId="77777777" w:rsidTr="003A42DA">
        <w:trPr>
          <w:trHeight w:val="20"/>
          <w:jc w:val="center"/>
        </w:trPr>
        <w:tc>
          <w:tcPr>
            <w:tcW w:w="1136"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738C25E7"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4</w:t>
            </w:r>
          </w:p>
          <w:p w14:paraId="62971590"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PEA 07</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28" w:type="dxa"/>
              <w:left w:w="37" w:type="dxa"/>
              <w:bottom w:w="28" w:type="dxa"/>
              <w:right w:w="37" w:type="dxa"/>
            </w:tcMar>
            <w:vAlign w:val="center"/>
            <w:hideMark/>
          </w:tcPr>
          <w:p w14:paraId="59231EE3" w14:textId="77777777" w:rsidR="0065001B" w:rsidRPr="00971822" w:rsidRDefault="0065001B" w:rsidP="007B24FC">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DCM</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3364C1AF"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Doppelemulsion /</w:t>
            </w:r>
          </w:p>
          <w:p w14:paraId="3B671A89"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PBS pH 3,</w:t>
            </w:r>
            <w:r w:rsidRPr="00971822">
              <w:rPr>
                <w:rFonts w:eastAsia="SimSun" w:cs="Times New Roman"/>
                <w:sz w:val="16"/>
                <w:szCs w:val="16"/>
                <w:lang w:eastAsia="de-DE"/>
              </w:rPr>
              <w:t>5</w:t>
            </w:r>
          </w:p>
        </w:tc>
        <w:tc>
          <w:tcPr>
            <w:tcW w:w="11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7D71C9F0"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2,</w:t>
            </w:r>
            <w:r w:rsidRPr="00971822">
              <w:rPr>
                <w:rFonts w:eastAsia="SimSun" w:cs="Times New Roman"/>
                <w:sz w:val="16"/>
                <w:szCs w:val="16"/>
                <w:lang w:eastAsia="de-DE"/>
              </w:rPr>
              <w:t>5% Pluronic F68</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115D0A08" w14:textId="77777777" w:rsidR="0065001B" w:rsidRPr="00971822" w:rsidRDefault="0065001B" w:rsidP="007B24FC">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74 nm (3%)</w:t>
            </w:r>
          </w:p>
          <w:p w14:paraId="3956828A" w14:textId="77777777" w:rsidR="0065001B" w:rsidRPr="00971822" w:rsidRDefault="0065001B" w:rsidP="007B24FC">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230 nm (27%)</w:t>
            </w:r>
          </w:p>
          <w:p w14:paraId="46DAB35C" w14:textId="77777777" w:rsidR="0065001B" w:rsidRPr="00971822" w:rsidRDefault="0065001B" w:rsidP="007B24FC">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1450 nm (70%)</w:t>
            </w:r>
          </w:p>
        </w:tc>
        <w:tc>
          <w:tcPr>
            <w:tcW w:w="1985" w:type="dxa"/>
            <w:tcBorders>
              <w:top w:val="single" w:sz="4" w:space="0" w:color="000000"/>
              <w:left w:val="single" w:sz="4" w:space="0" w:color="000000"/>
              <w:bottom w:val="single" w:sz="4" w:space="0" w:color="000000"/>
              <w:right w:val="single" w:sz="8" w:space="0" w:color="000000"/>
            </w:tcBorders>
            <w:shd w:val="clear" w:color="auto" w:fill="FFFFFF"/>
            <w:tcMar>
              <w:top w:w="72" w:type="dxa"/>
              <w:left w:w="144" w:type="dxa"/>
              <w:bottom w:w="72" w:type="dxa"/>
              <w:right w:w="144" w:type="dxa"/>
            </w:tcMar>
            <w:vAlign w:val="center"/>
            <w:hideMark/>
          </w:tcPr>
          <w:p w14:paraId="4F1FB859"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na.</w:t>
            </w:r>
          </w:p>
        </w:tc>
      </w:tr>
      <w:tr w:rsidR="0065001B" w:rsidRPr="00BC5DCC" w14:paraId="25BB1679" w14:textId="77777777" w:rsidTr="003A42DA">
        <w:trPr>
          <w:trHeight w:val="20"/>
          <w:jc w:val="center"/>
        </w:trPr>
        <w:tc>
          <w:tcPr>
            <w:tcW w:w="1136"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291775ED"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5</w:t>
            </w:r>
          </w:p>
          <w:p w14:paraId="0413CD08"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PEA 07</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06AD6DC6" w14:textId="77777777" w:rsidR="0065001B" w:rsidRPr="00971822" w:rsidRDefault="0065001B" w:rsidP="007B24FC">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DCM</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4658EB71"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Doppelemulsion /</w:t>
            </w:r>
          </w:p>
          <w:p w14:paraId="5C4D35D3"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PBS pH 3,</w:t>
            </w:r>
            <w:r w:rsidRPr="00971822">
              <w:rPr>
                <w:rFonts w:eastAsia="SimSun" w:cs="Times New Roman"/>
                <w:sz w:val="16"/>
                <w:szCs w:val="16"/>
                <w:lang w:eastAsia="de-DE"/>
              </w:rPr>
              <w:t>0</w:t>
            </w:r>
            <w:r>
              <w:rPr>
                <w:rFonts w:eastAsia="SimSun" w:cs="Times New Roman"/>
                <w:sz w:val="16"/>
                <w:szCs w:val="16"/>
                <w:lang w:eastAsia="de-DE"/>
              </w:rPr>
              <w:t xml:space="preserve"> /</w:t>
            </w:r>
          </w:p>
        </w:tc>
        <w:tc>
          <w:tcPr>
            <w:tcW w:w="11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1916CF73" w14:textId="77777777" w:rsidR="0065001B" w:rsidRPr="00971822" w:rsidRDefault="0065001B" w:rsidP="007B24FC">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0</w:t>
            </w:r>
            <w:r>
              <w:rPr>
                <w:rFonts w:eastAsia="SimSun" w:cs="Times New Roman"/>
                <w:sz w:val="16"/>
                <w:szCs w:val="16"/>
                <w:lang w:eastAsia="de-DE"/>
              </w:rPr>
              <w:t>,</w:t>
            </w:r>
            <w:r w:rsidRPr="00971822">
              <w:rPr>
                <w:rFonts w:eastAsia="SimSun" w:cs="Times New Roman"/>
                <w:sz w:val="16"/>
                <w:szCs w:val="16"/>
                <w:lang w:eastAsia="de-DE"/>
              </w:rPr>
              <w:t>8</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1B21228E"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2200 nm / 0,</w:t>
            </w:r>
            <w:r w:rsidRPr="00971822">
              <w:rPr>
                <w:rFonts w:eastAsia="SimSun" w:cs="Times New Roman"/>
                <w:sz w:val="16"/>
                <w:szCs w:val="16"/>
                <w:lang w:eastAsia="de-DE"/>
              </w:rPr>
              <w:t>253</w:t>
            </w:r>
          </w:p>
        </w:tc>
        <w:tc>
          <w:tcPr>
            <w:tcW w:w="1985" w:type="dxa"/>
            <w:tcBorders>
              <w:top w:val="single" w:sz="4" w:space="0" w:color="000000"/>
              <w:left w:val="single" w:sz="4" w:space="0" w:color="000000"/>
              <w:bottom w:val="single" w:sz="4" w:space="0" w:color="000000"/>
              <w:right w:val="single" w:sz="8" w:space="0" w:color="000000"/>
            </w:tcBorders>
            <w:shd w:val="clear" w:color="auto" w:fill="FFFFFF"/>
            <w:tcMar>
              <w:top w:w="72" w:type="dxa"/>
              <w:left w:w="144" w:type="dxa"/>
              <w:bottom w:w="72" w:type="dxa"/>
              <w:right w:w="144" w:type="dxa"/>
            </w:tcMar>
            <w:vAlign w:val="center"/>
            <w:hideMark/>
          </w:tcPr>
          <w:p w14:paraId="613768C4"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2700 nm / 0,</w:t>
            </w:r>
            <w:r w:rsidRPr="00971822">
              <w:rPr>
                <w:rFonts w:eastAsia="SimSun" w:cs="Times New Roman"/>
                <w:sz w:val="16"/>
                <w:szCs w:val="16"/>
                <w:lang w:eastAsia="de-DE"/>
              </w:rPr>
              <w:t>331</w:t>
            </w:r>
          </w:p>
        </w:tc>
      </w:tr>
      <w:tr w:rsidR="0065001B" w:rsidRPr="00BC5DCC" w14:paraId="5B238586" w14:textId="77777777" w:rsidTr="003A42DA">
        <w:trPr>
          <w:trHeight w:val="20"/>
          <w:jc w:val="center"/>
        </w:trPr>
        <w:tc>
          <w:tcPr>
            <w:tcW w:w="1136"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1559EFAF"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6</w:t>
            </w:r>
          </w:p>
          <w:p w14:paraId="364CCA3E"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PEA 07</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28" w:type="dxa"/>
              <w:left w:w="37" w:type="dxa"/>
              <w:bottom w:w="28" w:type="dxa"/>
              <w:right w:w="37" w:type="dxa"/>
            </w:tcMar>
            <w:vAlign w:val="center"/>
            <w:hideMark/>
          </w:tcPr>
          <w:p w14:paraId="3AF772CF" w14:textId="77777777" w:rsidR="0065001B" w:rsidRPr="00971822" w:rsidRDefault="0065001B" w:rsidP="007B24FC">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DCM</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41FC3136"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Doppelemulsion / Wasser pH 7,</w:t>
            </w:r>
            <w:r w:rsidRPr="00971822">
              <w:rPr>
                <w:rFonts w:eastAsia="SimSun" w:cs="Times New Roman"/>
                <w:sz w:val="16"/>
                <w:szCs w:val="16"/>
                <w:lang w:eastAsia="de-DE"/>
              </w:rPr>
              <w:t>0</w:t>
            </w:r>
          </w:p>
        </w:tc>
        <w:tc>
          <w:tcPr>
            <w:tcW w:w="11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02F8BF6F"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1,</w:t>
            </w:r>
            <w:r w:rsidRPr="00971822">
              <w:rPr>
                <w:rFonts w:eastAsia="SimSun" w:cs="Times New Roman"/>
                <w:sz w:val="16"/>
                <w:szCs w:val="16"/>
                <w:lang w:eastAsia="de-DE"/>
              </w:rPr>
              <w:t>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1BD4BE7F" w14:textId="77777777" w:rsidR="0065001B" w:rsidRPr="00971822" w:rsidRDefault="0065001B" w:rsidP="007B24FC">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162 nm (13%)            2000 nm (87%)</w:t>
            </w:r>
          </w:p>
        </w:tc>
        <w:tc>
          <w:tcPr>
            <w:tcW w:w="1985" w:type="dxa"/>
            <w:tcBorders>
              <w:top w:val="single" w:sz="4" w:space="0" w:color="000000"/>
              <w:left w:val="single" w:sz="4" w:space="0" w:color="000000"/>
              <w:bottom w:val="single" w:sz="4" w:space="0" w:color="000000"/>
              <w:right w:val="single" w:sz="8" w:space="0" w:color="000000"/>
            </w:tcBorders>
            <w:shd w:val="clear" w:color="auto" w:fill="FFFFFF"/>
            <w:tcMar>
              <w:top w:w="72" w:type="dxa"/>
              <w:left w:w="144" w:type="dxa"/>
              <w:bottom w:w="72" w:type="dxa"/>
              <w:right w:w="144" w:type="dxa"/>
            </w:tcMar>
            <w:vAlign w:val="center"/>
            <w:hideMark/>
          </w:tcPr>
          <w:p w14:paraId="4B9CD851"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2210 nm / 0,</w:t>
            </w:r>
            <w:r w:rsidRPr="00971822">
              <w:rPr>
                <w:rFonts w:eastAsia="SimSun" w:cs="Times New Roman"/>
                <w:sz w:val="16"/>
                <w:szCs w:val="16"/>
                <w:lang w:eastAsia="de-DE"/>
              </w:rPr>
              <w:t>206</w:t>
            </w:r>
          </w:p>
        </w:tc>
      </w:tr>
      <w:tr w:rsidR="0065001B" w:rsidRPr="00BC5DCC" w14:paraId="22434CE0" w14:textId="77777777" w:rsidTr="003A42DA">
        <w:trPr>
          <w:trHeight w:val="20"/>
          <w:jc w:val="center"/>
        </w:trPr>
        <w:tc>
          <w:tcPr>
            <w:tcW w:w="1136"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7CC6474F"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7</w:t>
            </w:r>
          </w:p>
          <w:p w14:paraId="5DAA9589"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PEA 07</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28" w:type="dxa"/>
              <w:left w:w="37" w:type="dxa"/>
              <w:bottom w:w="28" w:type="dxa"/>
              <w:right w:w="37" w:type="dxa"/>
            </w:tcMar>
            <w:vAlign w:val="center"/>
            <w:hideMark/>
          </w:tcPr>
          <w:p w14:paraId="7437A213" w14:textId="77777777" w:rsidR="0065001B" w:rsidRPr="00971822" w:rsidRDefault="0065001B" w:rsidP="007B24FC">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Aceton</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1551B608"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Nanopräzipitation /</w:t>
            </w:r>
          </w:p>
          <w:p w14:paraId="7AC0FF95"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Wasser pH 7,0</w:t>
            </w:r>
          </w:p>
        </w:tc>
        <w:tc>
          <w:tcPr>
            <w:tcW w:w="11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5919FD8D"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1,</w:t>
            </w:r>
            <w:r w:rsidRPr="00971822">
              <w:rPr>
                <w:rFonts w:eastAsia="SimSun" w:cs="Times New Roman"/>
                <w:sz w:val="16"/>
                <w:szCs w:val="16"/>
                <w:lang w:eastAsia="de-DE"/>
              </w:rPr>
              <w:t>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5520DEF7"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225 nm / 0,</w:t>
            </w:r>
            <w:r w:rsidRPr="00971822">
              <w:rPr>
                <w:rFonts w:eastAsia="SimSun" w:cs="Times New Roman"/>
                <w:sz w:val="16"/>
                <w:szCs w:val="16"/>
                <w:lang w:eastAsia="de-DE"/>
              </w:rPr>
              <w:t>007</w:t>
            </w:r>
          </w:p>
        </w:tc>
        <w:tc>
          <w:tcPr>
            <w:tcW w:w="1985" w:type="dxa"/>
            <w:tcBorders>
              <w:top w:val="single" w:sz="4" w:space="0" w:color="000000"/>
              <w:left w:val="single" w:sz="4" w:space="0" w:color="000000"/>
              <w:bottom w:val="single" w:sz="4" w:space="0" w:color="000000"/>
              <w:right w:val="single" w:sz="8" w:space="0" w:color="000000"/>
            </w:tcBorders>
            <w:shd w:val="clear" w:color="auto" w:fill="FFFFFF"/>
            <w:tcMar>
              <w:top w:w="72" w:type="dxa"/>
              <w:left w:w="144" w:type="dxa"/>
              <w:bottom w:w="72" w:type="dxa"/>
              <w:right w:w="144" w:type="dxa"/>
            </w:tcMar>
            <w:vAlign w:val="center"/>
            <w:hideMark/>
          </w:tcPr>
          <w:p w14:paraId="69169447"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164 nm / 0,</w:t>
            </w:r>
            <w:r w:rsidRPr="00971822">
              <w:rPr>
                <w:rFonts w:eastAsia="SimSun" w:cs="Times New Roman"/>
                <w:sz w:val="16"/>
                <w:szCs w:val="16"/>
                <w:lang w:eastAsia="de-DE"/>
              </w:rPr>
              <w:t>073</w:t>
            </w:r>
          </w:p>
        </w:tc>
      </w:tr>
      <w:tr w:rsidR="0065001B" w:rsidRPr="00BC5DCC" w14:paraId="78331FD4" w14:textId="77777777" w:rsidTr="003A42DA">
        <w:trPr>
          <w:trHeight w:val="20"/>
          <w:jc w:val="center"/>
        </w:trPr>
        <w:tc>
          <w:tcPr>
            <w:tcW w:w="1136"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0AE8E221"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8</w:t>
            </w:r>
          </w:p>
          <w:p w14:paraId="2337BAAC" w14:textId="77777777" w:rsidR="0065001B" w:rsidRPr="00D403D0"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PEA 09</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28" w:type="dxa"/>
              <w:left w:w="37" w:type="dxa"/>
              <w:bottom w:w="28" w:type="dxa"/>
              <w:right w:w="37" w:type="dxa"/>
            </w:tcMar>
            <w:vAlign w:val="center"/>
          </w:tcPr>
          <w:p w14:paraId="2C01122E" w14:textId="77777777" w:rsidR="0065001B" w:rsidRPr="00971822" w:rsidRDefault="0065001B" w:rsidP="007B24FC">
            <w:pPr>
              <w:spacing w:after="0" w:line="240" w:lineRule="auto"/>
              <w:jc w:val="center"/>
              <w:rPr>
                <w:rFonts w:eastAsia="SimSun" w:cs="Times New Roman"/>
                <w:sz w:val="16"/>
                <w:szCs w:val="16"/>
                <w:lang w:eastAsia="de-DE"/>
              </w:rPr>
            </w:pPr>
            <w:r w:rsidRPr="00D403D0">
              <w:rPr>
                <w:rFonts w:eastAsia="SimSun" w:cs="Times New Roman"/>
                <w:sz w:val="16"/>
                <w:szCs w:val="16"/>
                <w:lang w:eastAsia="de-DE"/>
              </w:rPr>
              <w:t>3T EtAc : 1T DCM</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tcPr>
          <w:p w14:paraId="4023434E"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Doppelemulsion /</w:t>
            </w:r>
          </w:p>
          <w:p w14:paraId="23D9E3F3"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Wasser pH 7,0</w:t>
            </w:r>
          </w:p>
        </w:tc>
        <w:tc>
          <w:tcPr>
            <w:tcW w:w="11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tcPr>
          <w:p w14:paraId="790AA83B"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0,8</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tcPr>
          <w:p w14:paraId="28E4E02A"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392 nm / 0,150</w:t>
            </w:r>
          </w:p>
        </w:tc>
        <w:tc>
          <w:tcPr>
            <w:tcW w:w="1985" w:type="dxa"/>
            <w:tcBorders>
              <w:top w:val="single" w:sz="4" w:space="0" w:color="000000"/>
              <w:left w:val="single" w:sz="4" w:space="0" w:color="000000"/>
              <w:bottom w:val="single" w:sz="4" w:space="0" w:color="000000"/>
              <w:right w:val="single" w:sz="8" w:space="0" w:color="000000"/>
            </w:tcBorders>
            <w:shd w:val="clear" w:color="auto" w:fill="FFFFFF"/>
            <w:tcMar>
              <w:top w:w="72" w:type="dxa"/>
              <w:left w:w="144" w:type="dxa"/>
              <w:bottom w:w="72" w:type="dxa"/>
              <w:right w:w="144" w:type="dxa"/>
            </w:tcMar>
            <w:vAlign w:val="center"/>
          </w:tcPr>
          <w:p w14:paraId="6F786121"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509 nm / 0,370</w:t>
            </w:r>
          </w:p>
        </w:tc>
      </w:tr>
      <w:tr w:rsidR="0065001B" w:rsidRPr="00BC5DCC" w14:paraId="5CC332A9" w14:textId="77777777" w:rsidTr="003A42DA">
        <w:trPr>
          <w:trHeight w:val="20"/>
          <w:jc w:val="center"/>
        </w:trPr>
        <w:tc>
          <w:tcPr>
            <w:tcW w:w="1136"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5C58F722"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9</w:t>
            </w:r>
          </w:p>
          <w:p w14:paraId="5C0DBB93"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PEA 10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28" w:type="dxa"/>
              <w:left w:w="37" w:type="dxa"/>
              <w:bottom w:w="28" w:type="dxa"/>
              <w:right w:w="37" w:type="dxa"/>
            </w:tcMar>
            <w:vAlign w:val="center"/>
          </w:tcPr>
          <w:p w14:paraId="15E1E9A5"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2T EtAc : 1T DCM</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tcPr>
          <w:p w14:paraId="16CD205B"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Doppelemulsion /</w:t>
            </w:r>
          </w:p>
          <w:p w14:paraId="565F0C7D"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Wasser pH 7,0</w:t>
            </w:r>
          </w:p>
        </w:tc>
        <w:tc>
          <w:tcPr>
            <w:tcW w:w="113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tcPr>
          <w:p w14:paraId="176EF18D"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0,8</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tcPr>
          <w:p w14:paraId="16357568"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489 nm / 0,25</w:t>
            </w:r>
          </w:p>
        </w:tc>
        <w:tc>
          <w:tcPr>
            <w:tcW w:w="1985" w:type="dxa"/>
            <w:tcBorders>
              <w:top w:val="single" w:sz="4" w:space="0" w:color="000000"/>
              <w:left w:val="single" w:sz="4" w:space="0" w:color="000000"/>
              <w:bottom w:val="single" w:sz="4" w:space="0" w:color="000000"/>
              <w:right w:val="single" w:sz="8" w:space="0" w:color="000000"/>
            </w:tcBorders>
            <w:shd w:val="clear" w:color="auto" w:fill="FFFFFF"/>
            <w:tcMar>
              <w:top w:w="72" w:type="dxa"/>
              <w:left w:w="144" w:type="dxa"/>
              <w:bottom w:w="72" w:type="dxa"/>
              <w:right w:w="144" w:type="dxa"/>
            </w:tcMar>
            <w:vAlign w:val="center"/>
          </w:tcPr>
          <w:p w14:paraId="1BE5DFB0" w14:textId="77777777" w:rsidR="0065001B" w:rsidRPr="00971822"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607 nm / 0,326</w:t>
            </w:r>
          </w:p>
        </w:tc>
      </w:tr>
      <w:tr w:rsidR="0065001B" w:rsidRPr="00BC5DCC" w14:paraId="7D6D55A9" w14:textId="77777777" w:rsidTr="003A42DA">
        <w:trPr>
          <w:trHeight w:val="20"/>
          <w:jc w:val="center"/>
        </w:trPr>
        <w:tc>
          <w:tcPr>
            <w:tcW w:w="1136" w:type="dxa"/>
            <w:tcBorders>
              <w:top w:val="single" w:sz="4" w:space="0" w:color="000000"/>
              <w:left w:val="single" w:sz="8" w:space="0" w:color="000000"/>
              <w:bottom w:val="single" w:sz="8" w:space="0" w:color="000000"/>
              <w:right w:val="single" w:sz="4" w:space="0" w:color="000000"/>
            </w:tcBorders>
            <w:shd w:val="clear" w:color="auto" w:fill="FFFFFF"/>
            <w:vAlign w:val="center"/>
          </w:tcPr>
          <w:p w14:paraId="477B616C"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10</w:t>
            </w:r>
          </w:p>
          <w:p w14:paraId="635558E1"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PEA 10</w:t>
            </w:r>
          </w:p>
        </w:tc>
        <w:tc>
          <w:tcPr>
            <w:tcW w:w="1134" w:type="dxa"/>
            <w:tcBorders>
              <w:top w:val="single" w:sz="4" w:space="0" w:color="000000"/>
              <w:left w:val="single" w:sz="4" w:space="0" w:color="000000"/>
              <w:bottom w:val="single" w:sz="8" w:space="0" w:color="000000"/>
              <w:right w:val="single" w:sz="4" w:space="0" w:color="000000"/>
            </w:tcBorders>
            <w:shd w:val="clear" w:color="auto" w:fill="FFFFFF"/>
            <w:tcMar>
              <w:top w:w="28" w:type="dxa"/>
              <w:left w:w="37" w:type="dxa"/>
              <w:bottom w:w="28" w:type="dxa"/>
              <w:right w:w="37" w:type="dxa"/>
            </w:tcMar>
            <w:vAlign w:val="center"/>
          </w:tcPr>
          <w:p w14:paraId="5C3F981D"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2T EtAc : 1T DCM</w:t>
            </w:r>
          </w:p>
        </w:tc>
        <w:tc>
          <w:tcPr>
            <w:tcW w:w="1559" w:type="dxa"/>
            <w:tcBorders>
              <w:top w:val="single" w:sz="4" w:space="0" w:color="000000"/>
              <w:left w:val="single" w:sz="4" w:space="0" w:color="000000"/>
              <w:bottom w:val="single" w:sz="8" w:space="0" w:color="000000"/>
              <w:right w:val="single" w:sz="4" w:space="0" w:color="000000"/>
            </w:tcBorders>
            <w:shd w:val="clear" w:color="auto" w:fill="FFFFFF"/>
            <w:tcMar>
              <w:top w:w="72" w:type="dxa"/>
              <w:left w:w="144" w:type="dxa"/>
              <w:bottom w:w="72" w:type="dxa"/>
              <w:right w:w="144" w:type="dxa"/>
            </w:tcMar>
            <w:vAlign w:val="center"/>
          </w:tcPr>
          <w:p w14:paraId="0EBB6B5A"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Doppelemulsion /</w:t>
            </w:r>
          </w:p>
          <w:p w14:paraId="471214DE"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Wasser pH 7,0</w:t>
            </w:r>
          </w:p>
        </w:tc>
        <w:tc>
          <w:tcPr>
            <w:tcW w:w="1133" w:type="dxa"/>
            <w:tcBorders>
              <w:top w:val="single" w:sz="4" w:space="0" w:color="000000"/>
              <w:left w:val="single" w:sz="4" w:space="0" w:color="000000"/>
              <w:bottom w:val="single" w:sz="8" w:space="0" w:color="000000"/>
              <w:right w:val="single" w:sz="4" w:space="0" w:color="000000"/>
            </w:tcBorders>
            <w:shd w:val="clear" w:color="auto" w:fill="FFFFFF"/>
            <w:tcMar>
              <w:top w:w="72" w:type="dxa"/>
              <w:left w:w="144" w:type="dxa"/>
              <w:bottom w:w="72" w:type="dxa"/>
              <w:right w:w="144" w:type="dxa"/>
            </w:tcMar>
            <w:vAlign w:val="center"/>
          </w:tcPr>
          <w:p w14:paraId="1BB752D4"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0,8</w:t>
            </w:r>
          </w:p>
        </w:tc>
        <w:tc>
          <w:tcPr>
            <w:tcW w:w="1843" w:type="dxa"/>
            <w:tcBorders>
              <w:top w:val="single" w:sz="4" w:space="0" w:color="000000"/>
              <w:left w:val="single" w:sz="4" w:space="0" w:color="000000"/>
              <w:bottom w:val="single" w:sz="8" w:space="0" w:color="000000"/>
              <w:right w:val="single" w:sz="4" w:space="0" w:color="000000"/>
            </w:tcBorders>
            <w:shd w:val="clear" w:color="auto" w:fill="FFFFFF"/>
            <w:tcMar>
              <w:top w:w="72" w:type="dxa"/>
              <w:left w:w="144" w:type="dxa"/>
              <w:bottom w:w="72" w:type="dxa"/>
              <w:right w:w="144" w:type="dxa"/>
            </w:tcMar>
            <w:vAlign w:val="center"/>
          </w:tcPr>
          <w:p w14:paraId="62F1621C"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457 nm / 0,126</w:t>
            </w:r>
          </w:p>
        </w:tc>
        <w:tc>
          <w:tcPr>
            <w:tcW w:w="1985" w:type="dxa"/>
            <w:tcBorders>
              <w:top w:val="single" w:sz="4" w:space="0" w:color="000000"/>
              <w:left w:val="single" w:sz="4"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14DB6DE" w14:textId="77777777" w:rsidR="0065001B" w:rsidRDefault="0065001B" w:rsidP="007B24FC">
            <w:pPr>
              <w:spacing w:after="0" w:line="240" w:lineRule="auto"/>
              <w:jc w:val="center"/>
              <w:rPr>
                <w:rFonts w:eastAsia="SimSun" w:cs="Times New Roman"/>
                <w:sz w:val="16"/>
                <w:szCs w:val="16"/>
                <w:lang w:eastAsia="de-DE"/>
              </w:rPr>
            </w:pPr>
            <w:r>
              <w:rPr>
                <w:rFonts w:eastAsia="SimSun" w:cs="Times New Roman"/>
                <w:sz w:val="16"/>
                <w:szCs w:val="16"/>
                <w:lang w:eastAsia="de-DE"/>
              </w:rPr>
              <w:t>509 nm / 0,259</w:t>
            </w:r>
          </w:p>
        </w:tc>
      </w:tr>
    </w:tbl>
    <w:p w14:paraId="667C2DA0" w14:textId="77777777" w:rsidR="0065001B" w:rsidRDefault="0065001B" w:rsidP="00F14BF3"/>
    <w:p w14:paraId="44EF4F6E" w14:textId="77777777" w:rsidR="00F14BF3" w:rsidRPr="00F14BF3" w:rsidRDefault="00F14BF3" w:rsidP="00F14BF3">
      <w:r w:rsidRPr="00F14BF3">
        <w:t>Aufgrund der g</w:t>
      </w:r>
      <w:r w:rsidR="00316AC2">
        <w:t xml:space="preserve">eringen Löslichkeit der Cystein </w:t>
      </w:r>
      <w:r w:rsidRPr="00F14BF3">
        <w:t>PEA Polymere in Ethylacetat-Ac</w:t>
      </w:r>
      <w:r w:rsidR="00316AC2">
        <w:t>eton-</w:t>
      </w:r>
      <w:r>
        <w:t xml:space="preserve">Mischungen (siehe </w:t>
      </w:r>
      <w:r w:rsidR="00D16240">
        <w:fldChar w:fldCharType="begin"/>
      </w:r>
      <w:r>
        <w:instrText xml:space="preserve"> REF _Ref273895395 \h </w:instrText>
      </w:r>
      <w:r w:rsidR="00D16240">
        <w:fldChar w:fldCharType="separate"/>
      </w:r>
      <w:r w:rsidR="00711AB8" w:rsidRPr="00A70C82">
        <w:t xml:space="preserve">Tabelle </w:t>
      </w:r>
      <w:r w:rsidR="00711AB8">
        <w:rPr>
          <w:noProof/>
        </w:rPr>
        <w:t>16</w:t>
      </w:r>
      <w:r w:rsidR="00D16240">
        <w:fldChar w:fldCharType="end"/>
      </w:r>
      <w:r w:rsidR="00F7074C">
        <w:t xml:space="preserve"> in Abschnitt </w:t>
      </w:r>
      <w:r w:rsidR="00D16240">
        <w:fldChar w:fldCharType="begin"/>
      </w:r>
      <w:r w:rsidR="00F7074C">
        <w:instrText xml:space="preserve"> REF _Ref402276749 \n \h </w:instrText>
      </w:r>
      <w:r w:rsidR="00D16240">
        <w:fldChar w:fldCharType="separate"/>
      </w:r>
      <w:r w:rsidR="00711AB8">
        <w:t>4.3.1</w:t>
      </w:r>
      <w:r w:rsidR="00D16240">
        <w:fldChar w:fldCharType="end"/>
      </w:r>
      <w:r w:rsidR="00906DB9">
        <w:t>)</w:t>
      </w:r>
      <w:r w:rsidRPr="00F14BF3">
        <w:t xml:space="preserve"> wurde als Lösungsmittel zur Durchführung der Doppelemulsionsmethode </w:t>
      </w:r>
      <w:r>
        <w:t xml:space="preserve">zunächst reines </w:t>
      </w:r>
      <w:r w:rsidRPr="00F14BF3">
        <w:t>Dichlormethan</w:t>
      </w:r>
      <w:r>
        <w:t xml:space="preserve"> (DCM)</w:t>
      </w:r>
      <w:r w:rsidRPr="00F14BF3">
        <w:t xml:space="preserve"> verwendet.</w:t>
      </w:r>
      <w:r>
        <w:t xml:space="preserve"> Bis auf die verwendeten Lösungsmittel erfolgte die Versuchsdurchfü</w:t>
      </w:r>
      <w:r w:rsidR="00316AC2">
        <w:t>hrung analog zum Asparaginsäure-</w:t>
      </w:r>
      <w:r>
        <w:t>Typ. Als wässrige äußere Phase (W</w:t>
      </w:r>
      <w:r>
        <w:rPr>
          <w:vertAlign w:val="subscript"/>
        </w:rPr>
        <w:t>2</w:t>
      </w:r>
      <w:r>
        <w:t>) wurden unterschiedliche PBS Puffer und reines destilliertes Wasser verwendet.</w:t>
      </w:r>
    </w:p>
    <w:p w14:paraId="2BC715EA" w14:textId="77777777" w:rsidR="00461376" w:rsidRDefault="00F14BF3" w:rsidP="00F14BF3">
      <w:r>
        <w:t>Bei</w:t>
      </w:r>
      <w:r w:rsidRPr="00F14BF3">
        <w:t xml:space="preserve"> der Doppelemulsionsmethode</w:t>
      </w:r>
      <w:r>
        <w:t xml:space="preserve"> mit DCM </w:t>
      </w:r>
      <w:r w:rsidR="00BA4E15">
        <w:t>(Versuche 2-6</w:t>
      </w:r>
      <w:r w:rsidR="0065001B">
        <w:t xml:space="preserve"> in </w:t>
      </w:r>
      <w:r w:rsidR="00D16240">
        <w:fldChar w:fldCharType="begin"/>
      </w:r>
      <w:r w:rsidR="0065001B">
        <w:instrText xml:space="preserve"> REF _Ref402278387 \h </w:instrText>
      </w:r>
      <w:r w:rsidR="00D16240">
        <w:fldChar w:fldCharType="separate"/>
      </w:r>
      <w:r w:rsidR="00711AB8" w:rsidRPr="0065001B">
        <w:t xml:space="preserve">Tabelle </w:t>
      </w:r>
      <w:r w:rsidR="00711AB8">
        <w:rPr>
          <w:noProof/>
        </w:rPr>
        <w:t>20</w:t>
      </w:r>
      <w:r w:rsidR="00D16240">
        <w:fldChar w:fldCharType="end"/>
      </w:r>
      <w:r w:rsidR="00AE4ED5">
        <w:t xml:space="preserve">) </w:t>
      </w:r>
      <w:r>
        <w:t>konnten</w:t>
      </w:r>
      <w:r w:rsidRPr="00F14BF3">
        <w:t xml:space="preserve"> die gewünschten Ziele bezüglich Partikelgröße und Partikelgrößenver</w:t>
      </w:r>
      <w:r>
        <w:t xml:space="preserve">teilung </w:t>
      </w:r>
      <w:r w:rsidR="002C1925">
        <w:t xml:space="preserve">jedoch </w:t>
      </w:r>
      <w:r>
        <w:t xml:space="preserve">nicht erreicht </w:t>
      </w:r>
      <w:r>
        <w:lastRenderedPageBreak/>
        <w:t xml:space="preserve">werden. </w:t>
      </w:r>
      <w:r w:rsidR="00461376">
        <w:t>Die Partikelgrößenverteilung war</w:t>
      </w:r>
      <w:r w:rsidR="0057015B">
        <w:t xml:space="preserve"> nicht monomo</w:t>
      </w:r>
      <w:r w:rsidR="00461376">
        <w:t>dal, es entstanden unabhängig von Art und Menge des</w:t>
      </w:r>
      <w:r w:rsidR="0057015B">
        <w:t xml:space="preserve"> Stabilisator</w:t>
      </w:r>
      <w:r w:rsidR="00461376">
        <w:t>s</w:t>
      </w:r>
      <w:r w:rsidR="0057015B">
        <w:t xml:space="preserve"> imm</w:t>
      </w:r>
      <w:r w:rsidR="002C1925">
        <w:t>er große Partikel im Bereich zwischen</w:t>
      </w:r>
      <w:r w:rsidR="0057015B">
        <w:t xml:space="preserve"> 1,4 µm und 3,3 µm. </w:t>
      </w:r>
      <w:r w:rsidR="00461376">
        <w:t>Die Verwendung von Pluronic F68</w:t>
      </w:r>
      <w:r w:rsidR="005E1C3E">
        <w:t xml:space="preserve"> statt PVA</w:t>
      </w:r>
      <w:r w:rsidR="00461376">
        <w:t xml:space="preserve"> (Versu</w:t>
      </w:r>
      <w:r w:rsidR="001D367F">
        <w:t xml:space="preserve">ch Nr. 3) brachte </w:t>
      </w:r>
      <w:r w:rsidR="0065001B">
        <w:t xml:space="preserve">diesbezüglich </w:t>
      </w:r>
      <w:r w:rsidR="001D367F">
        <w:t>keine Verbesserung.</w:t>
      </w:r>
    </w:p>
    <w:p w14:paraId="0FA07B84" w14:textId="77777777" w:rsidR="00461376" w:rsidRDefault="00AE4ED5" w:rsidP="00F14BF3">
      <w:r>
        <w:t>Da das</w:t>
      </w:r>
      <w:r w:rsidR="0065001B">
        <w:t xml:space="preserve"> Cystein PEA</w:t>
      </w:r>
      <w:r>
        <w:t xml:space="preserve"> Polyme</w:t>
      </w:r>
      <w:r w:rsidR="001D367F">
        <w:t>r freie Thiolgruppen trägt, wäre</w:t>
      </w:r>
      <w:r w:rsidR="00461376">
        <w:t xml:space="preserve"> </w:t>
      </w:r>
      <w:r w:rsidR="0065001B">
        <w:t xml:space="preserve">unter entsprechenden Reaktionsbedingungen </w:t>
      </w:r>
      <w:r w:rsidR="00461376">
        <w:t xml:space="preserve">eine Bildung von Disulfidbrücken zwischen den Partikeln </w:t>
      </w:r>
      <w:r w:rsidR="007C3B4F">
        <w:t xml:space="preserve">durch Oxidation </w:t>
      </w:r>
      <w:r w:rsidR="001D367F">
        <w:t>denkbar. Dies wäre eine mögliche Erklärung für die</w:t>
      </w:r>
      <w:r w:rsidR="00461376">
        <w:t xml:space="preserve"> A</w:t>
      </w:r>
      <w:r w:rsidR="001D367F">
        <w:t>ggregation der Partikel</w:t>
      </w:r>
      <w:r>
        <w:t>. Da diese Oxidationsreaktion basenkatalysiert abläuft und durch Protonen gehemmt wird, wurde die Partikelherstellung im saur</w:t>
      </w:r>
      <w:r w:rsidR="00461376">
        <w:t>en Milieu getestet. Jedoch war</w:t>
      </w:r>
      <w:r>
        <w:t xml:space="preserve"> a</w:t>
      </w:r>
      <w:r w:rsidR="00F14BF3">
        <w:t>uch die Durchführung der Versuche in PBS Puffern mit unterschiedlichen pH Werten zwischen 3,0 und 7,0</w:t>
      </w:r>
      <w:r w:rsidR="00F14BF3" w:rsidRPr="00F14BF3">
        <w:t xml:space="preserve"> </w:t>
      </w:r>
      <w:r>
        <w:t>nicht zielführend</w:t>
      </w:r>
      <w:r w:rsidR="002C1925">
        <w:t xml:space="preserve"> (Versuche 2-5 in</w:t>
      </w:r>
      <w:r w:rsidR="000E60F9">
        <w:t xml:space="preserve"> </w:t>
      </w:r>
      <w:r w:rsidR="00D16240">
        <w:fldChar w:fldCharType="begin"/>
      </w:r>
      <w:r w:rsidR="000E60F9">
        <w:instrText xml:space="preserve"> REF _Ref402278387 \h </w:instrText>
      </w:r>
      <w:r w:rsidR="00D16240">
        <w:fldChar w:fldCharType="separate"/>
      </w:r>
      <w:r w:rsidR="00711AB8" w:rsidRPr="0065001B">
        <w:t xml:space="preserve">Tabelle </w:t>
      </w:r>
      <w:r w:rsidR="00711AB8">
        <w:rPr>
          <w:noProof/>
        </w:rPr>
        <w:t>20</w:t>
      </w:r>
      <w:r w:rsidR="00D16240">
        <w:fldChar w:fldCharType="end"/>
      </w:r>
      <w:r w:rsidR="002C1925">
        <w:t>)</w:t>
      </w:r>
      <w:r>
        <w:t>.</w:t>
      </w:r>
    </w:p>
    <w:p w14:paraId="1AAF31B3" w14:textId="77777777" w:rsidR="00F14BF3" w:rsidRDefault="00461376" w:rsidP="00F14BF3">
      <w:r>
        <w:t>Die Erhöhung der Rotationsgeschwindigkei</w:t>
      </w:r>
      <w:r w:rsidR="002C1925">
        <w:t>t des Ultra-Turrax auf 16.000 Up</w:t>
      </w:r>
      <w:r>
        <w:t xml:space="preserve">M führte offensichtlich </w:t>
      </w:r>
      <w:r w:rsidR="005E1C3E">
        <w:t>aufgrund der stärkeren m</w:t>
      </w:r>
      <w:r w:rsidR="002C1925">
        <w:t>echanischen Belastung und Erwärmung</w:t>
      </w:r>
      <w:r>
        <w:t xml:space="preserve"> der Probe zu einer grobflockigen Ausfällung und Aggregation des Polymers. Aus diesem G</w:t>
      </w:r>
      <w:r w:rsidR="002C1925">
        <w:t xml:space="preserve">rund wurde </w:t>
      </w:r>
      <w:r w:rsidR="00DF0223">
        <w:t>die Rotationsgeschwindigkeit bei den folgenden Versuchen auf maximal</w:t>
      </w:r>
      <w:r w:rsidR="002C1925">
        <w:t xml:space="preserve"> 12.000 Up</w:t>
      </w:r>
      <w:r w:rsidR="00DF0223">
        <w:t>M reduziert</w:t>
      </w:r>
      <w:r>
        <w:t>.</w:t>
      </w:r>
    </w:p>
    <w:p w14:paraId="4E126316" w14:textId="77777777" w:rsidR="0057015B" w:rsidRDefault="0057015B" w:rsidP="00F14BF3">
      <w:r>
        <w:t xml:space="preserve">Da </w:t>
      </w:r>
      <w:r w:rsidR="00F14BF3">
        <w:t xml:space="preserve">Cystein PEA teilweise in Aceton löslich war, </w:t>
      </w:r>
      <w:r w:rsidR="00C51104">
        <w:t>wurde folgende</w:t>
      </w:r>
      <w:r w:rsidR="00F14BF3" w:rsidRPr="00F14BF3">
        <w:t xml:space="preserve"> Na</w:t>
      </w:r>
      <w:r w:rsidR="00BA7226">
        <w:t>no</w:t>
      </w:r>
      <w:r w:rsidR="000E60F9">
        <w:t>präzipitationsmethode getestet</w:t>
      </w:r>
      <w:r w:rsidR="00F14BF3">
        <w:t>: E</w:t>
      </w:r>
      <w:r w:rsidR="00F14BF3" w:rsidRPr="00F14BF3">
        <w:t>ine 1%ige Lösung des Polymers in Aceton wurde durch 30 minütiges Rühren mit einem Magnetrührer hergestellt. Die bestehende leichte Trübung wurde mithilfe eines Sterilfilters mit einer Porengröße von 2</w:t>
      </w:r>
      <w:r w:rsidR="00F14BF3">
        <w:t>,0 </w:t>
      </w:r>
      <w:r w:rsidR="00F14BF3" w:rsidRPr="00F14BF3">
        <w:t xml:space="preserve">µm zu einer klaren Lösung abfiltriert. </w:t>
      </w:r>
      <w:r w:rsidR="00F14BF3">
        <w:t>8 ml</w:t>
      </w:r>
      <w:r>
        <w:t xml:space="preserve"> der</w:t>
      </w:r>
      <w:r w:rsidR="00F14BF3" w:rsidRPr="00F14BF3">
        <w:t xml:space="preserve"> klaren Lösung wurden unter Bearbeitung m</w:t>
      </w:r>
      <w:r w:rsidR="00B121C5">
        <w:t>it dem Ultra-Turrax bei 6.000 Up</w:t>
      </w:r>
      <w:r w:rsidR="00F14BF3" w:rsidRPr="00F14BF3">
        <w:t xml:space="preserve">M </w:t>
      </w:r>
      <w:r w:rsidR="00F14BF3">
        <w:t>tropfenweise zu 30 ml</w:t>
      </w:r>
      <w:r w:rsidR="00F14BF3" w:rsidRPr="00F14BF3">
        <w:t xml:space="preserve"> einer 1%igen wässrigen PVA-Lösung geg</w:t>
      </w:r>
      <w:r w:rsidR="00F14BF3">
        <w:t>eben. Anschließend wurde</w:t>
      </w:r>
      <w:r w:rsidR="00F14BF3" w:rsidRPr="00F14BF3">
        <w:t xml:space="preserve"> das Aceton mithilfe des</w:t>
      </w:r>
      <w:r w:rsidR="00DF0223">
        <w:t xml:space="preserve"> Rotationsverdampfers</w:t>
      </w:r>
      <w:r w:rsidR="00BA7226">
        <w:t xml:space="preserve"> abgezogen</w:t>
      </w:r>
      <w:r w:rsidR="00C51104">
        <w:t>.</w:t>
      </w:r>
    </w:p>
    <w:p w14:paraId="327032A3" w14:textId="77777777" w:rsidR="0057015B" w:rsidRDefault="00F14BF3" w:rsidP="00F14BF3">
      <w:r w:rsidRPr="00F14BF3">
        <w:t>Diese Methode lieferte optimierte Partikeleigenschaften</w:t>
      </w:r>
      <w:r>
        <w:t xml:space="preserve"> (siehe Versuch 7 in</w:t>
      </w:r>
      <w:r w:rsidR="000E60F9">
        <w:t xml:space="preserve"> </w:t>
      </w:r>
      <w:r w:rsidR="00D16240">
        <w:fldChar w:fldCharType="begin"/>
      </w:r>
      <w:r w:rsidR="000E60F9">
        <w:instrText xml:space="preserve"> REF _Ref402278387 \h </w:instrText>
      </w:r>
      <w:r w:rsidR="00D16240">
        <w:fldChar w:fldCharType="separate"/>
      </w:r>
      <w:r w:rsidR="00711AB8" w:rsidRPr="0065001B">
        <w:t xml:space="preserve">Tabelle </w:t>
      </w:r>
      <w:r w:rsidR="00711AB8">
        <w:rPr>
          <w:noProof/>
        </w:rPr>
        <w:t>20</w:t>
      </w:r>
      <w:r w:rsidR="00D16240">
        <w:fldChar w:fldCharType="end"/>
      </w:r>
      <w:r>
        <w:t>)</w:t>
      </w:r>
      <w:r w:rsidRPr="00F14BF3">
        <w:t>,</w:t>
      </w:r>
      <w:r>
        <w:t xml:space="preserve"> der mittlere Partikeldurchmesser betrug</w:t>
      </w:r>
      <w:r w:rsidR="00BA7226">
        <w:t xml:space="preserve"> 225 nm bei einem PDI von 0,007. Die Na</w:t>
      </w:r>
      <w:r w:rsidR="00DF0223">
        <w:t>n</w:t>
      </w:r>
      <w:r w:rsidR="00BA7226">
        <w:t>opräzipitation</w:t>
      </w:r>
      <w:r w:rsidR="00B24EE2">
        <w:t xml:space="preserve"> eignet sich</w:t>
      </w:r>
      <w:r w:rsidR="00F7074C">
        <w:t xml:space="preserve"> grundsätzlich</w:t>
      </w:r>
      <w:r w:rsidRPr="00F14BF3">
        <w:t xml:space="preserve"> nicht zur effizienten Verkapselung des hydrophilen Wirkstoffes Desmop</w:t>
      </w:r>
      <w:r w:rsidR="000A695C">
        <w:t>r</w:t>
      </w:r>
      <w:r w:rsidRPr="00F14BF3">
        <w:t>essin.</w:t>
      </w:r>
      <w:r w:rsidR="00BA7226">
        <w:t xml:space="preserve"> Da aufgrund der teilweisen Löslichkeit in Aceton einig</w:t>
      </w:r>
      <w:r w:rsidR="0026009E">
        <w:t>e nicht näher charakterisierte</w:t>
      </w:r>
      <w:r w:rsidR="00BA7226">
        <w:t xml:space="preserve"> Polymerbestandteile abgetrennt werden mussten, war die Zusammensetzung der Partikelformulierung nicht mehr eindeutig definiert.</w:t>
      </w:r>
      <w:r w:rsidR="0026009E">
        <w:t xml:space="preserve"> </w:t>
      </w:r>
      <w:r w:rsidR="0057015B">
        <w:t>Aus diesen</w:t>
      </w:r>
      <w:r w:rsidR="00F7074C">
        <w:t xml:space="preserve"> Gründen wurde der Ansatz </w:t>
      </w:r>
      <w:r w:rsidR="000A695C">
        <w:t>zur Herstellung der Partikelformulierung</w:t>
      </w:r>
      <w:r w:rsidR="00F7074C">
        <w:t xml:space="preserve"> mit Cystein PEA mittels Nanopräzipitation</w:t>
      </w:r>
      <w:r w:rsidR="000A695C">
        <w:t xml:space="preserve"> </w:t>
      </w:r>
      <w:r w:rsidR="00F7074C">
        <w:t>verworfen</w:t>
      </w:r>
      <w:r w:rsidR="000A695C">
        <w:t>.</w:t>
      </w:r>
    </w:p>
    <w:p w14:paraId="1553636B" w14:textId="77777777" w:rsidR="000A695C" w:rsidRDefault="0057015B" w:rsidP="00F14BF3">
      <w:r>
        <w:t>Nachdem</w:t>
      </w:r>
      <w:r w:rsidR="00AE4ED5">
        <w:t xml:space="preserve"> bei der Nanopräzipitation</w:t>
      </w:r>
      <w:r w:rsidR="00C51104">
        <w:t xml:space="preserve"> sehr gut gezeigt werden konnte</w:t>
      </w:r>
      <w:r>
        <w:t>, das</w:t>
      </w:r>
      <w:r w:rsidR="00AE4ED5">
        <w:t>s</w:t>
      </w:r>
      <w:r w:rsidR="00213ED1">
        <w:t xml:space="preserve"> </w:t>
      </w:r>
      <w:r w:rsidR="00E3409D">
        <w:t>das Polymer</w:t>
      </w:r>
      <w:r w:rsidR="00213ED1">
        <w:t xml:space="preserve"> an sich</w:t>
      </w:r>
      <w:r>
        <w:t xml:space="preserve"> zur Herstellung von </w:t>
      </w:r>
      <w:r w:rsidR="00AE4ED5">
        <w:t xml:space="preserve">stabilen </w:t>
      </w:r>
      <w:r w:rsidR="00E3409D">
        <w:t xml:space="preserve">Nanopartikeln </w:t>
      </w:r>
      <w:r w:rsidR="00213ED1">
        <w:t>ge</w:t>
      </w:r>
      <w:r w:rsidR="00E3409D">
        <w:t>eignet</w:t>
      </w:r>
      <w:r w:rsidR="00213ED1">
        <w:t xml:space="preserve"> ist</w:t>
      </w:r>
      <w:r w:rsidR="00E3409D">
        <w:t>,</w:t>
      </w:r>
      <w:r w:rsidR="00C51104">
        <w:t xml:space="preserve"> war davon auszugehen</w:t>
      </w:r>
      <w:r>
        <w:t>, dass der Austausch des Lösungsmittels für die Bildung vo</w:t>
      </w:r>
      <w:r w:rsidR="00E3409D">
        <w:t>n größeren Partikeln im Mikrometerbereich verantwortlich war</w:t>
      </w:r>
      <w:r>
        <w:t>.</w:t>
      </w:r>
      <w:r w:rsidR="00AE4ED5">
        <w:t xml:space="preserve"> Dass Ethylacetat sehr gut zur Herstellung von Nanopartikeln mit der Doppelemulsionsmethode geeignet ist, wurde bereits in Kapitel </w:t>
      </w:r>
      <w:r w:rsidR="00D16240">
        <w:fldChar w:fldCharType="begin"/>
      </w:r>
      <w:r w:rsidR="00E3409D">
        <w:instrText xml:space="preserve"> REF _Ref272957759 \n \h </w:instrText>
      </w:r>
      <w:r w:rsidR="00D16240">
        <w:fldChar w:fldCharType="separate"/>
      </w:r>
      <w:r w:rsidR="00711AB8">
        <w:t>4.2</w:t>
      </w:r>
      <w:r w:rsidR="00D16240">
        <w:fldChar w:fldCharType="end"/>
      </w:r>
      <w:r w:rsidR="00E3409D">
        <w:t xml:space="preserve"> hinreichend gezeigt. Um </w:t>
      </w:r>
      <w:r w:rsidR="00E3409D">
        <w:lastRenderedPageBreak/>
        <w:t>die positiven Eigensc</w:t>
      </w:r>
      <w:r w:rsidR="000E60F9">
        <w:t>haften von Ethylacetat auch bei der Partikelherstellung</w:t>
      </w:r>
      <w:r w:rsidR="00213ED1">
        <w:t xml:space="preserve"> </w:t>
      </w:r>
      <w:r w:rsidR="000E60F9">
        <w:t>mit Cystein PEA zu nutzen</w:t>
      </w:r>
      <w:r w:rsidR="00213ED1">
        <w:t xml:space="preserve">, wurden </w:t>
      </w:r>
      <w:r w:rsidR="00E3409D">
        <w:t>Mischungen von DCM</w:t>
      </w:r>
      <w:r w:rsidR="00213ED1">
        <w:t xml:space="preserve"> und Ethylacetat</w:t>
      </w:r>
      <w:r w:rsidR="00E3409D">
        <w:t xml:space="preserve"> mit einem möglichst</w:t>
      </w:r>
      <w:r w:rsidR="00213ED1">
        <w:t xml:space="preserve"> hohen Anteil an Ethylacetat getestet</w:t>
      </w:r>
      <w:r w:rsidR="00E3409D">
        <w:t xml:space="preserve">. In </w:t>
      </w:r>
      <w:r w:rsidR="00D16240">
        <w:fldChar w:fldCharType="begin"/>
      </w:r>
      <w:r w:rsidR="00E3409D">
        <w:instrText xml:space="preserve"> REF _Ref273895395 \h </w:instrText>
      </w:r>
      <w:r w:rsidR="00D16240">
        <w:fldChar w:fldCharType="separate"/>
      </w:r>
      <w:r w:rsidR="00711AB8" w:rsidRPr="00A70C82">
        <w:t xml:space="preserve">Tabelle </w:t>
      </w:r>
      <w:r w:rsidR="00711AB8">
        <w:rPr>
          <w:noProof/>
        </w:rPr>
        <w:t>16</w:t>
      </w:r>
      <w:r w:rsidR="00D16240">
        <w:fldChar w:fldCharType="end"/>
      </w:r>
      <w:r w:rsidR="00461376">
        <w:t xml:space="preserve"> wurde bereits gezeigt</w:t>
      </w:r>
      <w:r w:rsidR="00C51104">
        <w:t>,</w:t>
      </w:r>
      <w:r w:rsidR="00E3409D">
        <w:t xml:space="preserve"> in welchen Mi</w:t>
      </w:r>
      <w:r w:rsidR="00461376">
        <w:t>schungsverhältnissen der beiden Komponenten</w:t>
      </w:r>
      <w:r w:rsidR="00E3409D">
        <w:t xml:space="preserve"> die Cystein PEA Polymere gut löslich sind.</w:t>
      </w:r>
      <w:r w:rsidR="002C1925">
        <w:t xml:space="preserve"> Die</w:t>
      </w:r>
      <w:r w:rsidR="000E60F9">
        <w:t xml:space="preserve"> aus dieser Überlegung resultierende</w:t>
      </w:r>
      <w:r w:rsidR="00B24EE2">
        <w:t xml:space="preserve"> angepasste</w:t>
      </w:r>
      <w:r w:rsidR="002C1925">
        <w:t xml:space="preserve"> Methode </w:t>
      </w:r>
      <w:r w:rsidR="00DF0223">
        <w:t>zur V</w:t>
      </w:r>
      <w:r w:rsidR="00B121C5">
        <w:t xml:space="preserve">erkapselung von Desmopressin in Cystein PEA </w:t>
      </w:r>
      <w:r w:rsidR="002C1925">
        <w:t>wird im folgenden Abschnitt beschrieben.</w:t>
      </w:r>
    </w:p>
    <w:p w14:paraId="3B19CF4C" w14:textId="77777777" w:rsidR="007C3B4F" w:rsidRPr="00F14BF3" w:rsidRDefault="008D4883" w:rsidP="007C3B4F">
      <w:pPr>
        <w:pStyle w:val="berschrift4"/>
      </w:pPr>
      <w:bookmarkStart w:id="205" w:name="_Ref402278054"/>
      <w:bookmarkStart w:id="206" w:name="_Toc294380239"/>
      <w:r>
        <w:t>F</w:t>
      </w:r>
      <w:r w:rsidR="00B121C5">
        <w:t>ür Cystein PEA</w:t>
      </w:r>
      <w:bookmarkEnd w:id="205"/>
      <w:r w:rsidRPr="008D4883">
        <w:t xml:space="preserve"> </w:t>
      </w:r>
      <w:r>
        <w:t>angepasste Doppelemulsionsmethode</w:t>
      </w:r>
      <w:bookmarkEnd w:id="206"/>
    </w:p>
    <w:p w14:paraId="68325EC3" w14:textId="77777777" w:rsidR="007C3B4F" w:rsidRDefault="00430C03" w:rsidP="007C3B4F">
      <w:r>
        <w:t>Als Lösungsmittel für PEA 09</w:t>
      </w:r>
      <w:r w:rsidR="007C3B4F">
        <w:t xml:space="preserve"> wurden</w:t>
      </w:r>
      <w:r w:rsidR="007C3B4F" w:rsidRPr="007C3B4F">
        <w:t xml:space="preserve"> 3</w:t>
      </w:r>
      <w:r w:rsidR="006D0DC6">
        <w:t xml:space="preserve"> </w:t>
      </w:r>
      <w:r w:rsidR="007C3B4F">
        <w:t>T</w:t>
      </w:r>
      <w:r w:rsidR="006D0DC6">
        <w:t>eile</w:t>
      </w:r>
      <w:r w:rsidR="007C3B4F">
        <w:t xml:space="preserve"> Ethylacetat</w:t>
      </w:r>
      <w:r w:rsidR="007C3B4F" w:rsidRPr="007C3B4F">
        <w:t xml:space="preserve"> mit 1</w:t>
      </w:r>
      <w:r w:rsidR="006D0DC6">
        <w:t xml:space="preserve"> </w:t>
      </w:r>
      <w:r w:rsidR="007C3B4F" w:rsidRPr="007C3B4F">
        <w:t>T</w:t>
      </w:r>
      <w:r w:rsidR="006D0DC6">
        <w:t>eil DCM</w:t>
      </w:r>
      <w:r w:rsidR="007C3B4F">
        <w:t xml:space="preserve"> gemischt</w:t>
      </w:r>
      <w:r w:rsidR="007C3B4F" w:rsidRPr="007C3B4F">
        <w:t>. Abhängig von der verwendet</w:t>
      </w:r>
      <w:r w:rsidR="007C3B4F">
        <w:t>en Polymercharge</w:t>
      </w:r>
      <w:r w:rsidR="007C3B4F" w:rsidRPr="007C3B4F">
        <w:t xml:space="preserve"> musste der DCM-Anteil</w:t>
      </w:r>
      <w:r>
        <w:t xml:space="preserve"> bis zu einem Verhältnis von 2</w:t>
      </w:r>
      <w:r w:rsidR="007C3B4F" w:rsidRPr="007C3B4F">
        <w:t>:1 erhöht werden</w:t>
      </w:r>
      <w:r>
        <w:t xml:space="preserve"> (</w:t>
      </w:r>
      <w:r w:rsidR="00F7074C">
        <w:t xml:space="preserve">beispielsweise für </w:t>
      </w:r>
      <w:r>
        <w:t>PEA 10)</w:t>
      </w:r>
      <w:r w:rsidR="007C3B4F" w:rsidRPr="007C3B4F">
        <w:t>.</w:t>
      </w:r>
      <w:r w:rsidR="006D0DC6">
        <w:t xml:space="preserve"> </w:t>
      </w:r>
      <w:r w:rsidR="007C3B4F" w:rsidRPr="007C3B4F">
        <w:t>Die Bestandteile wurden eingewogen und die Lösungen entsprechend der Angaben in</w:t>
      </w:r>
      <w:r w:rsidR="006D0DC6">
        <w:t xml:space="preserve"> </w:t>
      </w:r>
      <w:r w:rsidR="00D16240">
        <w:fldChar w:fldCharType="begin"/>
      </w:r>
      <w:r w:rsidR="006D0DC6">
        <w:instrText xml:space="preserve"> REF _Ref274175481 \h </w:instrText>
      </w:r>
      <w:r w:rsidR="00D16240">
        <w:fldChar w:fldCharType="separate"/>
      </w:r>
      <w:r w:rsidR="00711AB8" w:rsidRPr="006D0DC6">
        <w:t xml:space="preserve">Tabelle </w:t>
      </w:r>
      <w:r w:rsidR="00711AB8">
        <w:rPr>
          <w:noProof/>
        </w:rPr>
        <w:t>21</w:t>
      </w:r>
      <w:r w:rsidR="00D16240">
        <w:fldChar w:fldCharType="end"/>
      </w:r>
      <w:r w:rsidR="007C3B4F" w:rsidRPr="007C3B4F">
        <w:t xml:space="preserve"> hergestellt. Die PVA Lösung wurde für 3 Stunden </w:t>
      </w:r>
      <w:r w:rsidR="00307CF5">
        <w:t>mit dem Magnetrührer bei 800 Up</w:t>
      </w:r>
      <w:r w:rsidR="007C3B4F" w:rsidRPr="007C3B4F">
        <w:t xml:space="preserve">M gerührt, die mit Parafilm </w:t>
      </w:r>
      <w:r w:rsidR="006D0DC6">
        <w:t>abgedeckte Polymerlösung für 15 min bei 500 </w:t>
      </w:r>
      <w:r w:rsidR="00307CF5">
        <w:t>Up</w:t>
      </w:r>
      <w:r w:rsidR="007C3B4F" w:rsidRPr="007C3B4F">
        <w:t>M.</w:t>
      </w:r>
    </w:p>
    <w:p w14:paraId="6F6A5BF8" w14:textId="77777777" w:rsidR="00E141B3" w:rsidRDefault="007C3B4F" w:rsidP="003D6D5A">
      <w:pPr>
        <w:spacing w:after="120"/>
      </w:pPr>
      <w:r>
        <w:t>Falls eine Fluoreszenzmarkierung</w:t>
      </w:r>
      <w:r w:rsidRPr="007C3B4F">
        <w:t xml:space="preserve"> der Partikel gewünscht war, wurden der Polymerlösung 300 µl einer Lumogen Red Lösung </w:t>
      </w:r>
      <w:r w:rsidR="004C111B" w:rsidRPr="007C3B4F">
        <w:t xml:space="preserve">(1 mg/ml) </w:t>
      </w:r>
      <w:r w:rsidRPr="007C3B4F">
        <w:t>in Aceton zugesetzt.</w:t>
      </w:r>
    </w:p>
    <w:p w14:paraId="5E571FF8" w14:textId="77777777" w:rsidR="006D0DC6" w:rsidRDefault="006D0DC6" w:rsidP="006D0DC6">
      <w:pPr>
        <w:spacing w:after="0"/>
      </w:pPr>
    </w:p>
    <w:p w14:paraId="4F725611" w14:textId="77777777" w:rsidR="006D0DC6" w:rsidRPr="006D0DC6" w:rsidRDefault="006D0DC6" w:rsidP="003D6D5A">
      <w:pPr>
        <w:pStyle w:val="Beschriftung"/>
        <w:ind w:firstLine="0"/>
      </w:pPr>
      <w:bookmarkStart w:id="207" w:name="_Ref274175481"/>
      <w:r w:rsidRPr="006D0DC6">
        <w:t xml:space="preserve">Tabelle </w:t>
      </w:r>
      <w:fldSimple w:instr=" SEQ Tabelle \* ARABIC ">
        <w:r w:rsidR="00711AB8">
          <w:rPr>
            <w:noProof/>
          </w:rPr>
          <w:t>21</w:t>
        </w:r>
      </w:fldSimple>
      <w:bookmarkEnd w:id="207"/>
      <w:r>
        <w:t xml:space="preserve"> </w:t>
      </w:r>
      <w:r w:rsidRPr="00350C53">
        <w:rPr>
          <w:b w:val="0"/>
        </w:rPr>
        <w:t>Zusammensetzung der Lösungen, die zur He</w:t>
      </w:r>
      <w:r>
        <w:rPr>
          <w:b w:val="0"/>
        </w:rPr>
        <w:t>rstellung von PEA Cystein</w:t>
      </w:r>
      <w:r w:rsidRPr="00350C53">
        <w:rPr>
          <w:b w:val="0"/>
        </w:rPr>
        <w:t xml:space="preserve"> Partikel</w:t>
      </w:r>
      <w:r>
        <w:rPr>
          <w:b w:val="0"/>
        </w:rPr>
        <w:t>n</w:t>
      </w:r>
      <w:r w:rsidRPr="00350C53">
        <w:rPr>
          <w:b w:val="0"/>
        </w:rPr>
        <w:t xml:space="preserve"> verwendet wurden</w:t>
      </w:r>
      <w:r w:rsidR="00906DB9">
        <w:rPr>
          <w:b w:val="0"/>
        </w:rPr>
        <w:t>.</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2126"/>
        <w:gridCol w:w="1418"/>
        <w:gridCol w:w="1984"/>
        <w:gridCol w:w="1276"/>
        <w:gridCol w:w="1276"/>
      </w:tblGrid>
      <w:tr w:rsidR="006D0DC6" w:rsidRPr="008919DE" w14:paraId="7E42BD7F" w14:textId="77777777" w:rsidTr="003A42DA">
        <w:trPr>
          <w:trHeight w:val="294"/>
        </w:trPr>
        <w:tc>
          <w:tcPr>
            <w:tcW w:w="959" w:type="dxa"/>
            <w:tcBorders>
              <w:top w:val="single" w:sz="8" w:space="0" w:color="auto"/>
              <w:left w:val="single" w:sz="8" w:space="0" w:color="auto"/>
              <w:bottom w:val="single" w:sz="8" w:space="0" w:color="auto"/>
              <w:right w:val="single" w:sz="8" w:space="0" w:color="auto"/>
            </w:tcBorders>
            <w:shd w:val="clear" w:color="auto" w:fill="E6E6E6"/>
            <w:vAlign w:val="center"/>
          </w:tcPr>
          <w:p w14:paraId="705CB65F" w14:textId="77777777" w:rsidR="006D0DC6" w:rsidRPr="006D0DC6" w:rsidRDefault="006D0DC6" w:rsidP="006D0DC6">
            <w:pPr>
              <w:spacing w:line="240" w:lineRule="auto"/>
              <w:jc w:val="center"/>
              <w:rPr>
                <w:rFonts w:cs="Arial"/>
                <w:b/>
                <w:sz w:val="20"/>
                <w:szCs w:val="20"/>
              </w:rPr>
            </w:pPr>
            <w:r w:rsidRPr="006D0DC6">
              <w:rPr>
                <w:rFonts w:cs="Arial"/>
                <w:b/>
                <w:sz w:val="20"/>
                <w:szCs w:val="20"/>
              </w:rPr>
              <w:t>Lösung Nr.</w:t>
            </w:r>
          </w:p>
        </w:tc>
        <w:tc>
          <w:tcPr>
            <w:tcW w:w="2126" w:type="dxa"/>
            <w:tcBorders>
              <w:top w:val="single" w:sz="8" w:space="0" w:color="auto"/>
              <w:left w:val="single" w:sz="8" w:space="0" w:color="auto"/>
              <w:bottom w:val="single" w:sz="8" w:space="0" w:color="auto"/>
              <w:right w:val="single" w:sz="8" w:space="0" w:color="auto"/>
            </w:tcBorders>
            <w:shd w:val="clear" w:color="auto" w:fill="E6E6E6"/>
            <w:vAlign w:val="center"/>
          </w:tcPr>
          <w:p w14:paraId="2FCD3F71" w14:textId="77777777" w:rsidR="006D0DC6" w:rsidRPr="006D0DC6" w:rsidRDefault="006D0DC6" w:rsidP="006D0DC6">
            <w:pPr>
              <w:spacing w:line="240" w:lineRule="auto"/>
              <w:jc w:val="center"/>
              <w:rPr>
                <w:rFonts w:cs="Arial"/>
                <w:b/>
                <w:sz w:val="20"/>
                <w:szCs w:val="20"/>
              </w:rPr>
            </w:pPr>
            <w:r w:rsidRPr="006D0DC6">
              <w:rPr>
                <w:rFonts w:cs="Arial"/>
                <w:b/>
                <w:sz w:val="20"/>
                <w:szCs w:val="20"/>
              </w:rPr>
              <w:t>Substanzen</w:t>
            </w:r>
          </w:p>
        </w:tc>
        <w:tc>
          <w:tcPr>
            <w:tcW w:w="1418" w:type="dxa"/>
            <w:tcBorders>
              <w:top w:val="single" w:sz="8" w:space="0" w:color="auto"/>
              <w:left w:val="single" w:sz="8" w:space="0" w:color="auto"/>
              <w:bottom w:val="single" w:sz="8" w:space="0" w:color="auto"/>
              <w:right w:val="single" w:sz="8" w:space="0" w:color="auto"/>
            </w:tcBorders>
            <w:shd w:val="clear" w:color="auto" w:fill="E6E6E6"/>
            <w:vAlign w:val="center"/>
          </w:tcPr>
          <w:p w14:paraId="70079F4D" w14:textId="77777777" w:rsidR="006D0DC6" w:rsidRPr="006D0DC6" w:rsidRDefault="006D0DC6" w:rsidP="006D0DC6">
            <w:pPr>
              <w:spacing w:line="240" w:lineRule="auto"/>
              <w:jc w:val="center"/>
              <w:rPr>
                <w:rFonts w:cs="Arial"/>
                <w:b/>
                <w:sz w:val="20"/>
                <w:szCs w:val="20"/>
              </w:rPr>
            </w:pPr>
            <w:r w:rsidRPr="006D0DC6">
              <w:rPr>
                <w:rFonts w:cs="Arial"/>
                <w:b/>
                <w:sz w:val="20"/>
                <w:szCs w:val="20"/>
              </w:rPr>
              <w:t>Einwaage[g]</w:t>
            </w:r>
          </w:p>
        </w:tc>
        <w:tc>
          <w:tcPr>
            <w:tcW w:w="1984" w:type="dxa"/>
            <w:tcBorders>
              <w:top w:val="single" w:sz="8" w:space="0" w:color="auto"/>
              <w:left w:val="single" w:sz="8" w:space="0" w:color="auto"/>
              <w:bottom w:val="single" w:sz="8" w:space="0" w:color="auto"/>
              <w:right w:val="single" w:sz="8" w:space="0" w:color="auto"/>
            </w:tcBorders>
            <w:shd w:val="clear" w:color="auto" w:fill="E6E6E6"/>
            <w:vAlign w:val="center"/>
          </w:tcPr>
          <w:p w14:paraId="6F773139" w14:textId="77777777" w:rsidR="006D0DC6" w:rsidRPr="006D0DC6" w:rsidRDefault="006D0DC6" w:rsidP="006D0DC6">
            <w:pPr>
              <w:spacing w:line="240" w:lineRule="auto"/>
              <w:jc w:val="center"/>
              <w:rPr>
                <w:rFonts w:cs="Arial"/>
                <w:b/>
                <w:sz w:val="20"/>
                <w:szCs w:val="20"/>
              </w:rPr>
            </w:pPr>
            <w:r w:rsidRPr="006D0DC6">
              <w:rPr>
                <w:rFonts w:cs="Arial"/>
                <w:b/>
                <w:sz w:val="20"/>
                <w:szCs w:val="20"/>
              </w:rPr>
              <w:t>Lösungsmittel</w:t>
            </w:r>
          </w:p>
        </w:tc>
        <w:tc>
          <w:tcPr>
            <w:tcW w:w="1276" w:type="dxa"/>
            <w:tcBorders>
              <w:top w:val="single" w:sz="8" w:space="0" w:color="auto"/>
              <w:left w:val="single" w:sz="8" w:space="0" w:color="auto"/>
              <w:bottom w:val="single" w:sz="8" w:space="0" w:color="auto"/>
              <w:right w:val="single" w:sz="8" w:space="0" w:color="auto"/>
            </w:tcBorders>
            <w:shd w:val="clear" w:color="auto" w:fill="E6E6E6"/>
            <w:vAlign w:val="center"/>
          </w:tcPr>
          <w:p w14:paraId="4AA85968" w14:textId="77777777" w:rsidR="006D0DC6" w:rsidRPr="006D0DC6" w:rsidRDefault="006D0DC6" w:rsidP="006D0DC6">
            <w:pPr>
              <w:spacing w:line="240" w:lineRule="auto"/>
              <w:jc w:val="center"/>
              <w:rPr>
                <w:rFonts w:cs="Arial"/>
                <w:b/>
                <w:sz w:val="20"/>
                <w:szCs w:val="20"/>
              </w:rPr>
            </w:pPr>
            <w:r w:rsidRPr="006D0DC6">
              <w:rPr>
                <w:rFonts w:cs="Arial"/>
                <w:b/>
                <w:sz w:val="20"/>
                <w:szCs w:val="20"/>
              </w:rPr>
              <w:t>Anteil [%]</w:t>
            </w:r>
          </w:p>
        </w:tc>
        <w:tc>
          <w:tcPr>
            <w:tcW w:w="1276" w:type="dxa"/>
            <w:tcBorders>
              <w:top w:val="single" w:sz="8" w:space="0" w:color="auto"/>
              <w:left w:val="single" w:sz="8" w:space="0" w:color="auto"/>
              <w:bottom w:val="single" w:sz="8" w:space="0" w:color="auto"/>
              <w:right w:val="single" w:sz="8" w:space="0" w:color="auto"/>
            </w:tcBorders>
            <w:shd w:val="clear" w:color="auto" w:fill="E6E6E6"/>
            <w:vAlign w:val="center"/>
          </w:tcPr>
          <w:p w14:paraId="377AD4CE" w14:textId="77777777" w:rsidR="006D0DC6" w:rsidRPr="006D0DC6" w:rsidRDefault="006D0DC6" w:rsidP="006D0DC6">
            <w:pPr>
              <w:spacing w:line="240" w:lineRule="auto"/>
              <w:jc w:val="center"/>
              <w:rPr>
                <w:rFonts w:cs="Arial"/>
                <w:b/>
                <w:sz w:val="20"/>
                <w:szCs w:val="20"/>
              </w:rPr>
            </w:pPr>
            <w:r w:rsidRPr="006D0DC6">
              <w:rPr>
                <w:rFonts w:cs="Arial"/>
                <w:b/>
                <w:sz w:val="20"/>
                <w:szCs w:val="20"/>
              </w:rPr>
              <w:t>Menge [g]</w:t>
            </w:r>
          </w:p>
        </w:tc>
      </w:tr>
      <w:tr w:rsidR="006D0DC6" w:rsidRPr="008919DE" w14:paraId="78649DA8" w14:textId="77777777" w:rsidTr="003A42DA">
        <w:trPr>
          <w:trHeight w:val="340"/>
        </w:trPr>
        <w:tc>
          <w:tcPr>
            <w:tcW w:w="959" w:type="dxa"/>
            <w:tcBorders>
              <w:top w:val="single" w:sz="8" w:space="0" w:color="auto"/>
              <w:left w:val="single" w:sz="8" w:space="0" w:color="auto"/>
            </w:tcBorders>
            <w:shd w:val="clear" w:color="auto" w:fill="auto"/>
            <w:vAlign w:val="center"/>
          </w:tcPr>
          <w:p w14:paraId="616CA918" w14:textId="77777777" w:rsidR="006D0DC6" w:rsidRPr="006D0DC6" w:rsidRDefault="006D0DC6" w:rsidP="006D0DC6">
            <w:pPr>
              <w:spacing w:line="240" w:lineRule="auto"/>
              <w:jc w:val="center"/>
              <w:rPr>
                <w:rFonts w:cs="Arial"/>
                <w:sz w:val="18"/>
                <w:szCs w:val="18"/>
              </w:rPr>
            </w:pPr>
            <w:r w:rsidRPr="006D0DC6">
              <w:rPr>
                <w:rFonts w:cs="Arial"/>
                <w:sz w:val="18"/>
                <w:szCs w:val="18"/>
              </w:rPr>
              <w:t>1</w:t>
            </w:r>
          </w:p>
        </w:tc>
        <w:tc>
          <w:tcPr>
            <w:tcW w:w="2126" w:type="dxa"/>
            <w:tcBorders>
              <w:top w:val="single" w:sz="8" w:space="0" w:color="auto"/>
            </w:tcBorders>
            <w:shd w:val="clear" w:color="auto" w:fill="auto"/>
            <w:vAlign w:val="center"/>
          </w:tcPr>
          <w:p w14:paraId="209FF695" w14:textId="77777777" w:rsidR="006D0DC6" w:rsidRPr="006D0DC6" w:rsidRDefault="006D0DC6" w:rsidP="006D0DC6">
            <w:pPr>
              <w:spacing w:line="240" w:lineRule="auto"/>
              <w:jc w:val="center"/>
              <w:rPr>
                <w:rFonts w:cs="Arial"/>
                <w:sz w:val="18"/>
                <w:szCs w:val="18"/>
              </w:rPr>
            </w:pPr>
            <w:r w:rsidRPr="006D0DC6">
              <w:rPr>
                <w:rFonts w:cs="Arial"/>
                <w:sz w:val="18"/>
                <w:szCs w:val="18"/>
              </w:rPr>
              <w:t>PEG 4000</w:t>
            </w:r>
          </w:p>
          <w:p w14:paraId="33C36515" w14:textId="77777777" w:rsidR="006D0DC6" w:rsidRPr="006D0DC6" w:rsidRDefault="006D0DC6" w:rsidP="006D0DC6">
            <w:pPr>
              <w:spacing w:line="240" w:lineRule="auto"/>
              <w:jc w:val="center"/>
              <w:rPr>
                <w:rFonts w:cs="Arial"/>
                <w:sz w:val="18"/>
                <w:szCs w:val="18"/>
              </w:rPr>
            </w:pPr>
            <w:r w:rsidRPr="006D0DC6">
              <w:rPr>
                <w:rFonts w:cs="Arial"/>
                <w:sz w:val="18"/>
                <w:szCs w:val="18"/>
              </w:rPr>
              <w:t>Desmopressin</w:t>
            </w:r>
            <w:r w:rsidR="00630E96">
              <w:rPr>
                <w:rFonts w:cs="Arial"/>
                <w:sz w:val="18"/>
                <w:szCs w:val="18"/>
              </w:rPr>
              <w:t>acetat</w:t>
            </w:r>
          </w:p>
        </w:tc>
        <w:tc>
          <w:tcPr>
            <w:tcW w:w="1418" w:type="dxa"/>
            <w:tcBorders>
              <w:top w:val="single" w:sz="8" w:space="0" w:color="auto"/>
            </w:tcBorders>
            <w:shd w:val="clear" w:color="auto" w:fill="auto"/>
            <w:vAlign w:val="center"/>
          </w:tcPr>
          <w:p w14:paraId="6A099DE2" w14:textId="77777777" w:rsidR="006D0DC6" w:rsidRPr="006D0DC6" w:rsidRDefault="006D0DC6" w:rsidP="006D0DC6">
            <w:pPr>
              <w:spacing w:line="240" w:lineRule="auto"/>
              <w:jc w:val="center"/>
              <w:rPr>
                <w:rFonts w:cs="Arial"/>
                <w:sz w:val="18"/>
                <w:szCs w:val="18"/>
              </w:rPr>
            </w:pPr>
            <w:r w:rsidRPr="006D0DC6">
              <w:rPr>
                <w:rFonts w:cs="Arial"/>
                <w:sz w:val="18"/>
                <w:szCs w:val="18"/>
              </w:rPr>
              <w:t>0,2</w:t>
            </w:r>
          </w:p>
          <w:p w14:paraId="0DFADD57" w14:textId="77777777" w:rsidR="006D0DC6" w:rsidRPr="006D0DC6" w:rsidRDefault="006D0DC6" w:rsidP="006D0DC6">
            <w:pPr>
              <w:spacing w:line="240" w:lineRule="auto"/>
              <w:jc w:val="center"/>
              <w:rPr>
                <w:rFonts w:cs="Arial"/>
                <w:sz w:val="18"/>
                <w:szCs w:val="18"/>
              </w:rPr>
            </w:pPr>
            <w:r w:rsidRPr="006D0DC6">
              <w:rPr>
                <w:rFonts w:cs="Arial"/>
                <w:sz w:val="18"/>
                <w:szCs w:val="18"/>
              </w:rPr>
              <w:t>0,040</w:t>
            </w:r>
          </w:p>
        </w:tc>
        <w:tc>
          <w:tcPr>
            <w:tcW w:w="1984" w:type="dxa"/>
            <w:tcBorders>
              <w:top w:val="single" w:sz="8" w:space="0" w:color="auto"/>
            </w:tcBorders>
            <w:shd w:val="clear" w:color="auto" w:fill="auto"/>
            <w:vAlign w:val="center"/>
          </w:tcPr>
          <w:p w14:paraId="6C0A1E35" w14:textId="77777777" w:rsidR="006D0DC6" w:rsidRPr="006D0DC6" w:rsidRDefault="006D0DC6" w:rsidP="006D0DC6">
            <w:pPr>
              <w:spacing w:line="240" w:lineRule="auto"/>
              <w:jc w:val="center"/>
              <w:rPr>
                <w:rFonts w:cs="Arial"/>
                <w:sz w:val="18"/>
                <w:szCs w:val="18"/>
                <w:lang w:val="en-US"/>
              </w:rPr>
            </w:pPr>
            <w:r w:rsidRPr="006D0DC6">
              <w:rPr>
                <w:rFonts w:cs="Arial"/>
                <w:sz w:val="18"/>
                <w:szCs w:val="18"/>
                <w:lang w:val="en-US"/>
              </w:rPr>
              <w:t>demineralisiertes Wasser</w:t>
            </w:r>
          </w:p>
        </w:tc>
        <w:tc>
          <w:tcPr>
            <w:tcW w:w="1276" w:type="dxa"/>
            <w:tcBorders>
              <w:top w:val="single" w:sz="8" w:space="0" w:color="auto"/>
            </w:tcBorders>
            <w:shd w:val="clear" w:color="auto" w:fill="auto"/>
            <w:vAlign w:val="center"/>
          </w:tcPr>
          <w:p w14:paraId="5B35BBA8" w14:textId="77777777" w:rsidR="006D0DC6" w:rsidRPr="006D0DC6" w:rsidRDefault="006D0DC6" w:rsidP="006D0DC6">
            <w:pPr>
              <w:spacing w:line="240" w:lineRule="auto"/>
              <w:jc w:val="center"/>
              <w:rPr>
                <w:rFonts w:cs="Arial"/>
                <w:sz w:val="18"/>
                <w:szCs w:val="18"/>
              </w:rPr>
            </w:pPr>
            <w:r w:rsidRPr="006D0DC6">
              <w:rPr>
                <w:rFonts w:cs="Arial"/>
                <w:sz w:val="18"/>
                <w:szCs w:val="18"/>
              </w:rPr>
              <w:t>2,5</w:t>
            </w:r>
          </w:p>
          <w:p w14:paraId="376D0528" w14:textId="77777777" w:rsidR="006D0DC6" w:rsidRPr="006D0DC6" w:rsidRDefault="006D0DC6" w:rsidP="006D0DC6">
            <w:pPr>
              <w:spacing w:line="240" w:lineRule="auto"/>
              <w:jc w:val="center"/>
              <w:rPr>
                <w:rFonts w:cs="Arial"/>
                <w:sz w:val="18"/>
                <w:szCs w:val="18"/>
              </w:rPr>
            </w:pPr>
            <w:r w:rsidRPr="006D0DC6">
              <w:rPr>
                <w:rFonts w:cs="Arial"/>
                <w:sz w:val="18"/>
                <w:szCs w:val="18"/>
              </w:rPr>
              <w:t>0,5</w:t>
            </w:r>
          </w:p>
        </w:tc>
        <w:tc>
          <w:tcPr>
            <w:tcW w:w="1276" w:type="dxa"/>
            <w:tcBorders>
              <w:top w:val="single" w:sz="8" w:space="0" w:color="auto"/>
              <w:right w:val="single" w:sz="8" w:space="0" w:color="auto"/>
            </w:tcBorders>
            <w:shd w:val="clear" w:color="auto" w:fill="auto"/>
            <w:vAlign w:val="center"/>
          </w:tcPr>
          <w:p w14:paraId="6C6BA34C" w14:textId="77777777" w:rsidR="006D0DC6" w:rsidRPr="006D0DC6" w:rsidRDefault="006D0DC6" w:rsidP="006D0DC6">
            <w:pPr>
              <w:spacing w:line="240" w:lineRule="auto"/>
              <w:jc w:val="center"/>
              <w:rPr>
                <w:rFonts w:cs="Arial"/>
                <w:sz w:val="18"/>
                <w:szCs w:val="18"/>
              </w:rPr>
            </w:pPr>
            <w:r w:rsidRPr="006D0DC6">
              <w:rPr>
                <w:rFonts w:cs="Arial"/>
                <w:sz w:val="18"/>
                <w:szCs w:val="18"/>
              </w:rPr>
              <w:t>8,0</w:t>
            </w:r>
          </w:p>
        </w:tc>
      </w:tr>
      <w:tr w:rsidR="006D0DC6" w:rsidRPr="008919DE" w14:paraId="65C5BE9B" w14:textId="77777777" w:rsidTr="003A42DA">
        <w:trPr>
          <w:trHeight w:val="340"/>
        </w:trPr>
        <w:tc>
          <w:tcPr>
            <w:tcW w:w="959" w:type="dxa"/>
            <w:tcBorders>
              <w:left w:val="single" w:sz="8" w:space="0" w:color="auto"/>
            </w:tcBorders>
            <w:shd w:val="clear" w:color="auto" w:fill="auto"/>
            <w:vAlign w:val="center"/>
          </w:tcPr>
          <w:p w14:paraId="47012A65" w14:textId="77777777" w:rsidR="006D0DC6" w:rsidRPr="006D0DC6" w:rsidRDefault="006D0DC6" w:rsidP="006D0DC6">
            <w:pPr>
              <w:spacing w:line="240" w:lineRule="auto"/>
              <w:jc w:val="center"/>
              <w:rPr>
                <w:rFonts w:cs="Arial"/>
                <w:sz w:val="18"/>
                <w:szCs w:val="18"/>
              </w:rPr>
            </w:pPr>
            <w:r w:rsidRPr="006D0DC6">
              <w:rPr>
                <w:rFonts w:cs="Arial"/>
                <w:sz w:val="18"/>
                <w:szCs w:val="18"/>
              </w:rPr>
              <w:t>2</w:t>
            </w:r>
          </w:p>
        </w:tc>
        <w:tc>
          <w:tcPr>
            <w:tcW w:w="2126" w:type="dxa"/>
            <w:shd w:val="clear" w:color="auto" w:fill="auto"/>
            <w:vAlign w:val="center"/>
          </w:tcPr>
          <w:p w14:paraId="12C441FB" w14:textId="77777777" w:rsidR="006D0DC6" w:rsidRPr="006D0DC6" w:rsidRDefault="006D0DC6" w:rsidP="006D0DC6">
            <w:pPr>
              <w:spacing w:line="240" w:lineRule="auto"/>
              <w:jc w:val="center"/>
              <w:rPr>
                <w:rFonts w:cs="Arial"/>
                <w:sz w:val="18"/>
                <w:szCs w:val="18"/>
              </w:rPr>
            </w:pPr>
            <w:r w:rsidRPr="006D0DC6">
              <w:rPr>
                <w:rFonts w:cs="Arial"/>
                <w:sz w:val="18"/>
                <w:szCs w:val="18"/>
              </w:rPr>
              <w:t>Polyesteramid</w:t>
            </w:r>
            <w:r w:rsidR="00A157F1">
              <w:rPr>
                <w:rFonts w:cs="Arial"/>
                <w:sz w:val="18"/>
                <w:szCs w:val="18"/>
              </w:rPr>
              <w:t xml:space="preserve"> Cystein</w:t>
            </w:r>
          </w:p>
        </w:tc>
        <w:tc>
          <w:tcPr>
            <w:tcW w:w="1418" w:type="dxa"/>
            <w:shd w:val="clear" w:color="auto" w:fill="auto"/>
            <w:vAlign w:val="center"/>
          </w:tcPr>
          <w:p w14:paraId="0E23F322" w14:textId="77777777" w:rsidR="006D0DC6" w:rsidRPr="006D0DC6" w:rsidRDefault="006D0DC6" w:rsidP="006D0DC6">
            <w:pPr>
              <w:spacing w:line="240" w:lineRule="auto"/>
              <w:jc w:val="center"/>
              <w:rPr>
                <w:rFonts w:cs="Arial"/>
                <w:sz w:val="18"/>
                <w:szCs w:val="18"/>
              </w:rPr>
            </w:pPr>
            <w:r w:rsidRPr="006D0DC6">
              <w:rPr>
                <w:rFonts w:cs="Arial"/>
                <w:sz w:val="18"/>
                <w:szCs w:val="18"/>
              </w:rPr>
              <w:t>0,32</w:t>
            </w:r>
          </w:p>
        </w:tc>
        <w:tc>
          <w:tcPr>
            <w:tcW w:w="1984" w:type="dxa"/>
            <w:shd w:val="clear" w:color="auto" w:fill="auto"/>
            <w:vAlign w:val="center"/>
          </w:tcPr>
          <w:p w14:paraId="143314A1" w14:textId="77777777" w:rsidR="006D0DC6" w:rsidRPr="006D0DC6" w:rsidRDefault="006D0DC6" w:rsidP="006D0DC6">
            <w:pPr>
              <w:spacing w:line="240" w:lineRule="auto"/>
              <w:jc w:val="center"/>
              <w:rPr>
                <w:rFonts w:cs="Arial"/>
                <w:sz w:val="18"/>
                <w:szCs w:val="18"/>
              </w:rPr>
            </w:pPr>
            <w:r w:rsidRPr="006D0DC6">
              <w:rPr>
                <w:rFonts w:cs="Arial"/>
                <w:sz w:val="18"/>
                <w:szCs w:val="18"/>
              </w:rPr>
              <w:t>Ethylacetat/DCM Mischung 3:1</w:t>
            </w:r>
            <w:r w:rsidR="00430C03">
              <w:rPr>
                <w:rFonts w:cs="Arial"/>
                <w:sz w:val="18"/>
                <w:szCs w:val="18"/>
              </w:rPr>
              <w:t xml:space="preserve"> oder 2:1</w:t>
            </w:r>
          </w:p>
        </w:tc>
        <w:tc>
          <w:tcPr>
            <w:tcW w:w="1276" w:type="dxa"/>
            <w:shd w:val="clear" w:color="auto" w:fill="auto"/>
            <w:vAlign w:val="center"/>
          </w:tcPr>
          <w:p w14:paraId="06AB1D96" w14:textId="77777777" w:rsidR="006D0DC6" w:rsidRPr="006D0DC6" w:rsidRDefault="006D0DC6" w:rsidP="006D0DC6">
            <w:pPr>
              <w:spacing w:line="240" w:lineRule="auto"/>
              <w:jc w:val="center"/>
              <w:rPr>
                <w:rFonts w:cs="Arial"/>
                <w:sz w:val="18"/>
                <w:szCs w:val="18"/>
              </w:rPr>
            </w:pPr>
            <w:r w:rsidRPr="006D0DC6">
              <w:rPr>
                <w:rFonts w:cs="Arial"/>
                <w:sz w:val="18"/>
                <w:szCs w:val="18"/>
              </w:rPr>
              <w:t>1,0</w:t>
            </w:r>
          </w:p>
        </w:tc>
        <w:tc>
          <w:tcPr>
            <w:tcW w:w="1276" w:type="dxa"/>
            <w:tcBorders>
              <w:right w:val="single" w:sz="8" w:space="0" w:color="auto"/>
            </w:tcBorders>
            <w:shd w:val="clear" w:color="auto" w:fill="auto"/>
            <w:vAlign w:val="center"/>
          </w:tcPr>
          <w:p w14:paraId="6D9AC6B3" w14:textId="77777777" w:rsidR="006D0DC6" w:rsidRPr="006D0DC6" w:rsidRDefault="006D0DC6" w:rsidP="006D0DC6">
            <w:pPr>
              <w:spacing w:line="240" w:lineRule="auto"/>
              <w:jc w:val="center"/>
              <w:rPr>
                <w:rFonts w:cs="Arial"/>
                <w:sz w:val="18"/>
                <w:szCs w:val="18"/>
              </w:rPr>
            </w:pPr>
            <w:r w:rsidRPr="006D0DC6">
              <w:rPr>
                <w:rFonts w:cs="Arial"/>
                <w:sz w:val="18"/>
                <w:szCs w:val="18"/>
              </w:rPr>
              <w:t>32,0</w:t>
            </w:r>
          </w:p>
        </w:tc>
      </w:tr>
      <w:tr w:rsidR="006D0DC6" w:rsidRPr="001E14FC" w14:paraId="17B396E1" w14:textId="77777777" w:rsidTr="003A42DA">
        <w:trPr>
          <w:trHeight w:val="340"/>
        </w:trPr>
        <w:tc>
          <w:tcPr>
            <w:tcW w:w="959" w:type="dxa"/>
            <w:tcBorders>
              <w:left w:val="single" w:sz="8" w:space="0" w:color="auto"/>
            </w:tcBorders>
            <w:shd w:val="clear" w:color="auto" w:fill="auto"/>
            <w:vAlign w:val="center"/>
          </w:tcPr>
          <w:p w14:paraId="6E2E2AA1" w14:textId="77777777" w:rsidR="006D0DC6" w:rsidRPr="006D0DC6" w:rsidRDefault="006D0DC6" w:rsidP="006D0DC6">
            <w:pPr>
              <w:spacing w:line="240" w:lineRule="auto"/>
              <w:jc w:val="center"/>
              <w:rPr>
                <w:rFonts w:cs="Arial"/>
                <w:sz w:val="18"/>
                <w:szCs w:val="18"/>
              </w:rPr>
            </w:pPr>
            <w:r w:rsidRPr="006D0DC6">
              <w:rPr>
                <w:rFonts w:cs="Arial"/>
                <w:sz w:val="18"/>
                <w:szCs w:val="18"/>
              </w:rPr>
              <w:t>3</w:t>
            </w:r>
          </w:p>
        </w:tc>
        <w:tc>
          <w:tcPr>
            <w:tcW w:w="2126" w:type="dxa"/>
            <w:shd w:val="clear" w:color="auto" w:fill="auto"/>
            <w:vAlign w:val="center"/>
          </w:tcPr>
          <w:p w14:paraId="7C265906" w14:textId="77777777" w:rsidR="006D0DC6" w:rsidRPr="006D0DC6" w:rsidRDefault="006D0DC6" w:rsidP="006D0DC6">
            <w:pPr>
              <w:spacing w:line="240" w:lineRule="auto"/>
              <w:jc w:val="center"/>
              <w:rPr>
                <w:rFonts w:cs="Arial"/>
                <w:sz w:val="18"/>
                <w:szCs w:val="18"/>
              </w:rPr>
            </w:pPr>
            <w:r w:rsidRPr="006D0DC6">
              <w:rPr>
                <w:rFonts w:cs="Arial"/>
                <w:sz w:val="18"/>
                <w:szCs w:val="18"/>
              </w:rPr>
              <w:t>PVA</w:t>
            </w:r>
          </w:p>
        </w:tc>
        <w:tc>
          <w:tcPr>
            <w:tcW w:w="1418" w:type="dxa"/>
            <w:shd w:val="clear" w:color="auto" w:fill="auto"/>
            <w:vAlign w:val="center"/>
          </w:tcPr>
          <w:p w14:paraId="663222CE" w14:textId="77777777" w:rsidR="006D0DC6" w:rsidRPr="006D0DC6" w:rsidRDefault="006D0DC6" w:rsidP="006D0DC6">
            <w:pPr>
              <w:spacing w:line="240" w:lineRule="auto"/>
              <w:jc w:val="center"/>
              <w:rPr>
                <w:rFonts w:cs="Arial"/>
                <w:sz w:val="18"/>
                <w:szCs w:val="18"/>
              </w:rPr>
            </w:pPr>
            <w:r w:rsidRPr="006D0DC6">
              <w:rPr>
                <w:rFonts w:cs="Arial"/>
                <w:sz w:val="18"/>
                <w:szCs w:val="18"/>
              </w:rPr>
              <w:t>0,96</w:t>
            </w:r>
          </w:p>
        </w:tc>
        <w:tc>
          <w:tcPr>
            <w:tcW w:w="1984" w:type="dxa"/>
            <w:shd w:val="clear" w:color="auto" w:fill="auto"/>
            <w:vAlign w:val="center"/>
          </w:tcPr>
          <w:p w14:paraId="2C6E1AC5" w14:textId="77777777" w:rsidR="006D0DC6" w:rsidRPr="006D0DC6" w:rsidRDefault="006D0DC6" w:rsidP="006D0DC6">
            <w:pPr>
              <w:spacing w:line="240" w:lineRule="auto"/>
              <w:jc w:val="center"/>
              <w:rPr>
                <w:rFonts w:cs="Arial"/>
                <w:sz w:val="18"/>
                <w:szCs w:val="18"/>
              </w:rPr>
            </w:pPr>
            <w:r w:rsidRPr="006D0DC6">
              <w:rPr>
                <w:rFonts w:cs="Arial"/>
                <w:sz w:val="18"/>
                <w:szCs w:val="18"/>
              </w:rPr>
              <w:t>dem. Wasser</w:t>
            </w:r>
          </w:p>
        </w:tc>
        <w:tc>
          <w:tcPr>
            <w:tcW w:w="1276" w:type="dxa"/>
            <w:shd w:val="clear" w:color="auto" w:fill="auto"/>
            <w:vAlign w:val="center"/>
          </w:tcPr>
          <w:p w14:paraId="1705BA8E" w14:textId="77777777" w:rsidR="006D0DC6" w:rsidRPr="006D0DC6" w:rsidRDefault="006D0DC6" w:rsidP="006D0DC6">
            <w:pPr>
              <w:spacing w:line="240" w:lineRule="auto"/>
              <w:jc w:val="center"/>
              <w:rPr>
                <w:rFonts w:cs="Arial"/>
                <w:sz w:val="18"/>
                <w:szCs w:val="18"/>
              </w:rPr>
            </w:pPr>
            <w:r w:rsidRPr="006D0DC6">
              <w:rPr>
                <w:rFonts w:cs="Arial"/>
                <w:sz w:val="18"/>
                <w:szCs w:val="18"/>
              </w:rPr>
              <w:t>0,8</w:t>
            </w:r>
          </w:p>
        </w:tc>
        <w:tc>
          <w:tcPr>
            <w:tcW w:w="1276" w:type="dxa"/>
            <w:tcBorders>
              <w:right w:val="single" w:sz="8" w:space="0" w:color="auto"/>
            </w:tcBorders>
            <w:shd w:val="clear" w:color="auto" w:fill="auto"/>
            <w:vAlign w:val="center"/>
          </w:tcPr>
          <w:p w14:paraId="51D29BE6" w14:textId="77777777" w:rsidR="006D0DC6" w:rsidRPr="006D0DC6" w:rsidRDefault="006D0DC6" w:rsidP="006D0DC6">
            <w:pPr>
              <w:spacing w:line="240" w:lineRule="auto"/>
              <w:jc w:val="center"/>
              <w:rPr>
                <w:rFonts w:cs="Arial"/>
                <w:sz w:val="18"/>
                <w:szCs w:val="18"/>
              </w:rPr>
            </w:pPr>
            <w:r w:rsidRPr="006D0DC6">
              <w:rPr>
                <w:rFonts w:cs="Arial"/>
                <w:sz w:val="18"/>
                <w:szCs w:val="18"/>
              </w:rPr>
              <w:t>120,0</w:t>
            </w:r>
          </w:p>
        </w:tc>
      </w:tr>
      <w:tr w:rsidR="006D0DC6" w:rsidRPr="001E14FC" w14:paraId="5689CE8B" w14:textId="77777777" w:rsidTr="003A42DA">
        <w:trPr>
          <w:trHeight w:val="340"/>
        </w:trPr>
        <w:tc>
          <w:tcPr>
            <w:tcW w:w="959" w:type="dxa"/>
            <w:tcBorders>
              <w:left w:val="single" w:sz="8" w:space="0" w:color="auto"/>
              <w:bottom w:val="single" w:sz="8" w:space="0" w:color="auto"/>
            </w:tcBorders>
            <w:shd w:val="clear" w:color="auto" w:fill="auto"/>
            <w:vAlign w:val="center"/>
          </w:tcPr>
          <w:p w14:paraId="5FB004C9" w14:textId="77777777" w:rsidR="006D0DC6" w:rsidRPr="006D0DC6" w:rsidRDefault="006D0DC6" w:rsidP="006D0DC6">
            <w:pPr>
              <w:spacing w:line="240" w:lineRule="auto"/>
              <w:jc w:val="center"/>
              <w:rPr>
                <w:rFonts w:cs="Arial"/>
                <w:sz w:val="18"/>
                <w:szCs w:val="18"/>
              </w:rPr>
            </w:pPr>
            <w:r w:rsidRPr="006D0DC6">
              <w:rPr>
                <w:rFonts w:cs="Arial"/>
                <w:sz w:val="18"/>
                <w:szCs w:val="18"/>
              </w:rPr>
              <w:t>4</w:t>
            </w:r>
          </w:p>
        </w:tc>
        <w:tc>
          <w:tcPr>
            <w:tcW w:w="2126" w:type="dxa"/>
            <w:tcBorders>
              <w:bottom w:val="single" w:sz="8" w:space="0" w:color="auto"/>
            </w:tcBorders>
            <w:shd w:val="clear" w:color="auto" w:fill="auto"/>
            <w:vAlign w:val="center"/>
          </w:tcPr>
          <w:p w14:paraId="7EB4850F" w14:textId="77777777" w:rsidR="006D0DC6" w:rsidRPr="006D0DC6" w:rsidRDefault="006D0DC6" w:rsidP="006D0DC6">
            <w:pPr>
              <w:spacing w:line="240" w:lineRule="auto"/>
              <w:jc w:val="center"/>
              <w:rPr>
                <w:rFonts w:cs="Arial"/>
                <w:sz w:val="18"/>
                <w:szCs w:val="18"/>
              </w:rPr>
            </w:pPr>
            <w:r w:rsidRPr="006D0DC6">
              <w:rPr>
                <w:rFonts w:cs="Arial"/>
                <w:sz w:val="18"/>
                <w:szCs w:val="18"/>
              </w:rPr>
              <w:t>Sorbitol</w:t>
            </w:r>
          </w:p>
          <w:p w14:paraId="6E617BD2" w14:textId="77777777" w:rsidR="006D0DC6" w:rsidRPr="006D0DC6" w:rsidRDefault="006D0DC6" w:rsidP="006D0DC6">
            <w:pPr>
              <w:spacing w:line="240" w:lineRule="auto"/>
              <w:jc w:val="center"/>
              <w:rPr>
                <w:rFonts w:cs="Arial"/>
                <w:sz w:val="18"/>
                <w:szCs w:val="18"/>
              </w:rPr>
            </w:pPr>
            <w:r w:rsidRPr="006D0DC6">
              <w:rPr>
                <w:rFonts w:cs="Arial"/>
                <w:sz w:val="18"/>
                <w:szCs w:val="18"/>
              </w:rPr>
              <w:t>Mannitol</w:t>
            </w:r>
          </w:p>
        </w:tc>
        <w:tc>
          <w:tcPr>
            <w:tcW w:w="1418" w:type="dxa"/>
            <w:tcBorders>
              <w:bottom w:val="single" w:sz="8" w:space="0" w:color="auto"/>
            </w:tcBorders>
            <w:shd w:val="clear" w:color="auto" w:fill="auto"/>
            <w:vAlign w:val="center"/>
          </w:tcPr>
          <w:p w14:paraId="2CD80C5E" w14:textId="77777777" w:rsidR="006D0DC6" w:rsidRPr="006D0DC6" w:rsidRDefault="006D0DC6" w:rsidP="006D0DC6">
            <w:pPr>
              <w:spacing w:line="240" w:lineRule="auto"/>
              <w:jc w:val="center"/>
              <w:rPr>
                <w:rFonts w:cs="Arial"/>
                <w:sz w:val="18"/>
                <w:szCs w:val="18"/>
              </w:rPr>
            </w:pPr>
            <w:r w:rsidRPr="006D0DC6">
              <w:rPr>
                <w:rFonts w:cs="Arial"/>
                <w:sz w:val="18"/>
                <w:szCs w:val="18"/>
              </w:rPr>
              <w:t>0,432</w:t>
            </w:r>
          </w:p>
          <w:p w14:paraId="775F4D55" w14:textId="77777777" w:rsidR="006D0DC6" w:rsidRPr="006D0DC6" w:rsidRDefault="006D0DC6" w:rsidP="006D0DC6">
            <w:pPr>
              <w:spacing w:line="240" w:lineRule="auto"/>
              <w:jc w:val="center"/>
              <w:rPr>
                <w:rFonts w:cs="Arial"/>
                <w:sz w:val="18"/>
                <w:szCs w:val="18"/>
              </w:rPr>
            </w:pPr>
            <w:r w:rsidRPr="006D0DC6">
              <w:rPr>
                <w:rFonts w:cs="Arial"/>
                <w:sz w:val="18"/>
                <w:szCs w:val="18"/>
              </w:rPr>
              <w:t>0,288</w:t>
            </w:r>
          </w:p>
        </w:tc>
        <w:tc>
          <w:tcPr>
            <w:tcW w:w="1984" w:type="dxa"/>
            <w:tcBorders>
              <w:bottom w:val="single" w:sz="8" w:space="0" w:color="auto"/>
            </w:tcBorders>
            <w:shd w:val="clear" w:color="auto" w:fill="auto"/>
            <w:vAlign w:val="center"/>
          </w:tcPr>
          <w:p w14:paraId="1E26B842" w14:textId="77777777" w:rsidR="006D0DC6" w:rsidRPr="006D0DC6" w:rsidRDefault="006D0DC6" w:rsidP="006D0DC6">
            <w:pPr>
              <w:spacing w:line="240" w:lineRule="auto"/>
              <w:jc w:val="center"/>
              <w:rPr>
                <w:rFonts w:cs="Arial"/>
                <w:sz w:val="18"/>
                <w:szCs w:val="18"/>
              </w:rPr>
            </w:pPr>
            <w:r w:rsidRPr="006D0DC6">
              <w:rPr>
                <w:rFonts w:cs="Arial"/>
                <w:sz w:val="18"/>
                <w:szCs w:val="18"/>
              </w:rPr>
              <w:t>dem. Wasser</w:t>
            </w:r>
          </w:p>
        </w:tc>
        <w:tc>
          <w:tcPr>
            <w:tcW w:w="1276" w:type="dxa"/>
            <w:tcBorders>
              <w:bottom w:val="single" w:sz="8" w:space="0" w:color="auto"/>
            </w:tcBorders>
            <w:shd w:val="clear" w:color="auto" w:fill="auto"/>
            <w:vAlign w:val="center"/>
          </w:tcPr>
          <w:p w14:paraId="4E77718D" w14:textId="77777777" w:rsidR="006D0DC6" w:rsidRPr="006D0DC6" w:rsidRDefault="006D0DC6" w:rsidP="006D0DC6">
            <w:pPr>
              <w:spacing w:line="240" w:lineRule="auto"/>
              <w:jc w:val="center"/>
              <w:rPr>
                <w:rFonts w:cs="Arial"/>
                <w:sz w:val="18"/>
                <w:szCs w:val="18"/>
              </w:rPr>
            </w:pPr>
            <w:r w:rsidRPr="006D0DC6">
              <w:rPr>
                <w:rFonts w:cs="Arial"/>
                <w:sz w:val="18"/>
                <w:szCs w:val="18"/>
              </w:rPr>
              <w:t>0,9</w:t>
            </w:r>
          </w:p>
          <w:p w14:paraId="574C0331" w14:textId="77777777" w:rsidR="006D0DC6" w:rsidRPr="006D0DC6" w:rsidRDefault="006D0DC6" w:rsidP="006D0DC6">
            <w:pPr>
              <w:spacing w:line="240" w:lineRule="auto"/>
              <w:jc w:val="center"/>
              <w:rPr>
                <w:rFonts w:cs="Arial"/>
                <w:sz w:val="18"/>
                <w:szCs w:val="18"/>
              </w:rPr>
            </w:pPr>
            <w:r w:rsidRPr="006D0DC6">
              <w:rPr>
                <w:rFonts w:cs="Arial"/>
                <w:sz w:val="18"/>
                <w:szCs w:val="18"/>
              </w:rPr>
              <w:t>0,6</w:t>
            </w:r>
          </w:p>
        </w:tc>
        <w:tc>
          <w:tcPr>
            <w:tcW w:w="1276" w:type="dxa"/>
            <w:tcBorders>
              <w:bottom w:val="single" w:sz="8" w:space="0" w:color="auto"/>
              <w:right w:val="single" w:sz="8" w:space="0" w:color="auto"/>
            </w:tcBorders>
            <w:shd w:val="clear" w:color="auto" w:fill="auto"/>
            <w:vAlign w:val="center"/>
          </w:tcPr>
          <w:p w14:paraId="1A2347E5" w14:textId="77777777" w:rsidR="006D0DC6" w:rsidRPr="006D0DC6" w:rsidRDefault="006D0DC6" w:rsidP="006D0DC6">
            <w:pPr>
              <w:keepNext/>
              <w:spacing w:line="240" w:lineRule="auto"/>
              <w:jc w:val="center"/>
              <w:rPr>
                <w:rFonts w:cs="Arial"/>
                <w:sz w:val="18"/>
                <w:szCs w:val="18"/>
              </w:rPr>
            </w:pPr>
            <w:r w:rsidRPr="006D0DC6">
              <w:rPr>
                <w:rFonts w:cs="Arial"/>
                <w:sz w:val="18"/>
                <w:szCs w:val="18"/>
              </w:rPr>
              <w:t>48,0</w:t>
            </w:r>
          </w:p>
        </w:tc>
      </w:tr>
    </w:tbl>
    <w:p w14:paraId="7FC586BB" w14:textId="77777777" w:rsidR="006D0DC6" w:rsidRDefault="006D0DC6" w:rsidP="001D367F"/>
    <w:p w14:paraId="57CEA4C6" w14:textId="77777777" w:rsidR="006D0DC6" w:rsidRPr="006D0DC6" w:rsidRDefault="006D0DC6" w:rsidP="006D0DC6">
      <w:r w:rsidRPr="006D0DC6">
        <w:t>Lösung Nr. 1 (W</w:t>
      </w:r>
      <w:r w:rsidRPr="006D0DC6">
        <w:rPr>
          <w:vertAlign w:val="subscript"/>
        </w:rPr>
        <w:t>1</w:t>
      </w:r>
      <w:r w:rsidR="004A167D">
        <w:t>) wu</w:t>
      </w:r>
      <w:r w:rsidRPr="006D0DC6">
        <w:t>rd</w:t>
      </w:r>
      <w:r w:rsidR="004A167D">
        <w:t>e</w:t>
      </w:r>
      <w:r w:rsidRPr="006D0DC6">
        <w:t xml:space="preserve"> tropfenweise unter Rühren mit dem Ultra-</w:t>
      </w:r>
      <w:r w:rsidR="004C111B">
        <w:t>Turrax</w:t>
      </w:r>
      <w:r>
        <w:t xml:space="preserve"> bei 10.000 Up</w:t>
      </w:r>
      <w:r w:rsidR="0026350F">
        <w:t>M zu</w:t>
      </w:r>
      <w:r w:rsidRPr="006D0DC6">
        <w:t xml:space="preserve"> Lösung Nr. 2 gegeben, sodass eine milchig trübe W</w:t>
      </w:r>
      <w:r w:rsidRPr="006D0DC6">
        <w:rPr>
          <w:vertAlign w:val="subscript"/>
        </w:rPr>
        <w:t>1</w:t>
      </w:r>
      <w:r w:rsidR="004A167D">
        <w:t>/O-Emulsion entstand</w:t>
      </w:r>
      <w:r w:rsidRPr="006D0DC6">
        <w:t>. Nach vollständige</w:t>
      </w:r>
      <w:r w:rsidR="004A167D">
        <w:t>r Zugabe der wässrigen Lösung wu</w:t>
      </w:r>
      <w:r w:rsidRPr="006D0DC6">
        <w:t>rd</w:t>
      </w:r>
      <w:r w:rsidR="004A167D">
        <w:t>e</w:t>
      </w:r>
      <w:r w:rsidRPr="006D0DC6">
        <w:t xml:space="preserve"> für 5 min bei 12.000 UpM homogenisiert. Die W</w:t>
      </w:r>
      <w:r w:rsidRPr="006D0DC6">
        <w:rPr>
          <w:vertAlign w:val="subscript"/>
        </w:rPr>
        <w:t>1</w:t>
      </w:r>
      <w:r w:rsidR="004A167D">
        <w:t>/O-Emulsion wurde</w:t>
      </w:r>
      <w:r w:rsidRPr="006D0DC6">
        <w:t xml:space="preserve"> tropfenweise unter Rühren</w:t>
      </w:r>
      <w:r w:rsidR="0026350F">
        <w:t xml:space="preserve"> mit dem Magnetrührer bei 800 UpM zu Lösung Nr. 3</w:t>
      </w:r>
      <w:r w:rsidRPr="006D0DC6">
        <w:t xml:space="preserve"> gegeben. Die nun entstandene W</w:t>
      </w:r>
      <w:r w:rsidRPr="006D0DC6">
        <w:rPr>
          <w:vertAlign w:val="subscript"/>
        </w:rPr>
        <w:t>1</w:t>
      </w:r>
      <w:r w:rsidRPr="006D0DC6">
        <w:t>/O/W</w:t>
      </w:r>
      <w:r w:rsidRPr="006D0DC6">
        <w:rPr>
          <w:vertAlign w:val="subscript"/>
        </w:rPr>
        <w:t>2</w:t>
      </w:r>
      <w:r w:rsidRPr="006D0DC6">
        <w:t xml:space="preserve"> </w:t>
      </w:r>
      <w:r w:rsidR="00F7074C">
        <w:t>Rohe</w:t>
      </w:r>
      <w:r w:rsidR="008F1C61">
        <w:t>mulsion wu</w:t>
      </w:r>
      <w:r w:rsidRPr="006D0DC6">
        <w:t>rd</w:t>
      </w:r>
      <w:r w:rsidR="008F1C61">
        <w:t>e</w:t>
      </w:r>
      <w:r w:rsidRPr="006D0DC6">
        <w:t xml:space="preserve"> für 5 min bei 12</w:t>
      </w:r>
      <w:r>
        <w:t>.000 UpM mit dem Ultra-Turrax</w:t>
      </w:r>
      <w:r w:rsidR="008F1C61">
        <w:t xml:space="preserve"> homogenisiert. Anschließend wu</w:t>
      </w:r>
      <w:r w:rsidRPr="006D0DC6">
        <w:t>rd</w:t>
      </w:r>
      <w:r w:rsidR="008F1C61">
        <w:t>e</w:t>
      </w:r>
      <w:r w:rsidRPr="006D0DC6">
        <w:t xml:space="preserve"> der Emulsion mithilfe des Rotationsverdampfers unter Anlegen eines Vakuums das restliche Ethylacetat entzogen </w:t>
      </w:r>
      <w:r w:rsidRPr="006D0DC6">
        <w:lastRenderedPageBreak/>
        <w:t>(Wasserbad 29</w:t>
      </w:r>
      <w:r w:rsidR="00A426B8">
        <w:t xml:space="preserve"> </w:t>
      </w:r>
      <w:r w:rsidRPr="006D0DC6">
        <w:t>°C</w:t>
      </w:r>
      <w:r w:rsidR="00E77A8D">
        <w:t>,</w:t>
      </w:r>
      <w:r w:rsidRPr="006D0DC6">
        <w:t xml:space="preserve"> bis </w:t>
      </w:r>
      <w:r w:rsidR="008F1C61">
        <w:t xml:space="preserve">durch schrittweises Absenken </w:t>
      </w:r>
      <w:r w:rsidRPr="006D0DC6">
        <w:t xml:space="preserve">ein Druck von 30 mbar erreicht wird, </w:t>
      </w:r>
      <w:r w:rsidR="0026350F">
        <w:t xml:space="preserve">für die Dauer von </w:t>
      </w:r>
      <w:r w:rsidRPr="006D0DC6">
        <w:t>ca. 20 min).</w:t>
      </w:r>
    </w:p>
    <w:p w14:paraId="2D942F0D" w14:textId="77777777" w:rsidR="006D0DC6" w:rsidRDefault="008F1C61" w:rsidP="003D6D5A">
      <w:pPr>
        <w:spacing w:after="120"/>
      </w:pPr>
      <w:r>
        <w:t>Es entstand</w:t>
      </w:r>
      <w:r w:rsidR="006D0DC6" w:rsidRPr="006D0DC6">
        <w:t xml:space="preserve"> eine milchig trübe Suspension, die während der Destillation </w:t>
      </w:r>
      <w:r>
        <w:t>etwas klarer und mehr opaleszierend wu</w:t>
      </w:r>
      <w:r w:rsidR="006D0DC6" w:rsidRPr="006D0DC6">
        <w:t>rd</w:t>
      </w:r>
      <w:r>
        <w:t>e</w:t>
      </w:r>
      <w:r w:rsidR="006D0DC6" w:rsidRPr="006D0DC6">
        <w:t>. Mithilfe des Nicomp particle sizing Syste</w:t>
      </w:r>
      <w:r w:rsidR="003666E2">
        <w:t>ms (DLS-Methode</w:t>
      </w:r>
      <w:r w:rsidR="00957D16">
        <w:t>) wurde</w:t>
      </w:r>
      <w:r w:rsidR="006D0DC6" w:rsidRPr="006D0DC6">
        <w:t xml:space="preserve"> die Partikelgröße ermittelt. Das Ergebnis der Partikelg</w:t>
      </w:r>
      <w:r w:rsidR="006D0DC6">
        <w:t>rößenmessung</w:t>
      </w:r>
      <w:r w:rsidR="00B121C5">
        <w:t xml:space="preserve"> von Partikeln aus PEA 09</w:t>
      </w:r>
      <w:r w:rsidR="006D0DC6">
        <w:t xml:space="preserve"> ist in</w:t>
      </w:r>
      <w:r w:rsidR="003666E2">
        <w:t xml:space="preserve"> </w:t>
      </w:r>
      <w:r w:rsidR="00D16240">
        <w:fldChar w:fldCharType="begin"/>
      </w:r>
      <w:r w:rsidR="003666E2">
        <w:instrText xml:space="preserve"> REF _Ref274176154 \h </w:instrText>
      </w:r>
      <w:r w:rsidR="00D16240">
        <w:fldChar w:fldCharType="separate"/>
      </w:r>
      <w:r w:rsidR="00711AB8" w:rsidRPr="003666E2">
        <w:t xml:space="preserve">Abbildung </w:t>
      </w:r>
      <w:r w:rsidR="00711AB8">
        <w:rPr>
          <w:noProof/>
        </w:rPr>
        <w:t>20</w:t>
      </w:r>
      <w:r w:rsidR="00D16240">
        <w:fldChar w:fldCharType="end"/>
      </w:r>
      <w:r w:rsidR="006D0DC6">
        <w:t xml:space="preserve"> </w:t>
      </w:r>
      <w:r w:rsidR="006D0DC6" w:rsidRPr="006D0DC6">
        <w:t>dargestellt.</w:t>
      </w:r>
    </w:p>
    <w:p w14:paraId="28DDC783" w14:textId="77777777" w:rsidR="000F6861" w:rsidRPr="007C3B4F" w:rsidRDefault="000F6861" w:rsidP="006D0DC6"/>
    <w:p w14:paraId="5F3BB27F" w14:textId="77777777" w:rsidR="003666E2" w:rsidRDefault="006D0DC6" w:rsidP="0026350F">
      <w:pPr>
        <w:spacing w:after="0"/>
      </w:pPr>
      <w:r>
        <w:rPr>
          <w:noProof/>
          <w:lang w:eastAsia="de-DE"/>
        </w:rPr>
        <w:drawing>
          <wp:inline distT="0" distB="0" distL="0" distR="0" wp14:anchorId="35BC325C" wp14:editId="0FE4B24A">
            <wp:extent cx="5083175" cy="3085465"/>
            <wp:effectExtent l="0" t="0" r="0" b="0"/>
            <wp:docPr id="17510" name="Diagramm 175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03B9E09" w14:textId="77777777" w:rsidR="003666E2" w:rsidRPr="003666E2" w:rsidRDefault="003666E2" w:rsidP="003D6D5A">
      <w:pPr>
        <w:pStyle w:val="Beschriftung"/>
        <w:spacing w:after="120"/>
        <w:ind w:firstLine="0"/>
        <w:rPr>
          <w:b w:val="0"/>
        </w:rPr>
      </w:pPr>
      <w:bookmarkStart w:id="208" w:name="_Ref274176154"/>
      <w:r w:rsidRPr="003666E2">
        <w:t xml:space="preserve">Abbildung </w:t>
      </w:r>
      <w:fldSimple w:instr=" SEQ Abbildung \* ARABIC ">
        <w:r w:rsidR="00711AB8">
          <w:rPr>
            <w:noProof/>
          </w:rPr>
          <w:t>20</w:t>
        </w:r>
      </w:fldSimple>
      <w:bookmarkEnd w:id="208"/>
      <w:r>
        <w:t xml:space="preserve"> </w:t>
      </w:r>
      <w:r w:rsidRPr="003666E2">
        <w:rPr>
          <w:b w:val="0"/>
        </w:rPr>
        <w:t>DLS</w:t>
      </w:r>
      <w:r>
        <w:t>-</w:t>
      </w:r>
      <w:r w:rsidRPr="003666E2">
        <w:rPr>
          <w:b w:val="0"/>
        </w:rPr>
        <w:t xml:space="preserve">Messung: </w:t>
      </w:r>
      <w:r>
        <w:rPr>
          <w:b w:val="0"/>
        </w:rPr>
        <w:t>Partikelgrößenverteilung der PEA Cystein Partikelsuspension nach Anwendung der optimierten Doppelemulsionsmethode</w:t>
      </w:r>
      <w:r w:rsidR="00A157F1">
        <w:rPr>
          <w:b w:val="0"/>
        </w:rPr>
        <w:t xml:space="preserve">, Versuch Nr. 8 in </w:t>
      </w:r>
      <w:r w:rsidR="00057BAF">
        <w:fldChar w:fldCharType="begin"/>
      </w:r>
      <w:r w:rsidR="00057BAF">
        <w:instrText xml:space="preserve"> REF _Ref402278387 \h  \* MERGEFORMAT </w:instrText>
      </w:r>
      <w:r w:rsidR="00057BAF">
        <w:fldChar w:fldCharType="separate"/>
      </w:r>
      <w:r w:rsidR="00711AB8" w:rsidRPr="00711AB8">
        <w:rPr>
          <w:b w:val="0"/>
        </w:rPr>
        <w:t xml:space="preserve">Tabelle </w:t>
      </w:r>
      <w:r w:rsidR="00711AB8" w:rsidRPr="00711AB8">
        <w:rPr>
          <w:b w:val="0"/>
          <w:noProof/>
        </w:rPr>
        <w:t>20</w:t>
      </w:r>
      <w:r w:rsidR="00057BAF">
        <w:fldChar w:fldCharType="end"/>
      </w:r>
      <w:r w:rsidR="000E60F9">
        <w:rPr>
          <w:b w:val="0"/>
        </w:rPr>
        <w:t xml:space="preserve"> </w:t>
      </w:r>
      <w:r w:rsidR="005C5370">
        <w:rPr>
          <w:b w:val="0"/>
        </w:rPr>
        <w:t>mit PEA 09</w:t>
      </w:r>
      <w:r w:rsidR="00906DB9">
        <w:rPr>
          <w:b w:val="0"/>
        </w:rPr>
        <w:t>.</w:t>
      </w:r>
    </w:p>
    <w:p w14:paraId="5A2A8853" w14:textId="77777777" w:rsidR="003666E2" w:rsidRDefault="003666E2" w:rsidP="001D367F"/>
    <w:p w14:paraId="2CBCB5D0" w14:textId="77777777" w:rsidR="00D36C6D" w:rsidRDefault="000654BF" w:rsidP="00C3335D">
      <w:r>
        <w:t>Die optimierte Herste</w:t>
      </w:r>
      <w:r w:rsidR="002C1925">
        <w:t>llungsmethode führte mit</w:t>
      </w:r>
      <w:r>
        <w:t xml:space="preserve"> PEA 09 noch immer zu einer bimodalen Partikelgrößenverteilung (</w:t>
      </w:r>
      <w:r w:rsidR="002C1925">
        <w:t xml:space="preserve">siehe </w:t>
      </w:r>
      <w:r w:rsidR="00D16240">
        <w:fldChar w:fldCharType="begin"/>
      </w:r>
      <w:r w:rsidR="002C1925">
        <w:instrText xml:space="preserve"> REF _Ref274176154 \h </w:instrText>
      </w:r>
      <w:r w:rsidR="00D16240">
        <w:fldChar w:fldCharType="separate"/>
      </w:r>
      <w:r w:rsidR="00711AB8" w:rsidRPr="003666E2">
        <w:t xml:space="preserve">Abbildung </w:t>
      </w:r>
      <w:r w:rsidR="00711AB8">
        <w:rPr>
          <w:noProof/>
        </w:rPr>
        <w:t>20</w:t>
      </w:r>
      <w:r w:rsidR="00D16240">
        <w:fldChar w:fldCharType="end"/>
      </w:r>
      <w:r w:rsidR="00430C03">
        <w:t>), wobei ein hoher</w:t>
      </w:r>
      <w:r w:rsidR="00B121C5">
        <w:t xml:space="preserve"> und schmaler</w:t>
      </w:r>
      <w:r w:rsidR="002C1925">
        <w:t xml:space="preserve"> Peak bei 243 nm </w:t>
      </w:r>
      <w:r w:rsidR="00B121C5">
        <w:t xml:space="preserve">liegt </w:t>
      </w:r>
      <w:r w:rsidR="002C1925">
        <w:t>und</w:t>
      </w:r>
      <w:r w:rsidR="00B121C5">
        <w:t xml:space="preserve"> ein kleinerer etwas breiterer bei 491 nm erscheint</w:t>
      </w:r>
      <w:r w:rsidR="002C1925">
        <w:t>.</w:t>
      </w:r>
      <w:r w:rsidR="0027426E">
        <w:t xml:space="preserve"> Der mittlere Partikeldurchmesser </w:t>
      </w:r>
      <w:r w:rsidR="008F1C61">
        <w:t>lag</w:t>
      </w:r>
      <w:r w:rsidR="0027426E">
        <w:t xml:space="preserve"> bei 392 nm mit einem PDI von 0,150.</w:t>
      </w:r>
      <w:r w:rsidR="002C1925">
        <w:t xml:space="preserve"> Die Bildung von größeren Partikeln im Bereich zwischen 1,4 µm und 3,</w:t>
      </w:r>
      <w:r w:rsidR="0027426E">
        <w:t>3 µm konnte</w:t>
      </w:r>
      <w:r w:rsidR="00B121C5">
        <w:t xml:space="preserve"> durch die Beimischung von Ethylacetat erfolgreich verhindert werden.</w:t>
      </w:r>
    </w:p>
    <w:p w14:paraId="5E97C859" w14:textId="77777777" w:rsidR="000E60F9" w:rsidRDefault="00B121C5" w:rsidP="00B24EE2">
      <w:r>
        <w:t xml:space="preserve">Ein weiterer Versuch wurde mit einer neuen Polymercharge des Cystein PEA Typs, mit PEA 10, durchgeführt. </w:t>
      </w:r>
      <w:r w:rsidR="00FC1E7F">
        <w:t>Nachdem die Partikel mit</w:t>
      </w:r>
      <w:r w:rsidR="006B6086">
        <w:t xml:space="preserve"> der optimierten Methode hergestellt wurden, wurde Lösung Nr. 4 aus </w:t>
      </w:r>
      <w:r w:rsidR="00D16240">
        <w:fldChar w:fldCharType="begin"/>
      </w:r>
      <w:r w:rsidR="006B6086">
        <w:instrText xml:space="preserve"> REF _Ref274175481 \h </w:instrText>
      </w:r>
      <w:r w:rsidR="00D16240">
        <w:fldChar w:fldCharType="separate"/>
      </w:r>
      <w:r w:rsidR="00711AB8" w:rsidRPr="006D0DC6">
        <w:t xml:space="preserve">Tabelle </w:t>
      </w:r>
      <w:r w:rsidR="00711AB8">
        <w:rPr>
          <w:noProof/>
        </w:rPr>
        <w:t>21</w:t>
      </w:r>
      <w:r w:rsidR="00D16240">
        <w:fldChar w:fldCharType="end"/>
      </w:r>
      <w:r w:rsidR="006B6086">
        <w:t xml:space="preserve"> angesetzt und entsprechend der in </w:t>
      </w:r>
      <w:r w:rsidR="00C51104">
        <w:t xml:space="preserve">den </w:t>
      </w:r>
      <w:r w:rsidR="006B6086">
        <w:t>Kapitel</w:t>
      </w:r>
      <w:r w:rsidR="00C51104">
        <w:t>n</w:t>
      </w:r>
      <w:r w:rsidR="006B6086">
        <w:t xml:space="preserve"> </w:t>
      </w:r>
      <w:r w:rsidR="00D16240">
        <w:fldChar w:fldCharType="begin"/>
      </w:r>
      <w:r w:rsidR="006B6086">
        <w:instrText xml:space="preserve"> REF _Ref273140541 \n \h </w:instrText>
      </w:r>
      <w:r w:rsidR="00D16240">
        <w:fldChar w:fldCharType="separate"/>
      </w:r>
      <w:r w:rsidR="00711AB8">
        <w:t>4.1.3</w:t>
      </w:r>
      <w:r w:rsidR="00D16240">
        <w:fldChar w:fldCharType="end"/>
      </w:r>
      <w:r w:rsidR="006B6086">
        <w:t xml:space="preserve"> </w:t>
      </w:r>
      <w:r w:rsidR="009643C7">
        <w:t xml:space="preserve">und </w:t>
      </w:r>
      <w:r w:rsidR="00D16240">
        <w:fldChar w:fldCharType="begin"/>
      </w:r>
      <w:r w:rsidR="009643C7">
        <w:instrText xml:space="preserve"> REF _Ref273379282 \n \h </w:instrText>
      </w:r>
      <w:r w:rsidR="00D16240">
        <w:fldChar w:fldCharType="separate"/>
      </w:r>
      <w:r w:rsidR="00711AB8">
        <w:t>4.2.3</w:t>
      </w:r>
      <w:r w:rsidR="00D16240">
        <w:fldChar w:fldCharType="end"/>
      </w:r>
      <w:r w:rsidR="009643C7">
        <w:t xml:space="preserve"> </w:t>
      </w:r>
      <w:r w:rsidR="006B6086">
        <w:t>beschriebenen</w:t>
      </w:r>
      <w:r w:rsidR="00FC1E7F">
        <w:t xml:space="preserve"> optimierten Gefriertrocknungsmethode getrocknet</w:t>
      </w:r>
      <w:r w:rsidR="006B6086">
        <w:t>.</w:t>
      </w:r>
      <w:r w:rsidR="00430C03">
        <w:t xml:space="preserve"> Die Partikelgrößenverteilung wurde </w:t>
      </w:r>
      <w:r w:rsidR="006B6086">
        <w:t xml:space="preserve">direkt nach der Herstellung und Aufreinigung der Partikel in Suspension und nach der Trocknung und Redispergierung des Lyophilisats gemessen. Die Ergebnisse wurden </w:t>
      </w:r>
      <w:r w:rsidR="00430C03">
        <w:t xml:space="preserve">in </w:t>
      </w:r>
      <w:r w:rsidR="00D16240">
        <w:fldChar w:fldCharType="begin"/>
      </w:r>
      <w:r w:rsidR="00430C03">
        <w:instrText xml:space="preserve"> REF _Ref274248281 \h </w:instrText>
      </w:r>
      <w:r w:rsidR="00D16240">
        <w:fldChar w:fldCharType="separate"/>
      </w:r>
      <w:r w:rsidR="00711AB8" w:rsidRPr="00430C03">
        <w:t xml:space="preserve">Abbildung </w:t>
      </w:r>
      <w:r w:rsidR="00711AB8">
        <w:rPr>
          <w:noProof/>
        </w:rPr>
        <w:t>21</w:t>
      </w:r>
      <w:r w:rsidR="00D16240">
        <w:fldChar w:fldCharType="end"/>
      </w:r>
      <w:r w:rsidR="00316AC2">
        <w:t xml:space="preserve"> graf</w:t>
      </w:r>
      <w:r w:rsidR="00430C03">
        <w:t>isch aufgetragen.</w:t>
      </w:r>
    </w:p>
    <w:p w14:paraId="7FEDEBB9" w14:textId="77777777" w:rsidR="00D36C6D" w:rsidRDefault="00D36C6D" w:rsidP="001846EA">
      <w:pPr>
        <w:spacing w:after="0"/>
      </w:pPr>
      <w:r>
        <w:rPr>
          <w:noProof/>
          <w:lang w:eastAsia="de-DE"/>
        </w:rPr>
        <w:lastRenderedPageBreak/>
        <w:drawing>
          <wp:inline distT="0" distB="0" distL="0" distR="0" wp14:anchorId="53988391" wp14:editId="1CFC44D8">
            <wp:extent cx="5257263" cy="3271129"/>
            <wp:effectExtent l="0" t="0" r="635" b="5715"/>
            <wp:docPr id="17512" name="Diagramm 175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5791FE6" w14:textId="77777777" w:rsidR="00430C03" w:rsidRDefault="00430C03" w:rsidP="003D6D5A">
      <w:pPr>
        <w:pStyle w:val="Beschriftung"/>
        <w:spacing w:after="120"/>
        <w:ind w:firstLine="0"/>
        <w:rPr>
          <w:b w:val="0"/>
        </w:rPr>
      </w:pPr>
      <w:bookmarkStart w:id="209" w:name="_Ref274248281"/>
      <w:r w:rsidRPr="00430C03">
        <w:t xml:space="preserve">Abbildung </w:t>
      </w:r>
      <w:fldSimple w:instr=" SEQ Abbildung \* ARABIC ">
        <w:r w:rsidR="00711AB8">
          <w:rPr>
            <w:noProof/>
          </w:rPr>
          <w:t>21</w:t>
        </w:r>
      </w:fldSimple>
      <w:bookmarkEnd w:id="209"/>
      <w:r w:rsidR="001846EA">
        <w:t xml:space="preserve"> </w:t>
      </w:r>
      <w:r w:rsidR="001846EA" w:rsidRPr="003666E2">
        <w:rPr>
          <w:b w:val="0"/>
        </w:rPr>
        <w:t>DLS</w:t>
      </w:r>
      <w:r w:rsidR="001846EA">
        <w:t>-</w:t>
      </w:r>
      <w:r w:rsidR="001846EA" w:rsidRPr="003666E2">
        <w:rPr>
          <w:b w:val="0"/>
        </w:rPr>
        <w:t xml:space="preserve">Messung: </w:t>
      </w:r>
      <w:r w:rsidR="001846EA">
        <w:rPr>
          <w:b w:val="0"/>
        </w:rPr>
        <w:t>Partikelgrößenverteilung der PEA Cystein Partikelsuspension nach Anwendung der optimierten Doppelemulsionsmethode, Vers</w:t>
      </w:r>
      <w:r w:rsidR="00137F91">
        <w:rPr>
          <w:b w:val="0"/>
        </w:rPr>
        <w:t>uch Nr. 10</w:t>
      </w:r>
      <w:r w:rsidR="001846EA">
        <w:rPr>
          <w:b w:val="0"/>
        </w:rPr>
        <w:t xml:space="preserve"> in </w:t>
      </w:r>
      <w:r w:rsidR="00057BAF">
        <w:fldChar w:fldCharType="begin"/>
      </w:r>
      <w:r w:rsidR="00057BAF">
        <w:instrText xml:space="preserve"> REF _Ref402278387 \h  \* MERGEFORMAT </w:instrText>
      </w:r>
      <w:r w:rsidR="00057BAF">
        <w:fldChar w:fldCharType="separate"/>
      </w:r>
      <w:r w:rsidR="00711AB8" w:rsidRPr="00711AB8">
        <w:rPr>
          <w:b w:val="0"/>
        </w:rPr>
        <w:t xml:space="preserve">Tabelle </w:t>
      </w:r>
      <w:r w:rsidR="00711AB8" w:rsidRPr="00711AB8">
        <w:rPr>
          <w:b w:val="0"/>
          <w:noProof/>
        </w:rPr>
        <w:t>20</w:t>
      </w:r>
      <w:r w:rsidR="00057BAF">
        <w:fldChar w:fldCharType="end"/>
      </w:r>
      <w:r w:rsidR="000E60F9">
        <w:rPr>
          <w:b w:val="0"/>
        </w:rPr>
        <w:t xml:space="preserve"> </w:t>
      </w:r>
      <w:r w:rsidR="001846EA">
        <w:rPr>
          <w:b w:val="0"/>
        </w:rPr>
        <w:t>mit PEA 10, blau: vor dem Trocknen, rot: nach dem Trocknen und Redispergieren der Probe in destilliertem Wasser</w:t>
      </w:r>
      <w:r w:rsidR="00906DB9">
        <w:rPr>
          <w:b w:val="0"/>
        </w:rPr>
        <w:t>.</w:t>
      </w:r>
    </w:p>
    <w:p w14:paraId="72C9B8F5" w14:textId="77777777" w:rsidR="0027426E" w:rsidRDefault="0027426E" w:rsidP="001D367F"/>
    <w:p w14:paraId="3FC97941" w14:textId="77777777" w:rsidR="0027426E" w:rsidRDefault="00B613C6" w:rsidP="0027426E">
      <w:r>
        <w:t>Bei der Partikelherstellung mit</w:t>
      </w:r>
      <w:r w:rsidR="0027426E">
        <w:t xml:space="preserve"> PEA 10 wurde eine monomodale Partikelgrößenverteilung erhalten (siehe </w:t>
      </w:r>
      <w:r w:rsidR="00D16240">
        <w:fldChar w:fldCharType="begin"/>
      </w:r>
      <w:r w:rsidR="0027426E">
        <w:instrText xml:space="preserve"> REF _Ref274248281 \h </w:instrText>
      </w:r>
      <w:r w:rsidR="00D16240">
        <w:fldChar w:fldCharType="separate"/>
      </w:r>
      <w:r w:rsidR="00711AB8" w:rsidRPr="00430C03">
        <w:t xml:space="preserve">Abbildung </w:t>
      </w:r>
      <w:r w:rsidR="00711AB8">
        <w:rPr>
          <w:noProof/>
        </w:rPr>
        <w:t>21</w:t>
      </w:r>
      <w:r w:rsidR="00D16240">
        <w:fldChar w:fldCharType="end"/>
      </w:r>
      <w:r w:rsidR="0027426E">
        <w:t>), der mittlere Partikeldurchm</w:t>
      </w:r>
      <w:r w:rsidR="00C51104">
        <w:t>esser liegt bei 457 nm und</w:t>
      </w:r>
      <w:r w:rsidR="0027426E">
        <w:t xml:space="preserve"> </w:t>
      </w:r>
      <w:r w:rsidR="00C51104">
        <w:t>der PDI beträgt</w:t>
      </w:r>
      <w:r w:rsidR="0027426E">
        <w:t xml:space="preserve"> </w:t>
      </w:r>
      <w:r w:rsidR="00A66EAC">
        <w:t>0,126</w:t>
      </w:r>
      <w:r w:rsidR="0027426E">
        <w:t>.</w:t>
      </w:r>
    </w:p>
    <w:p w14:paraId="2F3D7BF8" w14:textId="77777777" w:rsidR="00B438D6" w:rsidRDefault="0027426E" w:rsidP="001539E5">
      <w:r>
        <w:t>Ein Vergleich der Partikelgrößenverteilung vor der Trockn</w:t>
      </w:r>
      <w:r w:rsidR="00B613C6">
        <w:t xml:space="preserve">ung (blaue Kurve) mit der Verteilung nach der Trocknung und </w:t>
      </w:r>
      <w:r w:rsidR="00563E46">
        <w:t>Redispergierung der</w:t>
      </w:r>
      <w:r>
        <w:t xml:space="preserve"> Partikel</w:t>
      </w:r>
      <w:r w:rsidR="00B613C6">
        <w:t xml:space="preserve"> in Wasser (</w:t>
      </w:r>
      <w:r w:rsidR="00762898">
        <w:t>rote Kurve) zeigt, dass sich die Partikelgröße durch die Trocknung leicht zu größeren Partikeldurchmessern hin verschoben</w:t>
      </w:r>
      <w:r w:rsidR="003D6D5A">
        <w:t xml:space="preserve"> hat. Nach der Trocknung betrug</w:t>
      </w:r>
      <w:r w:rsidR="00762898">
        <w:t xml:space="preserve"> der </w:t>
      </w:r>
      <w:r w:rsidR="00390AE0">
        <w:t xml:space="preserve">anzahlgewichtete </w:t>
      </w:r>
      <w:r w:rsidR="00762898">
        <w:t>mittlere Partikeldurchmesser 509 nm</w:t>
      </w:r>
      <w:r w:rsidR="00563E46">
        <w:t xml:space="preserve"> </w:t>
      </w:r>
      <w:r w:rsidR="000E60F9">
        <w:t>und der</w:t>
      </w:r>
      <w:r w:rsidR="00563E46">
        <w:t xml:space="preserve"> PDI </w:t>
      </w:r>
      <w:r w:rsidR="00A66EAC">
        <w:t>0,259</w:t>
      </w:r>
      <w:r w:rsidR="00762898">
        <w:t>.</w:t>
      </w:r>
    </w:p>
    <w:p w14:paraId="64C9AC43" w14:textId="77777777" w:rsidR="00563E46" w:rsidRDefault="00B438D6" w:rsidP="0027426E">
      <w:r>
        <w:t>Die Erhöhung des mittleren Partikeldurchmessers um 52 nm kann dadurch erklärt werden, dass ein</w:t>
      </w:r>
      <w:r w:rsidR="000E60F9">
        <w:t xml:space="preserve"> </w:t>
      </w:r>
      <w:r>
        <w:t>Ant</w:t>
      </w:r>
      <w:r w:rsidR="00632D1F">
        <w:t>eil der Partikel nicht redispergiert werden konnte</w:t>
      </w:r>
      <w:r>
        <w:t xml:space="preserve">. Eine </w:t>
      </w:r>
      <w:r w:rsidR="00632D1F">
        <w:t xml:space="preserve">relativ </w:t>
      </w:r>
      <w:r>
        <w:t>geringe Anz</w:t>
      </w:r>
      <w:r w:rsidR="00390AE0">
        <w:t xml:space="preserve">ahl an </w:t>
      </w:r>
      <w:r w:rsidR="0029144F">
        <w:t xml:space="preserve">deutlich </w:t>
      </w:r>
      <w:r w:rsidR="00390AE0">
        <w:t>größeren Partikeln wird</w:t>
      </w:r>
      <w:r>
        <w:t xml:space="preserve"> </w:t>
      </w:r>
      <w:r w:rsidR="00632D1F">
        <w:t xml:space="preserve">bei der verwendeten DLS Messung noch </w:t>
      </w:r>
      <w:r>
        <w:t>nicht als ge</w:t>
      </w:r>
      <w:r w:rsidR="00390AE0">
        <w:t>trennter Peak aufgelöst, fließt</w:t>
      </w:r>
      <w:r>
        <w:t xml:space="preserve"> jedoch in die Gesamtverteilung statistisch mit ein</w:t>
      </w:r>
      <w:r w:rsidR="00632D1F">
        <w:t xml:space="preserve"> und führt zu einem größeren mittleren Partikeldurchmesser</w:t>
      </w:r>
      <w:r>
        <w:t>.</w:t>
      </w:r>
      <w:r w:rsidR="00390AE0">
        <w:t xml:space="preserve"> Für diese Erklärung spricht auch, dass der volumenbezogene mittlere Partikeldurchmesser mit 557 nm größer ist, als der anzahlgewichtete </w:t>
      </w:r>
      <w:r w:rsidR="00632D1F">
        <w:t xml:space="preserve">mittlere </w:t>
      </w:r>
      <w:r w:rsidR="00390AE0">
        <w:t>Durchmesser</w:t>
      </w:r>
      <w:r w:rsidR="00632D1F">
        <w:t xml:space="preserve"> mit 509 nm</w:t>
      </w:r>
      <w:r w:rsidR="00390AE0">
        <w:t>. Bei der volumengewichteten Auswertung fallen gegenüber der anzahlgewichteten Verteilung wenige groß</w:t>
      </w:r>
      <w:r w:rsidR="00632D1F">
        <w:t>e Partikel bereits stärker ins Gewicht.</w:t>
      </w:r>
      <w:r w:rsidR="0029144F">
        <w:t xml:space="preserve"> Daher kann davon ausgegangen werden, dass der größte Anteil</w:t>
      </w:r>
      <w:r w:rsidR="000D60DA">
        <w:t xml:space="preserve"> der </w:t>
      </w:r>
      <w:r w:rsidR="00846E62">
        <w:t>Primärpartikel</w:t>
      </w:r>
      <w:r w:rsidR="0029144F">
        <w:t xml:space="preserve"> u</w:t>
      </w:r>
      <w:r w:rsidR="00846E62">
        <w:t>nverändert redispergierbar war.</w:t>
      </w:r>
    </w:p>
    <w:p w14:paraId="27E27802" w14:textId="77777777" w:rsidR="00FD0DE0" w:rsidRDefault="004B7A75" w:rsidP="0027426E">
      <w:r>
        <w:lastRenderedPageBreak/>
        <w:t>Für die Partikel aus PEA 10 wurde im Gegensatz zu denen aus</w:t>
      </w:r>
      <w:r w:rsidR="0055291A">
        <w:t xml:space="preserve"> PEA 09 eine monomodale Partike</w:t>
      </w:r>
      <w:r>
        <w:t>lgrößenverteilung erhalten</w:t>
      </w:r>
      <w:r w:rsidR="0055291A">
        <w:t>,</w:t>
      </w:r>
      <w:r w:rsidR="004E582E">
        <w:t xml:space="preserve"> wobei der höhere</w:t>
      </w:r>
      <w:r>
        <w:t xml:space="preserve"> </w:t>
      </w:r>
      <w:r w:rsidR="004E582E">
        <w:t>der beiden Peaks von 243 nm im</w:t>
      </w:r>
      <w:r>
        <w:t xml:space="preserve"> Versuch mit PEA 09 be</w:t>
      </w:r>
      <w:r w:rsidR="004E582E">
        <w:t>i Verwendung von PEA 10 wegfiel</w:t>
      </w:r>
      <w:r>
        <w:t xml:space="preserve"> (Vergleich von </w:t>
      </w:r>
      <w:r w:rsidR="00D16240">
        <w:fldChar w:fldCharType="begin"/>
      </w:r>
      <w:r>
        <w:instrText xml:space="preserve"> REF _Ref274176154 \h </w:instrText>
      </w:r>
      <w:r w:rsidR="00D16240">
        <w:fldChar w:fldCharType="separate"/>
      </w:r>
      <w:r w:rsidR="00711AB8" w:rsidRPr="003666E2">
        <w:t xml:space="preserve">Abbildung </w:t>
      </w:r>
      <w:r w:rsidR="00711AB8">
        <w:rPr>
          <w:noProof/>
        </w:rPr>
        <w:t>20</w:t>
      </w:r>
      <w:r w:rsidR="00D16240">
        <w:fldChar w:fldCharType="end"/>
      </w:r>
      <w:r>
        <w:t xml:space="preserve"> mit </w:t>
      </w:r>
      <w:r w:rsidR="00D16240">
        <w:fldChar w:fldCharType="begin"/>
      </w:r>
      <w:r>
        <w:instrText xml:space="preserve"> REF _Ref274248281 \h </w:instrText>
      </w:r>
      <w:r w:rsidR="00D16240">
        <w:fldChar w:fldCharType="separate"/>
      </w:r>
      <w:r w:rsidR="00711AB8" w:rsidRPr="00430C03">
        <w:t xml:space="preserve">Abbildung </w:t>
      </w:r>
      <w:r w:rsidR="00711AB8">
        <w:rPr>
          <w:noProof/>
        </w:rPr>
        <w:t>21</w:t>
      </w:r>
      <w:r w:rsidR="00D16240">
        <w:fldChar w:fldCharType="end"/>
      </w:r>
      <w:r>
        <w:t>) und alle Partikel im Bereich des zweiten</w:t>
      </w:r>
      <w:r w:rsidR="004E582E">
        <w:t xml:space="preserve"> und bei PEA 09 kleineren</w:t>
      </w:r>
      <w:r>
        <w:t xml:space="preserve"> Peaks </w:t>
      </w:r>
      <w:r w:rsidR="004E582E">
        <w:t>zwischen 380</w:t>
      </w:r>
      <w:r w:rsidR="001539E5">
        <w:t> nm</w:t>
      </w:r>
      <w:r w:rsidR="004E582E">
        <w:t xml:space="preserve"> und 700 nm lagen</w:t>
      </w:r>
      <w:r>
        <w:t>.</w:t>
      </w:r>
    </w:p>
    <w:p w14:paraId="3622AD42" w14:textId="77777777" w:rsidR="00957D16" w:rsidRDefault="004E582E" w:rsidP="0027426E">
      <w:r>
        <w:t>Als Erk</w:t>
      </w:r>
      <w:r w:rsidR="008F1C61">
        <w:t>lärung für diese Beobachtung</w:t>
      </w:r>
      <w:r>
        <w:t xml:space="preserve"> kommen mehrere Faktoren in Frage.</w:t>
      </w:r>
      <w:r w:rsidR="007F10AF">
        <w:t xml:space="preserve"> Da zwischen den Polymerchargen Unterschiede in der Lö</w:t>
      </w:r>
      <w:r w:rsidR="0055291A">
        <w:t>slichkeit bestanden, musste die</w:t>
      </w:r>
      <w:r w:rsidR="007F10AF">
        <w:t xml:space="preserve"> Zusammensetzung de</w:t>
      </w:r>
      <w:r w:rsidR="0055291A">
        <w:t>s Lösungsmittelgemisches geändert</w:t>
      </w:r>
      <w:r>
        <w:t xml:space="preserve"> werden. Dies</w:t>
      </w:r>
      <w:r w:rsidR="00FD0DE0">
        <w:t>e Anpassung der Methode</w:t>
      </w:r>
      <w:r w:rsidR="008F1C61">
        <w:t xml:space="preserve"> kann durchaus einen Einfluss auf die </w:t>
      </w:r>
      <w:r>
        <w:t>Partikelgrö</w:t>
      </w:r>
      <w:r w:rsidR="008F1C61">
        <w:t xml:space="preserve">ße </w:t>
      </w:r>
      <w:r>
        <w:t>haben.</w:t>
      </w:r>
      <w:r w:rsidR="007F10AF">
        <w:t xml:space="preserve"> Die Versuche mit PEA 09 konnten</w:t>
      </w:r>
      <w:r w:rsidR="0055291A">
        <w:t xml:space="preserve"> aufgrund der begrenzten Ve</w:t>
      </w:r>
      <w:r w:rsidR="00440FDD">
        <w:t>rfügbarkeit des Materials</w:t>
      </w:r>
      <w:r w:rsidR="008F1C61">
        <w:t xml:space="preserve"> nicht</w:t>
      </w:r>
      <w:r w:rsidR="0055291A">
        <w:t xml:space="preserve"> </w:t>
      </w:r>
      <w:r w:rsidR="007F10AF">
        <w:t>mit dem gleichen</w:t>
      </w:r>
      <w:r w:rsidR="0055291A">
        <w:t xml:space="preserve"> Verhältnis von Ethylacetat zu DCM wie im Versuch mit PEA 10 wiederholt werden.</w:t>
      </w:r>
      <w:r w:rsidR="00FD0DE0">
        <w:t xml:space="preserve"> Somit konnte nicht sicher geklärt werden, ob ausschließlich die Zusammensetzung des Lösungsmittels für die Unterschiede in der Partikelgrößenverteilung verantwortlich war.</w:t>
      </w:r>
      <w:r w:rsidR="0055291A">
        <w:t xml:space="preserve"> </w:t>
      </w:r>
      <w:r>
        <w:t>Außerdem unterscheiden sich die Polymere</w:t>
      </w:r>
      <w:r w:rsidR="004A167D">
        <w:t>, wenn auch nur eher geringfügig,</w:t>
      </w:r>
      <w:r w:rsidR="008F1C61">
        <w:t xml:space="preserve"> in ihrem</w:t>
      </w:r>
      <w:r w:rsidR="004A167D">
        <w:t xml:space="preserve"> </w:t>
      </w:r>
      <w:r>
        <w:t>Molekulargewicht</w:t>
      </w:r>
      <w:r w:rsidR="008F1C61">
        <w:t xml:space="preserve"> voneinander</w:t>
      </w:r>
      <w:r w:rsidR="00AE69F3">
        <w:t xml:space="preserve">. </w:t>
      </w:r>
      <w:r w:rsidR="004A167D">
        <w:t>Das mittlere Molekularge</w:t>
      </w:r>
      <w:r w:rsidR="00AE69F3">
        <w:t>wicht von PEA 10 beträgt 18.000 </w:t>
      </w:r>
      <w:r w:rsidR="004A167D">
        <w:t>g/mol und das von</w:t>
      </w:r>
      <w:r w:rsidR="00AE69F3">
        <w:t xml:space="preserve"> PEA 09 liegt bei 21.100 g/mol. </w:t>
      </w:r>
      <w:r w:rsidR="00FD0DE0">
        <w:t>Die Anzahl der enthaltenen Cysteingruppen sollte a</w:t>
      </w:r>
      <w:r w:rsidR="00AE69F3">
        <w:t>usgehend von den Reaktionsbedingungen</w:t>
      </w:r>
      <w:r w:rsidR="00FD0DE0">
        <w:t xml:space="preserve"> bei beiden Chargen</w:t>
      </w:r>
      <w:r w:rsidR="00AE69F3">
        <w:t xml:space="preserve"> gleich sein. </w:t>
      </w:r>
      <w:r w:rsidR="004A167D">
        <w:t>Die Unterschiede</w:t>
      </w:r>
      <w:r w:rsidR="00FD0DE0">
        <w:t xml:space="preserve"> zwischen den beiden Polymerchargen</w:t>
      </w:r>
      <w:r w:rsidR="004A167D">
        <w:t xml:space="preserve"> erscheinen </w:t>
      </w:r>
      <w:r w:rsidR="00FD0DE0">
        <w:t xml:space="preserve">daher </w:t>
      </w:r>
      <w:r w:rsidR="004A167D">
        <w:t>geringfügig, führten jedoch bereits zu einer Veränderung der Löslichkeit. In Bezug auf die Partikelgrößenverteilung ist jedoch</w:t>
      </w:r>
      <w:r w:rsidR="008F1C61">
        <w:t xml:space="preserve"> eher</w:t>
      </w:r>
      <w:r w:rsidR="004A167D">
        <w:t xml:space="preserve"> davon auszugehen, dass die</w:t>
      </w:r>
      <w:r w:rsidR="00FD0DE0">
        <w:t xml:space="preserve"> Unterschiede in der</w:t>
      </w:r>
      <w:r w:rsidR="004A167D">
        <w:t xml:space="preserve"> Zusammensetzung des Lösung</w:t>
      </w:r>
      <w:r w:rsidR="00FD0DE0">
        <w:t>smittels für die unterschiedlichen</w:t>
      </w:r>
      <w:r w:rsidR="00906DB9">
        <w:t xml:space="preserve"> Ergebnisse verantwortlich war</w:t>
      </w:r>
      <w:r w:rsidR="00FD0DE0">
        <w:t>en</w:t>
      </w:r>
      <w:r w:rsidR="004A167D">
        <w:t xml:space="preserve"> und nicht die geringen</w:t>
      </w:r>
      <w:r w:rsidR="00351A0E">
        <w:t xml:space="preserve"> chemischen</w:t>
      </w:r>
      <w:r w:rsidR="008F1C61">
        <w:t xml:space="preserve"> Unterschiede zwischen den beiden Polymerchargen</w:t>
      </w:r>
      <w:r w:rsidR="004A167D">
        <w:t>.</w:t>
      </w:r>
      <w:r w:rsidR="008F1C61">
        <w:t xml:space="preserve"> </w:t>
      </w:r>
      <w:r w:rsidR="00383BFE">
        <w:t>Aufg</w:t>
      </w:r>
      <w:r w:rsidR="001E56FD">
        <w:t>rund dieser Ergebnisse wird als</w:t>
      </w:r>
      <w:r w:rsidR="008F1C61">
        <w:t xml:space="preserve"> Lösungsmittel zur Herstellung von Partikeln aus Cystein PEA</w:t>
      </w:r>
      <w:r w:rsidR="00383BFE">
        <w:t xml:space="preserve"> Polymeren</w:t>
      </w:r>
      <w:r w:rsidR="008F1C61">
        <w:t xml:space="preserve"> mi</w:t>
      </w:r>
      <w:r w:rsidR="00383BFE">
        <w:t>ttels Doppelemulsionsmethode</w:t>
      </w:r>
      <w:r w:rsidR="008F1C61">
        <w:t xml:space="preserve"> eine Mischung aus 2 Te</w:t>
      </w:r>
      <w:r w:rsidR="00383BFE">
        <w:t>ilen Ethylacetat mit 1 Teil DCM empfohlen.</w:t>
      </w:r>
    </w:p>
    <w:p w14:paraId="6B5D9038" w14:textId="77777777" w:rsidR="008215A9" w:rsidRPr="0027426E" w:rsidRDefault="00383BFE" w:rsidP="0027426E">
      <w:r>
        <w:t>Zusammenfassend kann festgehalten</w:t>
      </w:r>
      <w:r w:rsidR="001E56FD">
        <w:t xml:space="preserve"> werden, dass die angepasste</w:t>
      </w:r>
      <w:r w:rsidR="00390AE0">
        <w:t xml:space="preserve"> Doppelemulsions</w:t>
      </w:r>
      <w:r w:rsidR="009643C7">
        <w:t>methode</w:t>
      </w:r>
      <w:r w:rsidR="00390AE0">
        <w:t xml:space="preserve"> zur Herstellung von Nanopartikeln aus</w:t>
      </w:r>
      <w:r w:rsidR="009643C7">
        <w:t xml:space="preserve"> Cystein PEA mit einem</w:t>
      </w:r>
      <w:r w:rsidR="00390AE0">
        <w:t xml:space="preserve"> </w:t>
      </w:r>
      <w:r w:rsidR="000E60F9">
        <w:t xml:space="preserve">mittleren </w:t>
      </w:r>
      <w:r w:rsidR="00390AE0">
        <w:t xml:space="preserve">Partikeldurchmesser zwischen </w:t>
      </w:r>
      <w:r>
        <w:t>390 und 460</w:t>
      </w:r>
      <w:r w:rsidR="009643C7">
        <w:t xml:space="preserve"> nm </w:t>
      </w:r>
      <w:r>
        <w:t xml:space="preserve">und einer monomodalen Partikelgrößenverteilung </w:t>
      </w:r>
      <w:r w:rsidR="009643C7">
        <w:t>geeignet ist. Die für Partikel aus Resomer</w:t>
      </w:r>
      <w:r w:rsidR="009643C7">
        <w:rPr>
          <w:vertAlign w:val="superscript"/>
        </w:rPr>
        <w:sym w:font="Symbol" w:char="F0D2"/>
      </w:r>
      <w:r w:rsidR="009643C7">
        <w:t> RG 503 H optim</w:t>
      </w:r>
      <w:r w:rsidR="00632D1F">
        <w:t>ierte Gefriertrocknungsmethode (</w:t>
      </w:r>
      <w:r w:rsidR="009643C7">
        <w:t xml:space="preserve">Kapitel </w:t>
      </w:r>
      <w:r w:rsidR="00D16240">
        <w:fldChar w:fldCharType="begin"/>
      </w:r>
      <w:r w:rsidR="009643C7">
        <w:instrText xml:space="preserve"> REF _Ref273379282 \n \h </w:instrText>
      </w:r>
      <w:r w:rsidR="00D16240">
        <w:fldChar w:fldCharType="separate"/>
      </w:r>
      <w:r w:rsidR="00711AB8">
        <w:t>4.2.3</w:t>
      </w:r>
      <w:r w:rsidR="00D16240">
        <w:fldChar w:fldCharType="end"/>
      </w:r>
      <w:r w:rsidR="00632D1F">
        <w:t>)</w:t>
      </w:r>
      <w:r w:rsidR="009643C7">
        <w:t xml:space="preserve"> eignet</w:t>
      </w:r>
      <w:r w:rsidR="00E0670E">
        <w:t>e</w:t>
      </w:r>
      <w:r w:rsidR="009643C7">
        <w:t xml:space="preserve"> sich auch zur Trocknung der Cystein PEA Partikel.</w:t>
      </w:r>
      <w:r w:rsidR="009643C7" w:rsidRPr="009643C7">
        <w:t xml:space="preserve"> </w:t>
      </w:r>
      <w:r w:rsidR="00B613C6">
        <w:t>Die geringfügige Vergrößerung des mittle</w:t>
      </w:r>
      <w:r w:rsidR="001C498F">
        <w:t>ren Partikeldurchmessers durch die</w:t>
      </w:r>
      <w:r w:rsidR="009643C7">
        <w:t xml:space="preserve"> T</w:t>
      </w:r>
      <w:r w:rsidR="00632D1F">
        <w:t>rocknung</w:t>
      </w:r>
      <w:r w:rsidR="00957D16">
        <w:t xml:space="preserve"> ist durch </w:t>
      </w:r>
      <w:r w:rsidR="007F10AF">
        <w:t xml:space="preserve">eine </w:t>
      </w:r>
      <w:r w:rsidR="00957D16">
        <w:t xml:space="preserve">Agglomeration eines </w:t>
      </w:r>
      <w:r w:rsidR="00B613C6">
        <w:t>geringen Anteils an Partikeln zu erklären</w:t>
      </w:r>
      <w:r w:rsidR="00137F91">
        <w:t>.</w:t>
      </w:r>
    </w:p>
    <w:p w14:paraId="7F72ACFA" w14:textId="77777777" w:rsidR="003B37C5" w:rsidRDefault="003B37C5" w:rsidP="00996F38">
      <w:pPr>
        <w:pStyle w:val="berschrift3"/>
      </w:pPr>
      <w:bookmarkStart w:id="210" w:name="_Ref402277768"/>
      <w:bookmarkStart w:id="211" w:name="_Toc294380240"/>
      <w:r w:rsidRPr="00552B90">
        <w:t>Verkapselung von Desmopressin</w:t>
      </w:r>
      <w:r w:rsidR="00742DBA">
        <w:t xml:space="preserve"> in PEA Polymere</w:t>
      </w:r>
      <w:bookmarkEnd w:id="210"/>
      <w:bookmarkEnd w:id="211"/>
    </w:p>
    <w:p w14:paraId="6D62DDBE" w14:textId="77777777" w:rsidR="002F614D" w:rsidRDefault="007F669F" w:rsidP="00EB5534">
      <w:r>
        <w:t xml:space="preserve">Eine wichtige Anforderung, die an die neuen Polymere </w:t>
      </w:r>
      <w:r w:rsidR="00F77BB7">
        <w:t>gestellt wurde, ist eine möglichst hohe</w:t>
      </w:r>
      <w:r>
        <w:t xml:space="preserve"> Verkapselungseffizienz für Wirkstoffe der BCS Klasse III.</w:t>
      </w:r>
      <w:r w:rsidR="00F77BB7">
        <w:t xml:space="preserve"> Als Modellsubstanz für diese Wirkstoffklasse</w:t>
      </w:r>
      <w:r w:rsidR="00E0670E">
        <w:t xml:space="preserve"> wurde Desmopressin</w:t>
      </w:r>
      <w:r w:rsidR="00F77BB7">
        <w:t xml:space="preserve"> ausgewählt und mittels der jeweils angepassten </w:t>
      </w:r>
      <w:r w:rsidR="00F77BB7">
        <w:lastRenderedPageBreak/>
        <w:t xml:space="preserve">Doppelemulsionsmethode in die </w:t>
      </w:r>
      <w:r w:rsidR="002F614D">
        <w:t xml:space="preserve">beiden </w:t>
      </w:r>
      <w:r w:rsidR="00F77BB7">
        <w:t>PEA Polymere mit Asparag</w:t>
      </w:r>
      <w:r w:rsidR="000E60F9">
        <w:t xml:space="preserve">insäure und Cystein </w:t>
      </w:r>
      <w:r w:rsidR="00383BFE">
        <w:t>eingekapselt</w:t>
      </w:r>
      <w:r w:rsidR="00435ED4">
        <w:t>. Zum</w:t>
      </w:r>
      <w:r w:rsidR="000E60F9">
        <w:t xml:space="preserve"> Vergleich mit dem aktuellen Stand der Technik</w:t>
      </w:r>
      <w:r w:rsidR="002F614D">
        <w:t xml:space="preserve"> wurde</w:t>
      </w:r>
      <w:r w:rsidR="000E60F9">
        <w:t>n</w:t>
      </w:r>
      <w:r w:rsidR="002F614D">
        <w:t xml:space="preserve"> die</w:t>
      </w:r>
      <w:r w:rsidR="000E60F9">
        <w:t xml:space="preserve"> Ergebnisse der</w:t>
      </w:r>
      <w:r w:rsidR="002F614D">
        <w:t xml:space="preserve"> Mikroverkapselung von Desmopressin in Resomer</w:t>
      </w:r>
      <w:r w:rsidR="003D6D5A" w:rsidRPr="00902C2E">
        <w:rPr>
          <w:vertAlign w:val="superscript"/>
        </w:rPr>
        <w:t>®</w:t>
      </w:r>
      <w:r w:rsidR="000E60F9">
        <w:t xml:space="preserve"> RG 503 H </w:t>
      </w:r>
      <w:r w:rsidR="00383BFE">
        <w:t xml:space="preserve">als Referenz </w:t>
      </w:r>
      <w:r w:rsidR="000E60F9">
        <w:t>herangezogen</w:t>
      </w:r>
      <w:r w:rsidR="002F614D">
        <w:t>.</w:t>
      </w:r>
    </w:p>
    <w:p w14:paraId="04E1A3A9" w14:textId="77777777" w:rsidR="002F614D" w:rsidRDefault="00BC7662" w:rsidP="002F614D">
      <w:pPr>
        <w:pStyle w:val="berschrift4"/>
      </w:pPr>
      <w:bookmarkStart w:id="212" w:name="_Toc294380241"/>
      <w:r>
        <w:t>Formulierung</w:t>
      </w:r>
      <w:r w:rsidR="002F614D">
        <w:t xml:space="preserve"> von Desmopressin mit Asparaginsäure PEA</w:t>
      </w:r>
      <w:bookmarkEnd w:id="212"/>
    </w:p>
    <w:p w14:paraId="5F503195" w14:textId="77777777" w:rsidR="002F614D" w:rsidRDefault="00157DF9" w:rsidP="001F5F60">
      <w:pPr>
        <w:spacing w:after="120"/>
      </w:pPr>
      <w:r>
        <w:t>Die Ergebnisse der</w:t>
      </w:r>
      <w:r w:rsidR="00BA4E15">
        <w:t xml:space="preserve"> </w:t>
      </w:r>
      <w:r w:rsidR="002F614D">
        <w:t xml:space="preserve">Formulierungsversuche </w:t>
      </w:r>
      <w:r w:rsidR="00045A17">
        <w:t xml:space="preserve">von Desmopressin </w:t>
      </w:r>
      <w:r w:rsidR="002F614D">
        <w:t xml:space="preserve">mit Asparaginsäure PEA wurden in </w:t>
      </w:r>
      <w:r w:rsidR="00D16240">
        <w:fldChar w:fldCharType="begin"/>
      </w:r>
      <w:r w:rsidR="002F614D">
        <w:instrText xml:space="preserve"> REF _Ref274161710 \h </w:instrText>
      </w:r>
      <w:r w:rsidR="00D16240">
        <w:fldChar w:fldCharType="separate"/>
      </w:r>
      <w:r w:rsidR="00711AB8" w:rsidRPr="00CD2FA1">
        <w:t xml:space="preserve">Tabelle </w:t>
      </w:r>
      <w:r w:rsidR="00711AB8">
        <w:rPr>
          <w:noProof/>
        </w:rPr>
        <w:t>22</w:t>
      </w:r>
      <w:r w:rsidR="00D16240">
        <w:fldChar w:fldCharType="end"/>
      </w:r>
      <w:r w:rsidR="002F614D">
        <w:t xml:space="preserve"> zusammengefasst.</w:t>
      </w:r>
    </w:p>
    <w:p w14:paraId="228AFAE5" w14:textId="77777777" w:rsidR="0071347C" w:rsidRPr="002F614D" w:rsidRDefault="0071347C" w:rsidP="0071347C">
      <w:pPr>
        <w:spacing w:after="0"/>
      </w:pPr>
    </w:p>
    <w:p w14:paraId="48C7EDE5" w14:textId="77777777" w:rsidR="00CD2FA1" w:rsidRPr="009643C7" w:rsidRDefault="00CD2FA1" w:rsidP="003D6D5A">
      <w:pPr>
        <w:pStyle w:val="Beschriftung"/>
        <w:ind w:firstLine="0"/>
        <w:rPr>
          <w:b w:val="0"/>
        </w:rPr>
      </w:pPr>
      <w:bookmarkStart w:id="213" w:name="_Ref274161710"/>
      <w:r w:rsidRPr="00CD2FA1">
        <w:t xml:space="preserve">Tabelle </w:t>
      </w:r>
      <w:fldSimple w:instr=" SEQ Tabelle \* ARABIC ">
        <w:r w:rsidR="00711AB8">
          <w:rPr>
            <w:noProof/>
          </w:rPr>
          <w:t>22</w:t>
        </w:r>
      </w:fldSimple>
      <w:bookmarkEnd w:id="213"/>
      <w:r w:rsidR="009643C7">
        <w:t xml:space="preserve"> </w:t>
      </w:r>
      <w:r w:rsidR="009643C7">
        <w:rPr>
          <w:b w:val="0"/>
        </w:rPr>
        <w:t xml:space="preserve">Ergebnisse der </w:t>
      </w:r>
      <w:r w:rsidR="00066733">
        <w:rPr>
          <w:b w:val="0"/>
        </w:rPr>
        <w:t xml:space="preserve">Versuche zur </w:t>
      </w:r>
      <w:r w:rsidR="009643C7">
        <w:rPr>
          <w:b w:val="0"/>
        </w:rPr>
        <w:t>Mikroverkapselung von Desmopressin in Asparaginsäure PEA</w:t>
      </w:r>
      <w:r w:rsidR="009D3468">
        <w:rPr>
          <w:b w:val="0"/>
        </w:rPr>
        <w:t xml:space="preserve"> (Auswahl)</w:t>
      </w:r>
      <w:r w:rsidR="00906DB9">
        <w:rPr>
          <w:b w:val="0"/>
        </w:rPr>
        <w:t>.</w:t>
      </w:r>
    </w:p>
    <w:tbl>
      <w:tblPr>
        <w:tblW w:w="0" w:type="auto"/>
        <w:jc w:val="center"/>
        <w:tblLayout w:type="fixed"/>
        <w:tblCellMar>
          <w:left w:w="0" w:type="dxa"/>
          <w:right w:w="0" w:type="dxa"/>
        </w:tblCellMar>
        <w:tblLook w:val="0420" w:firstRow="1" w:lastRow="0" w:firstColumn="0" w:lastColumn="0" w:noHBand="0" w:noVBand="1"/>
      </w:tblPr>
      <w:tblGrid>
        <w:gridCol w:w="995"/>
        <w:gridCol w:w="992"/>
        <w:gridCol w:w="851"/>
        <w:gridCol w:w="1417"/>
        <w:gridCol w:w="1418"/>
        <w:gridCol w:w="1134"/>
        <w:gridCol w:w="850"/>
        <w:gridCol w:w="1418"/>
      </w:tblGrid>
      <w:tr w:rsidR="00066733" w:rsidRPr="005218F7" w14:paraId="4A06AB54" w14:textId="77777777" w:rsidTr="00351A0E">
        <w:trPr>
          <w:trHeight w:val="997"/>
          <w:jc w:val="center"/>
        </w:trPr>
        <w:tc>
          <w:tcPr>
            <w:tcW w:w="995"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14:paraId="38FE47B4" w14:textId="77777777" w:rsidR="00066733" w:rsidRDefault="00066733" w:rsidP="00CD2FA1">
            <w:pPr>
              <w:spacing w:after="0" w:line="240" w:lineRule="auto"/>
              <w:jc w:val="center"/>
              <w:rPr>
                <w:rFonts w:cs="Times New Roman"/>
                <w:b/>
                <w:bCs/>
                <w:kern w:val="24"/>
                <w:sz w:val="18"/>
                <w:szCs w:val="18"/>
                <w:lang w:eastAsia="de-DE"/>
              </w:rPr>
            </w:pPr>
            <w:r>
              <w:rPr>
                <w:rFonts w:cs="Times New Roman"/>
                <w:b/>
                <w:bCs/>
                <w:kern w:val="24"/>
                <w:sz w:val="18"/>
                <w:szCs w:val="18"/>
                <w:lang w:eastAsia="de-DE"/>
              </w:rPr>
              <w:t>Versuch Nr. /</w:t>
            </w:r>
          </w:p>
          <w:p w14:paraId="0E11923F" w14:textId="77777777" w:rsidR="00066733" w:rsidRPr="0042395A" w:rsidRDefault="00066733" w:rsidP="00CD2FA1">
            <w:pPr>
              <w:spacing w:after="0" w:line="240" w:lineRule="auto"/>
              <w:jc w:val="center"/>
              <w:rPr>
                <w:rFonts w:cs="Times New Roman"/>
                <w:sz w:val="18"/>
                <w:szCs w:val="18"/>
                <w:lang w:eastAsia="de-DE"/>
              </w:rPr>
            </w:pPr>
            <w:r w:rsidRPr="0042395A">
              <w:rPr>
                <w:rFonts w:cs="Times New Roman"/>
                <w:b/>
                <w:bCs/>
                <w:kern w:val="24"/>
                <w:sz w:val="18"/>
                <w:szCs w:val="18"/>
                <w:lang w:eastAsia="de-DE"/>
              </w:rPr>
              <w:t>Polymer</w:t>
            </w:r>
          </w:p>
        </w:tc>
        <w:tc>
          <w:tcPr>
            <w:tcW w:w="992"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14:paraId="532423CC" w14:textId="77777777" w:rsidR="00066733" w:rsidRPr="0042395A" w:rsidRDefault="00066733" w:rsidP="00CD2FA1">
            <w:pPr>
              <w:spacing w:after="0" w:line="240" w:lineRule="auto"/>
              <w:jc w:val="center"/>
              <w:rPr>
                <w:rFonts w:cs="Times New Roman"/>
                <w:sz w:val="18"/>
                <w:szCs w:val="18"/>
                <w:lang w:eastAsia="de-DE"/>
              </w:rPr>
            </w:pPr>
            <w:r w:rsidRPr="0042395A">
              <w:rPr>
                <w:rFonts w:cs="Times New Roman"/>
                <w:b/>
                <w:bCs/>
                <w:kern w:val="24"/>
                <w:sz w:val="18"/>
                <w:szCs w:val="18"/>
                <w:lang w:eastAsia="de-DE"/>
              </w:rPr>
              <w:t xml:space="preserve">EtAc:Ac </w:t>
            </w:r>
            <w:r>
              <w:rPr>
                <w:rFonts w:cs="Times New Roman"/>
                <w:b/>
                <w:bCs/>
                <w:kern w:val="24"/>
                <w:sz w:val="18"/>
                <w:szCs w:val="18"/>
                <w:lang w:eastAsia="de-DE"/>
              </w:rPr>
              <w:t>Verhält-nis</w:t>
            </w:r>
          </w:p>
        </w:tc>
        <w:tc>
          <w:tcPr>
            <w:tcW w:w="851"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14:paraId="2C7E29B2" w14:textId="77777777" w:rsidR="00066733" w:rsidRPr="0042395A" w:rsidRDefault="00066733" w:rsidP="00CD2FA1">
            <w:pPr>
              <w:spacing w:after="0" w:line="240" w:lineRule="auto"/>
              <w:jc w:val="center"/>
              <w:rPr>
                <w:rFonts w:cs="Times New Roman"/>
                <w:b/>
                <w:bCs/>
                <w:kern w:val="24"/>
                <w:sz w:val="18"/>
                <w:szCs w:val="18"/>
                <w:lang w:eastAsia="de-DE"/>
              </w:rPr>
            </w:pPr>
            <w:r w:rsidRPr="0042395A">
              <w:rPr>
                <w:rFonts w:cs="Times New Roman"/>
                <w:b/>
                <w:bCs/>
                <w:kern w:val="24"/>
                <w:sz w:val="18"/>
                <w:szCs w:val="18"/>
                <w:lang w:eastAsia="de-DE"/>
              </w:rPr>
              <w:t>PVA</w:t>
            </w:r>
          </w:p>
          <w:p w14:paraId="7F124A4E" w14:textId="77777777" w:rsidR="00066733" w:rsidRPr="0042395A" w:rsidRDefault="00066733" w:rsidP="00CD2FA1">
            <w:pPr>
              <w:spacing w:after="0" w:line="240" w:lineRule="auto"/>
              <w:jc w:val="center"/>
              <w:rPr>
                <w:rFonts w:cs="Times New Roman"/>
                <w:sz w:val="18"/>
                <w:szCs w:val="18"/>
                <w:lang w:eastAsia="de-DE"/>
              </w:rPr>
            </w:pPr>
            <w:r>
              <w:rPr>
                <w:rFonts w:cs="Times New Roman"/>
                <w:b/>
                <w:bCs/>
                <w:kern w:val="24"/>
                <w:sz w:val="18"/>
                <w:szCs w:val="18"/>
                <w:lang w:eastAsia="de-DE"/>
              </w:rPr>
              <w:t>Konz</w:t>
            </w:r>
            <w:r w:rsidRPr="0042395A">
              <w:rPr>
                <w:rFonts w:cs="Times New Roman"/>
                <w:b/>
                <w:bCs/>
                <w:kern w:val="24"/>
                <w:sz w:val="18"/>
                <w:szCs w:val="18"/>
                <w:lang w:eastAsia="de-DE"/>
              </w:rPr>
              <w:t>.</w:t>
            </w:r>
          </w:p>
        </w:tc>
        <w:tc>
          <w:tcPr>
            <w:tcW w:w="1417"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14:paraId="7BB99ED3" w14:textId="77777777" w:rsidR="00066733" w:rsidRPr="0042395A" w:rsidRDefault="00066733" w:rsidP="00CD2FA1">
            <w:pPr>
              <w:spacing w:after="0" w:line="240" w:lineRule="auto"/>
              <w:jc w:val="center"/>
              <w:rPr>
                <w:rFonts w:cs="Times New Roman"/>
                <w:sz w:val="18"/>
                <w:szCs w:val="18"/>
                <w:lang w:eastAsia="de-DE"/>
              </w:rPr>
            </w:pPr>
            <w:r>
              <w:rPr>
                <w:rFonts w:cs="Times New Roman"/>
                <w:b/>
                <w:bCs/>
                <w:kern w:val="24"/>
                <w:sz w:val="18"/>
                <w:szCs w:val="18"/>
                <w:lang w:eastAsia="de-DE"/>
              </w:rPr>
              <w:t>Partikelgröße vor Trocknung</w:t>
            </w:r>
            <w:r w:rsidRPr="0042395A">
              <w:rPr>
                <w:rFonts w:cs="Times New Roman"/>
                <w:b/>
                <w:bCs/>
                <w:kern w:val="24"/>
                <w:sz w:val="18"/>
                <w:szCs w:val="18"/>
                <w:lang w:eastAsia="de-DE"/>
              </w:rPr>
              <w:t xml:space="preserve"> / PDI</w:t>
            </w:r>
          </w:p>
        </w:tc>
        <w:tc>
          <w:tcPr>
            <w:tcW w:w="1418"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14:paraId="1B0EF4AC" w14:textId="77777777" w:rsidR="00066733" w:rsidRPr="0042395A" w:rsidRDefault="00066733" w:rsidP="00CD2FA1">
            <w:pPr>
              <w:spacing w:after="0" w:line="240" w:lineRule="auto"/>
              <w:jc w:val="center"/>
              <w:rPr>
                <w:rFonts w:cs="Times New Roman"/>
                <w:sz w:val="18"/>
                <w:szCs w:val="18"/>
                <w:lang w:eastAsia="de-DE"/>
              </w:rPr>
            </w:pPr>
            <w:r>
              <w:rPr>
                <w:rFonts w:cs="Times New Roman"/>
                <w:b/>
                <w:bCs/>
                <w:kern w:val="24"/>
                <w:sz w:val="18"/>
                <w:szCs w:val="18"/>
                <w:lang w:eastAsia="de-DE"/>
              </w:rPr>
              <w:t>Partikelgröße nach Redisper-gierung</w:t>
            </w:r>
            <w:r>
              <w:rPr>
                <w:rFonts w:cs="Times New Roman"/>
                <w:sz w:val="18"/>
                <w:szCs w:val="18"/>
                <w:lang w:eastAsia="de-DE"/>
              </w:rPr>
              <w:t xml:space="preserve"> </w:t>
            </w:r>
            <w:r w:rsidRPr="0042395A">
              <w:rPr>
                <w:rFonts w:cs="Times New Roman"/>
                <w:b/>
                <w:bCs/>
                <w:kern w:val="24"/>
                <w:sz w:val="18"/>
                <w:szCs w:val="18"/>
                <w:lang w:eastAsia="de-DE"/>
              </w:rPr>
              <w:t>/</w:t>
            </w:r>
            <w:r>
              <w:rPr>
                <w:rFonts w:cs="Times New Roman"/>
                <w:b/>
                <w:bCs/>
                <w:kern w:val="24"/>
                <w:sz w:val="18"/>
                <w:szCs w:val="18"/>
                <w:lang w:eastAsia="de-DE"/>
              </w:rPr>
              <w:t xml:space="preserve"> </w:t>
            </w:r>
            <w:r w:rsidRPr="0042395A">
              <w:rPr>
                <w:rFonts w:cs="Times New Roman"/>
                <w:b/>
                <w:bCs/>
                <w:kern w:val="24"/>
                <w:sz w:val="18"/>
                <w:szCs w:val="18"/>
                <w:lang w:eastAsia="de-DE"/>
              </w:rPr>
              <w:t>PDI</w:t>
            </w:r>
          </w:p>
        </w:tc>
        <w:tc>
          <w:tcPr>
            <w:tcW w:w="1134"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14:paraId="27CD333E" w14:textId="77777777" w:rsidR="00066733" w:rsidRPr="0042395A" w:rsidRDefault="00066733" w:rsidP="00CD2FA1">
            <w:pPr>
              <w:spacing w:after="0" w:line="240" w:lineRule="auto"/>
              <w:jc w:val="center"/>
              <w:rPr>
                <w:rFonts w:cs="Times New Roman"/>
                <w:sz w:val="18"/>
                <w:szCs w:val="18"/>
                <w:lang w:eastAsia="de-DE"/>
              </w:rPr>
            </w:pPr>
            <w:r>
              <w:rPr>
                <w:rFonts w:cs="Times New Roman"/>
                <w:b/>
                <w:bCs/>
                <w:kern w:val="24"/>
                <w:sz w:val="18"/>
                <w:szCs w:val="18"/>
                <w:lang w:eastAsia="de-DE"/>
              </w:rPr>
              <w:t xml:space="preserve">molarer </w:t>
            </w:r>
            <w:r w:rsidRPr="0042395A">
              <w:rPr>
                <w:rFonts w:cs="Times New Roman"/>
                <w:b/>
                <w:bCs/>
                <w:kern w:val="24"/>
                <w:sz w:val="18"/>
                <w:szCs w:val="18"/>
                <w:lang w:eastAsia="de-DE"/>
              </w:rPr>
              <w:t>Anteil [GL-Asp]</w:t>
            </w:r>
          </w:p>
        </w:tc>
        <w:tc>
          <w:tcPr>
            <w:tcW w:w="850"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14:paraId="06339350" w14:textId="77777777" w:rsidR="00066733" w:rsidRPr="0042395A" w:rsidRDefault="00066733" w:rsidP="00CD2FA1">
            <w:pPr>
              <w:spacing w:after="0" w:line="240" w:lineRule="auto"/>
              <w:jc w:val="center"/>
              <w:rPr>
                <w:rFonts w:cs="Times New Roman"/>
                <w:sz w:val="18"/>
                <w:szCs w:val="18"/>
                <w:lang w:eastAsia="de-DE"/>
              </w:rPr>
            </w:pPr>
            <w:r w:rsidRPr="0042395A">
              <w:rPr>
                <w:rFonts w:cs="Times New Roman"/>
                <w:b/>
                <w:bCs/>
                <w:kern w:val="24"/>
                <w:sz w:val="18"/>
                <w:szCs w:val="18"/>
                <w:lang w:eastAsia="de-DE"/>
              </w:rPr>
              <w:t>Bela</w:t>
            </w:r>
            <w:r>
              <w:rPr>
                <w:rFonts w:cs="Times New Roman"/>
                <w:b/>
                <w:bCs/>
                <w:kern w:val="24"/>
                <w:sz w:val="18"/>
                <w:szCs w:val="18"/>
                <w:lang w:eastAsia="de-DE"/>
              </w:rPr>
              <w:t>-</w:t>
            </w:r>
            <w:r w:rsidRPr="0042395A">
              <w:rPr>
                <w:rFonts w:cs="Times New Roman"/>
                <w:b/>
                <w:bCs/>
                <w:kern w:val="24"/>
                <w:sz w:val="18"/>
                <w:szCs w:val="18"/>
                <w:lang w:eastAsia="de-DE"/>
              </w:rPr>
              <w:t>dung</w:t>
            </w:r>
          </w:p>
          <w:p w14:paraId="03A729F9" w14:textId="77777777" w:rsidR="00066733" w:rsidRPr="0042395A" w:rsidRDefault="00066733" w:rsidP="00CD2FA1">
            <w:pPr>
              <w:spacing w:after="0" w:line="240" w:lineRule="auto"/>
              <w:jc w:val="center"/>
              <w:rPr>
                <w:rFonts w:cs="Times New Roman"/>
                <w:sz w:val="18"/>
                <w:szCs w:val="18"/>
                <w:lang w:eastAsia="de-DE"/>
              </w:rPr>
            </w:pPr>
            <w:r w:rsidRPr="0042395A">
              <w:rPr>
                <w:rFonts w:cs="Times New Roman"/>
                <w:b/>
                <w:bCs/>
                <w:kern w:val="24"/>
                <w:sz w:val="18"/>
                <w:szCs w:val="18"/>
                <w:lang w:eastAsia="de-DE"/>
              </w:rPr>
              <w:t>[%]</w:t>
            </w:r>
          </w:p>
        </w:tc>
        <w:tc>
          <w:tcPr>
            <w:tcW w:w="1418" w:type="dxa"/>
            <w:tcBorders>
              <w:top w:val="single" w:sz="8" w:space="0" w:color="000000"/>
              <w:left w:val="single" w:sz="8" w:space="0" w:color="000000"/>
              <w:bottom w:val="single" w:sz="8" w:space="0" w:color="000000"/>
              <w:right w:val="single" w:sz="8" w:space="0" w:color="000000"/>
            </w:tcBorders>
            <w:shd w:val="clear" w:color="auto" w:fill="E6E6E6"/>
            <w:vAlign w:val="center"/>
          </w:tcPr>
          <w:p w14:paraId="3F01FAFE" w14:textId="77777777" w:rsidR="00066733" w:rsidRPr="0042395A" w:rsidRDefault="00066733" w:rsidP="00CD2FA1">
            <w:pPr>
              <w:spacing w:after="0" w:line="240" w:lineRule="auto"/>
              <w:jc w:val="center"/>
              <w:rPr>
                <w:rFonts w:cs="Times New Roman"/>
                <w:b/>
                <w:bCs/>
                <w:kern w:val="24"/>
                <w:sz w:val="18"/>
                <w:szCs w:val="18"/>
                <w:lang w:eastAsia="de-DE"/>
              </w:rPr>
            </w:pPr>
            <w:r w:rsidRPr="0042395A">
              <w:rPr>
                <w:rFonts w:cs="Times New Roman"/>
                <w:b/>
                <w:bCs/>
                <w:kern w:val="24"/>
                <w:sz w:val="18"/>
                <w:szCs w:val="18"/>
                <w:lang w:eastAsia="de-DE"/>
              </w:rPr>
              <w:t>Verkapselungs</w:t>
            </w:r>
            <w:r>
              <w:rPr>
                <w:rFonts w:cs="Times New Roman"/>
                <w:b/>
                <w:bCs/>
                <w:kern w:val="24"/>
                <w:sz w:val="18"/>
                <w:szCs w:val="18"/>
                <w:lang w:eastAsia="de-DE"/>
              </w:rPr>
              <w:t>-</w:t>
            </w:r>
            <w:r w:rsidRPr="0042395A">
              <w:rPr>
                <w:rFonts w:cs="Times New Roman"/>
                <w:b/>
                <w:bCs/>
                <w:kern w:val="24"/>
                <w:sz w:val="18"/>
                <w:szCs w:val="18"/>
                <w:lang w:eastAsia="de-DE"/>
              </w:rPr>
              <w:t>effizienz [%]</w:t>
            </w:r>
          </w:p>
        </w:tc>
      </w:tr>
      <w:tr w:rsidR="00066733" w:rsidRPr="005218F7" w14:paraId="084FC548" w14:textId="77777777" w:rsidTr="00351A0E">
        <w:trPr>
          <w:trHeight w:val="397"/>
          <w:jc w:val="center"/>
        </w:trPr>
        <w:tc>
          <w:tcPr>
            <w:tcW w:w="995" w:type="dxa"/>
            <w:tcBorders>
              <w:top w:val="single" w:sz="8" w:space="0" w:color="000000"/>
              <w:left w:val="single" w:sz="8" w:space="0" w:color="000000"/>
              <w:bottom w:val="single" w:sz="4" w:space="0" w:color="000000"/>
              <w:right w:val="single" w:sz="4" w:space="0" w:color="000000"/>
            </w:tcBorders>
            <w:shd w:val="clear" w:color="auto" w:fill="auto"/>
            <w:tcMar>
              <w:top w:w="28" w:type="dxa"/>
              <w:left w:w="37" w:type="dxa"/>
              <w:bottom w:w="28" w:type="dxa"/>
              <w:right w:w="37" w:type="dxa"/>
            </w:tcMar>
            <w:vAlign w:val="center"/>
            <w:hideMark/>
          </w:tcPr>
          <w:p w14:paraId="7CE7932C" w14:textId="77777777" w:rsidR="00066733" w:rsidRPr="00066733" w:rsidRDefault="00066733" w:rsidP="00CD2FA1">
            <w:pPr>
              <w:spacing w:after="0" w:line="240" w:lineRule="auto"/>
              <w:jc w:val="center"/>
              <w:textAlignment w:val="baseline"/>
              <w:rPr>
                <w:rFonts w:eastAsia="SimSun" w:cs="Times New Roman"/>
                <w:bCs/>
                <w:color w:val="000000" w:themeColor="text1"/>
                <w:kern w:val="24"/>
                <w:sz w:val="16"/>
                <w:szCs w:val="16"/>
                <w:lang w:eastAsia="de-DE"/>
              </w:rPr>
            </w:pPr>
            <w:r w:rsidRPr="00066733">
              <w:rPr>
                <w:rFonts w:eastAsia="SimSun" w:cs="Times New Roman"/>
                <w:bCs/>
                <w:color w:val="000000" w:themeColor="text1"/>
                <w:kern w:val="24"/>
                <w:sz w:val="16"/>
                <w:szCs w:val="16"/>
                <w:lang w:eastAsia="de-DE"/>
              </w:rPr>
              <w:t>1</w:t>
            </w:r>
          </w:p>
          <w:p w14:paraId="5B060122" w14:textId="77777777" w:rsidR="00066733" w:rsidRPr="00066733" w:rsidRDefault="00066733" w:rsidP="00CD2FA1">
            <w:pPr>
              <w:spacing w:after="0" w:line="240" w:lineRule="auto"/>
              <w:jc w:val="center"/>
              <w:textAlignment w:val="baseline"/>
              <w:rPr>
                <w:rFonts w:cs="Times New Roman"/>
                <w:sz w:val="16"/>
                <w:szCs w:val="16"/>
                <w:lang w:eastAsia="de-DE"/>
              </w:rPr>
            </w:pPr>
            <w:r w:rsidRPr="00066733">
              <w:rPr>
                <w:rFonts w:eastAsia="SimSun" w:cs="Times New Roman"/>
                <w:bCs/>
                <w:color w:val="000000" w:themeColor="text1"/>
                <w:kern w:val="24"/>
                <w:sz w:val="16"/>
                <w:szCs w:val="16"/>
                <w:lang w:eastAsia="de-DE"/>
              </w:rPr>
              <w:t>PEA 01</w:t>
            </w:r>
          </w:p>
        </w:tc>
        <w:tc>
          <w:tcPr>
            <w:tcW w:w="992" w:type="dxa"/>
            <w:tcBorders>
              <w:top w:val="single" w:sz="8"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106662D3"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4:1</w:t>
            </w:r>
          </w:p>
        </w:tc>
        <w:tc>
          <w:tcPr>
            <w:tcW w:w="851" w:type="dxa"/>
            <w:tcBorders>
              <w:top w:val="single" w:sz="8"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42E9FA97" w14:textId="77777777" w:rsidR="00066733" w:rsidRPr="0042395A" w:rsidRDefault="001077A2" w:rsidP="00CD2FA1">
            <w:pPr>
              <w:spacing w:after="0" w:line="240" w:lineRule="auto"/>
              <w:jc w:val="center"/>
              <w:rPr>
                <w:rFonts w:cs="Times New Roman"/>
                <w:sz w:val="16"/>
                <w:szCs w:val="16"/>
                <w:lang w:eastAsia="de-DE"/>
              </w:rPr>
            </w:pPr>
            <w:r>
              <w:rPr>
                <w:rFonts w:cs="Times New Roman"/>
                <w:color w:val="000000" w:themeColor="text1"/>
                <w:kern w:val="24"/>
                <w:sz w:val="16"/>
                <w:szCs w:val="16"/>
                <w:lang w:eastAsia="de-DE"/>
              </w:rPr>
              <w:t>0,</w:t>
            </w:r>
            <w:r w:rsidR="00066733" w:rsidRPr="0042395A">
              <w:rPr>
                <w:rFonts w:cs="Times New Roman"/>
                <w:color w:val="000000" w:themeColor="text1"/>
                <w:kern w:val="24"/>
                <w:sz w:val="16"/>
                <w:szCs w:val="16"/>
                <w:lang w:eastAsia="de-DE"/>
              </w:rPr>
              <w:t>6</w:t>
            </w:r>
          </w:p>
        </w:tc>
        <w:tc>
          <w:tcPr>
            <w:tcW w:w="1417" w:type="dxa"/>
            <w:tcBorders>
              <w:top w:val="single" w:sz="8"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253F46B4" w14:textId="77777777" w:rsidR="00066733" w:rsidRPr="0042395A" w:rsidRDefault="00265668" w:rsidP="00CD2FA1">
            <w:pPr>
              <w:spacing w:after="0" w:line="240" w:lineRule="auto"/>
              <w:rPr>
                <w:rFonts w:cs="Times New Roman"/>
                <w:sz w:val="16"/>
                <w:szCs w:val="16"/>
                <w:lang w:eastAsia="de-DE"/>
              </w:rPr>
            </w:pPr>
            <w:r>
              <w:rPr>
                <w:rFonts w:cs="Times New Roman"/>
                <w:color w:val="000000" w:themeColor="text1"/>
                <w:kern w:val="24"/>
                <w:sz w:val="16"/>
                <w:szCs w:val="16"/>
                <w:lang w:eastAsia="de-DE"/>
              </w:rPr>
              <w:t>246 nm / 0,</w:t>
            </w:r>
            <w:r w:rsidR="00066733" w:rsidRPr="0042395A">
              <w:rPr>
                <w:rFonts w:cs="Times New Roman"/>
                <w:color w:val="000000" w:themeColor="text1"/>
                <w:kern w:val="24"/>
                <w:sz w:val="16"/>
                <w:szCs w:val="16"/>
                <w:lang w:eastAsia="de-DE"/>
              </w:rPr>
              <w:t>023</w:t>
            </w:r>
          </w:p>
        </w:tc>
        <w:tc>
          <w:tcPr>
            <w:tcW w:w="1418" w:type="dxa"/>
            <w:tcBorders>
              <w:top w:val="single" w:sz="8"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078824B0" w14:textId="77777777" w:rsidR="00066733" w:rsidRPr="0042395A" w:rsidRDefault="00265668" w:rsidP="00CD2FA1">
            <w:pPr>
              <w:spacing w:after="0" w:line="240" w:lineRule="auto"/>
              <w:rPr>
                <w:rFonts w:cs="Times New Roman"/>
                <w:sz w:val="16"/>
                <w:szCs w:val="16"/>
                <w:lang w:eastAsia="de-DE"/>
              </w:rPr>
            </w:pPr>
            <w:r>
              <w:rPr>
                <w:rFonts w:cs="Times New Roman"/>
                <w:color w:val="000000" w:themeColor="text1"/>
                <w:kern w:val="24"/>
                <w:sz w:val="16"/>
                <w:szCs w:val="16"/>
                <w:lang w:eastAsia="de-DE"/>
              </w:rPr>
              <w:t>253 nm / 0,</w:t>
            </w:r>
            <w:r w:rsidR="00066733" w:rsidRPr="0042395A">
              <w:rPr>
                <w:rFonts w:cs="Times New Roman"/>
                <w:color w:val="000000" w:themeColor="text1"/>
                <w:kern w:val="24"/>
                <w:sz w:val="16"/>
                <w:szCs w:val="16"/>
                <w:lang w:eastAsia="de-DE"/>
              </w:rPr>
              <w:t>043</w:t>
            </w:r>
          </w:p>
        </w:tc>
        <w:tc>
          <w:tcPr>
            <w:tcW w:w="1134" w:type="dxa"/>
            <w:tcBorders>
              <w:top w:val="single" w:sz="8"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0CF41762"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28%</w:t>
            </w:r>
          </w:p>
        </w:tc>
        <w:tc>
          <w:tcPr>
            <w:tcW w:w="850" w:type="dxa"/>
            <w:tcBorders>
              <w:top w:val="single" w:sz="8"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0B31BADC"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w:t>
            </w:r>
          </w:p>
        </w:tc>
        <w:tc>
          <w:tcPr>
            <w:tcW w:w="1418" w:type="dxa"/>
            <w:tcBorders>
              <w:top w:val="single" w:sz="8" w:space="0" w:color="000000"/>
              <w:left w:val="single" w:sz="4" w:space="0" w:color="000000"/>
              <w:bottom w:val="single" w:sz="4" w:space="0" w:color="000000"/>
              <w:right w:val="single" w:sz="8" w:space="0" w:color="000000"/>
            </w:tcBorders>
            <w:vAlign w:val="center"/>
          </w:tcPr>
          <w:p w14:paraId="0DDA3C80" w14:textId="77777777" w:rsidR="00066733" w:rsidRPr="0042395A" w:rsidRDefault="00066733" w:rsidP="00CD2FA1">
            <w:pPr>
              <w:spacing w:after="0" w:line="240" w:lineRule="auto"/>
              <w:jc w:val="center"/>
              <w:rPr>
                <w:rFonts w:cs="Times New Roman"/>
                <w:color w:val="000000" w:themeColor="text1"/>
                <w:kern w:val="24"/>
                <w:sz w:val="16"/>
                <w:szCs w:val="16"/>
                <w:lang w:eastAsia="de-DE"/>
              </w:rPr>
            </w:pPr>
            <w:r w:rsidRPr="0042395A">
              <w:rPr>
                <w:rFonts w:cs="Times New Roman"/>
                <w:b/>
                <w:bCs/>
                <w:color w:val="000000" w:themeColor="text1"/>
                <w:kern w:val="24"/>
                <w:sz w:val="16"/>
                <w:szCs w:val="16"/>
                <w:lang w:eastAsia="de-DE"/>
              </w:rPr>
              <w:t>--</w:t>
            </w:r>
          </w:p>
        </w:tc>
      </w:tr>
      <w:tr w:rsidR="00066733" w:rsidRPr="005218F7" w14:paraId="0947154A" w14:textId="77777777" w:rsidTr="00351A0E">
        <w:trPr>
          <w:trHeight w:val="397"/>
          <w:jc w:val="center"/>
        </w:trPr>
        <w:tc>
          <w:tcPr>
            <w:tcW w:w="995" w:type="dxa"/>
            <w:tcBorders>
              <w:top w:val="single" w:sz="4" w:space="0" w:color="000000"/>
              <w:left w:val="single" w:sz="8" w:space="0" w:color="000000"/>
              <w:bottom w:val="single" w:sz="4" w:space="0" w:color="000000"/>
              <w:right w:val="single" w:sz="4" w:space="0" w:color="000000"/>
            </w:tcBorders>
            <w:shd w:val="clear" w:color="auto" w:fill="auto"/>
            <w:tcMar>
              <w:top w:w="28" w:type="dxa"/>
              <w:left w:w="37" w:type="dxa"/>
              <w:bottom w:w="28" w:type="dxa"/>
              <w:right w:w="37" w:type="dxa"/>
            </w:tcMar>
            <w:vAlign w:val="center"/>
            <w:hideMark/>
          </w:tcPr>
          <w:p w14:paraId="77501945" w14:textId="77777777" w:rsidR="00066733" w:rsidRPr="00066733" w:rsidRDefault="00066733" w:rsidP="00CD2FA1">
            <w:pPr>
              <w:spacing w:after="0" w:line="240" w:lineRule="auto"/>
              <w:jc w:val="center"/>
              <w:rPr>
                <w:rFonts w:eastAsia="SimSun" w:cs="Times New Roman"/>
                <w:bCs/>
                <w:color w:val="000000"/>
                <w:kern w:val="24"/>
                <w:sz w:val="16"/>
                <w:szCs w:val="16"/>
                <w:lang w:eastAsia="de-DE"/>
              </w:rPr>
            </w:pPr>
            <w:r w:rsidRPr="00066733">
              <w:rPr>
                <w:rFonts w:eastAsia="SimSun" w:cs="Times New Roman"/>
                <w:bCs/>
                <w:color w:val="000000"/>
                <w:kern w:val="24"/>
                <w:sz w:val="16"/>
                <w:szCs w:val="16"/>
                <w:lang w:eastAsia="de-DE"/>
              </w:rPr>
              <w:t>2</w:t>
            </w:r>
          </w:p>
          <w:p w14:paraId="56E65C28" w14:textId="77777777" w:rsidR="00066733" w:rsidRPr="00066733" w:rsidRDefault="00066733" w:rsidP="00CD2FA1">
            <w:pPr>
              <w:spacing w:after="0" w:line="240" w:lineRule="auto"/>
              <w:jc w:val="center"/>
              <w:rPr>
                <w:rFonts w:cs="Times New Roman"/>
                <w:sz w:val="16"/>
                <w:szCs w:val="16"/>
                <w:lang w:eastAsia="de-DE"/>
              </w:rPr>
            </w:pPr>
            <w:r w:rsidRPr="00066733">
              <w:rPr>
                <w:rFonts w:eastAsia="SimSun" w:cs="Times New Roman"/>
                <w:bCs/>
                <w:color w:val="000000"/>
                <w:kern w:val="24"/>
                <w:sz w:val="16"/>
                <w:szCs w:val="16"/>
                <w:lang w:eastAsia="de-DE"/>
              </w:rPr>
              <w:t>PEA 01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5E6A608B"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4:1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3206918F" w14:textId="77777777" w:rsidR="00066733" w:rsidRPr="0042395A" w:rsidRDefault="001077A2" w:rsidP="00CD2FA1">
            <w:pPr>
              <w:spacing w:after="0" w:line="240" w:lineRule="auto"/>
              <w:jc w:val="center"/>
              <w:rPr>
                <w:rFonts w:cs="Times New Roman"/>
                <w:sz w:val="16"/>
                <w:szCs w:val="16"/>
                <w:lang w:eastAsia="de-DE"/>
              </w:rPr>
            </w:pPr>
            <w:r>
              <w:rPr>
                <w:rFonts w:cs="Times New Roman"/>
                <w:color w:val="000000" w:themeColor="text1"/>
                <w:kern w:val="24"/>
                <w:sz w:val="16"/>
                <w:szCs w:val="16"/>
                <w:lang w:eastAsia="de-DE"/>
              </w:rPr>
              <w:t>0,</w:t>
            </w:r>
            <w:r w:rsidR="00066733" w:rsidRPr="0042395A">
              <w:rPr>
                <w:rFonts w:cs="Times New Roman"/>
                <w:color w:val="000000" w:themeColor="text1"/>
                <w:kern w:val="24"/>
                <w:sz w:val="16"/>
                <w:szCs w:val="16"/>
                <w:lang w:eastAsia="de-DE"/>
              </w:rPr>
              <w:t>6</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410AE55A" w14:textId="77777777" w:rsidR="00066733" w:rsidRPr="0042395A" w:rsidRDefault="00265668" w:rsidP="00CD2FA1">
            <w:pPr>
              <w:spacing w:after="0" w:line="240" w:lineRule="auto"/>
              <w:rPr>
                <w:rFonts w:cs="Times New Roman"/>
                <w:sz w:val="16"/>
                <w:szCs w:val="16"/>
                <w:lang w:eastAsia="de-DE"/>
              </w:rPr>
            </w:pPr>
            <w:r>
              <w:rPr>
                <w:rFonts w:cs="Times New Roman"/>
                <w:color w:val="000000" w:themeColor="text1"/>
                <w:kern w:val="24"/>
                <w:sz w:val="16"/>
                <w:szCs w:val="16"/>
                <w:lang w:eastAsia="de-DE"/>
              </w:rPr>
              <w:t>106 nm / 0,</w:t>
            </w:r>
            <w:r w:rsidR="00066733" w:rsidRPr="0042395A">
              <w:rPr>
                <w:rFonts w:cs="Times New Roman"/>
                <w:color w:val="000000" w:themeColor="text1"/>
                <w:kern w:val="24"/>
                <w:sz w:val="16"/>
                <w:szCs w:val="16"/>
                <w:lang w:eastAsia="de-DE"/>
              </w:rPr>
              <w:t>113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5A0D95B2" w14:textId="77777777" w:rsidR="00066733" w:rsidRPr="0042395A" w:rsidRDefault="00161701" w:rsidP="00CD2FA1">
            <w:pPr>
              <w:spacing w:after="0" w:line="240" w:lineRule="auto"/>
              <w:rPr>
                <w:rFonts w:cs="Times New Roman"/>
                <w:sz w:val="16"/>
                <w:szCs w:val="16"/>
                <w:lang w:eastAsia="de-DE"/>
              </w:rPr>
            </w:pPr>
            <w:r>
              <w:rPr>
                <w:rFonts w:cs="Times New Roman"/>
                <w:color w:val="000000" w:themeColor="text1"/>
                <w:kern w:val="24"/>
                <w:sz w:val="16"/>
                <w:szCs w:val="16"/>
                <w:lang w:eastAsia="de-DE"/>
              </w:rPr>
              <w:t>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5634ABFF"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28%</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3DB749C7" w14:textId="77777777" w:rsidR="00066733" w:rsidRPr="0042395A" w:rsidRDefault="00045A17" w:rsidP="00CD2FA1">
            <w:pPr>
              <w:spacing w:after="0" w:line="240" w:lineRule="auto"/>
              <w:jc w:val="center"/>
              <w:rPr>
                <w:rFonts w:cs="Times New Roman"/>
                <w:sz w:val="16"/>
                <w:szCs w:val="16"/>
                <w:lang w:eastAsia="de-DE"/>
              </w:rPr>
            </w:pPr>
            <w:r>
              <w:rPr>
                <w:rFonts w:cs="Times New Roman"/>
                <w:color w:val="000000" w:themeColor="text1"/>
                <w:kern w:val="24"/>
                <w:sz w:val="16"/>
                <w:szCs w:val="16"/>
                <w:lang w:eastAsia="de-DE"/>
              </w:rPr>
              <w:t>2,</w:t>
            </w:r>
            <w:r w:rsidR="00066733" w:rsidRPr="0042395A">
              <w:rPr>
                <w:rFonts w:cs="Times New Roman"/>
                <w:color w:val="000000" w:themeColor="text1"/>
                <w:kern w:val="24"/>
                <w:sz w:val="16"/>
                <w:szCs w:val="16"/>
                <w:lang w:eastAsia="de-DE"/>
              </w:rPr>
              <w:t>0</w:t>
            </w:r>
          </w:p>
        </w:tc>
        <w:tc>
          <w:tcPr>
            <w:tcW w:w="1418" w:type="dxa"/>
            <w:tcBorders>
              <w:top w:val="single" w:sz="4" w:space="0" w:color="000000"/>
              <w:left w:val="single" w:sz="4" w:space="0" w:color="000000"/>
              <w:bottom w:val="single" w:sz="4" w:space="0" w:color="000000"/>
              <w:right w:val="single" w:sz="8" w:space="0" w:color="000000"/>
            </w:tcBorders>
            <w:vAlign w:val="center"/>
          </w:tcPr>
          <w:p w14:paraId="3B961F99" w14:textId="77777777" w:rsidR="00066733" w:rsidRPr="0042395A" w:rsidRDefault="00066733" w:rsidP="00CD2FA1">
            <w:pPr>
              <w:spacing w:after="0" w:line="240" w:lineRule="auto"/>
              <w:jc w:val="center"/>
              <w:rPr>
                <w:rFonts w:cs="Times New Roman"/>
                <w:color w:val="000000" w:themeColor="text1"/>
                <w:kern w:val="24"/>
                <w:sz w:val="16"/>
                <w:szCs w:val="16"/>
                <w:lang w:eastAsia="de-DE"/>
              </w:rPr>
            </w:pPr>
            <w:r>
              <w:rPr>
                <w:rFonts w:cs="Times New Roman"/>
                <w:b/>
                <w:bCs/>
                <w:color w:val="000000" w:themeColor="text1"/>
                <w:kern w:val="24"/>
                <w:sz w:val="16"/>
                <w:szCs w:val="16"/>
                <w:lang w:eastAsia="de-DE"/>
              </w:rPr>
              <w:t>6,</w:t>
            </w:r>
            <w:r w:rsidRPr="0042395A">
              <w:rPr>
                <w:rFonts w:cs="Times New Roman"/>
                <w:b/>
                <w:bCs/>
                <w:color w:val="000000" w:themeColor="text1"/>
                <w:kern w:val="24"/>
                <w:sz w:val="16"/>
                <w:szCs w:val="16"/>
                <w:lang w:eastAsia="de-DE"/>
              </w:rPr>
              <w:t>6</w:t>
            </w:r>
          </w:p>
        </w:tc>
      </w:tr>
      <w:tr w:rsidR="00066733" w:rsidRPr="005218F7" w14:paraId="2026E8EB" w14:textId="77777777" w:rsidTr="00351A0E">
        <w:trPr>
          <w:trHeight w:val="397"/>
          <w:jc w:val="center"/>
        </w:trPr>
        <w:tc>
          <w:tcPr>
            <w:tcW w:w="995" w:type="dxa"/>
            <w:tcBorders>
              <w:top w:val="single" w:sz="4" w:space="0" w:color="000000"/>
              <w:left w:val="single" w:sz="8" w:space="0" w:color="000000"/>
              <w:bottom w:val="single" w:sz="4" w:space="0" w:color="000000"/>
              <w:right w:val="single" w:sz="4" w:space="0" w:color="000000"/>
            </w:tcBorders>
            <w:shd w:val="clear" w:color="auto" w:fill="auto"/>
            <w:tcMar>
              <w:top w:w="28" w:type="dxa"/>
              <w:left w:w="37" w:type="dxa"/>
              <w:bottom w:w="28" w:type="dxa"/>
              <w:right w:w="37" w:type="dxa"/>
            </w:tcMar>
            <w:vAlign w:val="center"/>
            <w:hideMark/>
          </w:tcPr>
          <w:p w14:paraId="07087028" w14:textId="77777777" w:rsidR="00066733" w:rsidRPr="00066733" w:rsidRDefault="00066733" w:rsidP="00CD2FA1">
            <w:pPr>
              <w:spacing w:after="0" w:line="240" w:lineRule="auto"/>
              <w:jc w:val="center"/>
              <w:rPr>
                <w:rFonts w:eastAsia="SimSun" w:cs="Times New Roman"/>
                <w:bCs/>
                <w:color w:val="000000"/>
                <w:kern w:val="24"/>
                <w:sz w:val="16"/>
                <w:szCs w:val="16"/>
                <w:lang w:eastAsia="de-DE"/>
              </w:rPr>
            </w:pPr>
            <w:r w:rsidRPr="00066733">
              <w:rPr>
                <w:rFonts w:eastAsia="SimSun" w:cs="Times New Roman"/>
                <w:bCs/>
                <w:color w:val="000000"/>
                <w:kern w:val="24"/>
                <w:sz w:val="16"/>
                <w:szCs w:val="16"/>
                <w:lang w:eastAsia="de-DE"/>
              </w:rPr>
              <w:t>3</w:t>
            </w:r>
          </w:p>
          <w:p w14:paraId="69C371D1" w14:textId="77777777" w:rsidR="00066733" w:rsidRPr="00066733" w:rsidRDefault="00066733" w:rsidP="00CD2FA1">
            <w:pPr>
              <w:spacing w:after="0" w:line="240" w:lineRule="auto"/>
              <w:jc w:val="center"/>
              <w:rPr>
                <w:rFonts w:cs="Times New Roman"/>
                <w:sz w:val="16"/>
                <w:szCs w:val="16"/>
                <w:lang w:eastAsia="de-DE"/>
              </w:rPr>
            </w:pPr>
            <w:r w:rsidRPr="00066733">
              <w:rPr>
                <w:rFonts w:eastAsia="SimSun" w:cs="Times New Roman"/>
                <w:bCs/>
                <w:color w:val="000000"/>
                <w:kern w:val="24"/>
                <w:sz w:val="16"/>
                <w:szCs w:val="16"/>
                <w:lang w:eastAsia="de-DE"/>
              </w:rPr>
              <w:t>PEA 01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09F23D1D"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4:1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2D1F4160" w14:textId="77777777" w:rsidR="00066733" w:rsidRPr="0042395A" w:rsidRDefault="001077A2" w:rsidP="00CD2FA1">
            <w:pPr>
              <w:spacing w:after="0" w:line="240" w:lineRule="auto"/>
              <w:jc w:val="center"/>
              <w:rPr>
                <w:rFonts w:cs="Times New Roman"/>
                <w:sz w:val="16"/>
                <w:szCs w:val="16"/>
                <w:lang w:eastAsia="de-DE"/>
              </w:rPr>
            </w:pPr>
            <w:r>
              <w:rPr>
                <w:rFonts w:cs="Times New Roman"/>
                <w:color w:val="000000" w:themeColor="text1"/>
                <w:kern w:val="24"/>
                <w:sz w:val="16"/>
                <w:szCs w:val="16"/>
                <w:lang w:eastAsia="de-DE"/>
              </w:rPr>
              <w:t>1,</w:t>
            </w:r>
            <w:r w:rsidR="00066733" w:rsidRPr="0042395A">
              <w:rPr>
                <w:rFonts w:cs="Times New Roman"/>
                <w:color w:val="000000" w:themeColor="text1"/>
                <w:kern w:val="24"/>
                <w:sz w:val="16"/>
                <w:szCs w:val="16"/>
                <w:lang w:eastAsia="de-DE"/>
              </w:rPr>
              <w:t>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231BD06D" w14:textId="77777777" w:rsidR="00066733" w:rsidRPr="0042395A" w:rsidRDefault="00265668" w:rsidP="00CD2FA1">
            <w:pPr>
              <w:spacing w:after="0" w:line="240" w:lineRule="auto"/>
              <w:rPr>
                <w:rFonts w:cs="Times New Roman"/>
                <w:sz w:val="16"/>
                <w:szCs w:val="16"/>
                <w:lang w:eastAsia="de-DE"/>
              </w:rPr>
            </w:pPr>
            <w:r>
              <w:rPr>
                <w:rFonts w:cs="Times New Roman"/>
                <w:color w:val="000000" w:themeColor="text1"/>
                <w:kern w:val="24"/>
                <w:sz w:val="16"/>
                <w:szCs w:val="16"/>
                <w:lang w:eastAsia="de-DE"/>
              </w:rPr>
              <w:t>106 nm / 0,</w:t>
            </w:r>
            <w:r w:rsidR="00066733" w:rsidRPr="0042395A">
              <w:rPr>
                <w:rFonts w:cs="Times New Roman"/>
                <w:color w:val="000000" w:themeColor="text1"/>
                <w:kern w:val="24"/>
                <w:sz w:val="16"/>
                <w:szCs w:val="16"/>
                <w:lang w:eastAsia="de-DE"/>
              </w:rPr>
              <w:t>060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7D17A32F" w14:textId="77777777" w:rsidR="00066733" w:rsidRPr="0042395A" w:rsidRDefault="00265668" w:rsidP="00CD2FA1">
            <w:pPr>
              <w:spacing w:after="0" w:line="240" w:lineRule="auto"/>
              <w:rPr>
                <w:rFonts w:cs="Times New Roman"/>
                <w:sz w:val="16"/>
                <w:szCs w:val="16"/>
                <w:lang w:eastAsia="de-DE"/>
              </w:rPr>
            </w:pPr>
            <w:r>
              <w:rPr>
                <w:rFonts w:cs="Times New Roman"/>
                <w:color w:val="000000" w:themeColor="text1"/>
                <w:kern w:val="24"/>
                <w:sz w:val="16"/>
                <w:szCs w:val="16"/>
                <w:lang w:eastAsia="de-DE"/>
              </w:rPr>
              <w:t>110 nm / 0,</w:t>
            </w:r>
            <w:r w:rsidR="00066733" w:rsidRPr="0042395A">
              <w:rPr>
                <w:rFonts w:cs="Times New Roman"/>
                <w:color w:val="000000" w:themeColor="text1"/>
                <w:kern w:val="24"/>
                <w:sz w:val="16"/>
                <w:szCs w:val="16"/>
                <w:lang w:eastAsia="de-DE"/>
              </w:rPr>
              <w:t>187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0EDC4E1E"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28%</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34AD9B1B"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w:t>
            </w:r>
          </w:p>
        </w:tc>
        <w:tc>
          <w:tcPr>
            <w:tcW w:w="1418" w:type="dxa"/>
            <w:tcBorders>
              <w:top w:val="single" w:sz="4" w:space="0" w:color="000000"/>
              <w:left w:val="single" w:sz="4" w:space="0" w:color="000000"/>
              <w:bottom w:val="single" w:sz="4" w:space="0" w:color="000000"/>
              <w:right w:val="single" w:sz="8" w:space="0" w:color="000000"/>
            </w:tcBorders>
            <w:vAlign w:val="center"/>
          </w:tcPr>
          <w:p w14:paraId="03243C38" w14:textId="77777777" w:rsidR="00066733" w:rsidRPr="0042395A" w:rsidRDefault="00066733" w:rsidP="00CD2FA1">
            <w:pPr>
              <w:spacing w:after="0" w:line="240" w:lineRule="auto"/>
              <w:jc w:val="center"/>
              <w:rPr>
                <w:rFonts w:cs="Times New Roman"/>
                <w:color w:val="000000" w:themeColor="text1"/>
                <w:kern w:val="24"/>
                <w:sz w:val="16"/>
                <w:szCs w:val="16"/>
                <w:lang w:eastAsia="de-DE"/>
              </w:rPr>
            </w:pPr>
            <w:r w:rsidRPr="0042395A">
              <w:rPr>
                <w:rFonts w:cs="Times New Roman"/>
                <w:b/>
                <w:bCs/>
                <w:color w:val="000000" w:themeColor="text1"/>
                <w:kern w:val="24"/>
                <w:sz w:val="16"/>
                <w:szCs w:val="16"/>
                <w:lang w:eastAsia="de-DE"/>
              </w:rPr>
              <w:t>--</w:t>
            </w:r>
          </w:p>
        </w:tc>
      </w:tr>
      <w:tr w:rsidR="00066733" w:rsidRPr="005218F7" w14:paraId="7A924A51" w14:textId="77777777" w:rsidTr="00351A0E">
        <w:trPr>
          <w:trHeight w:val="397"/>
          <w:jc w:val="center"/>
        </w:trPr>
        <w:tc>
          <w:tcPr>
            <w:tcW w:w="995" w:type="dxa"/>
            <w:tcBorders>
              <w:top w:val="single" w:sz="4" w:space="0" w:color="000000"/>
              <w:left w:val="single" w:sz="8" w:space="0" w:color="000000"/>
              <w:bottom w:val="single" w:sz="4" w:space="0" w:color="000000"/>
              <w:right w:val="single" w:sz="4" w:space="0" w:color="000000"/>
            </w:tcBorders>
            <w:shd w:val="clear" w:color="auto" w:fill="auto"/>
            <w:tcMar>
              <w:top w:w="28" w:type="dxa"/>
              <w:left w:w="37" w:type="dxa"/>
              <w:bottom w:w="28" w:type="dxa"/>
              <w:right w:w="37" w:type="dxa"/>
            </w:tcMar>
            <w:vAlign w:val="center"/>
            <w:hideMark/>
          </w:tcPr>
          <w:p w14:paraId="0FC2382C" w14:textId="77777777" w:rsidR="00066733" w:rsidRPr="00066733" w:rsidRDefault="00066733" w:rsidP="00CD2FA1">
            <w:pPr>
              <w:spacing w:after="0" w:line="240" w:lineRule="auto"/>
              <w:jc w:val="center"/>
              <w:textAlignment w:val="baseline"/>
              <w:rPr>
                <w:rFonts w:eastAsia="SimSun" w:cs="Times New Roman"/>
                <w:bCs/>
                <w:color w:val="000000"/>
                <w:kern w:val="24"/>
                <w:sz w:val="16"/>
                <w:szCs w:val="16"/>
                <w:lang w:eastAsia="de-DE"/>
              </w:rPr>
            </w:pPr>
            <w:r w:rsidRPr="00066733">
              <w:rPr>
                <w:rFonts w:eastAsia="SimSun" w:cs="Times New Roman"/>
                <w:bCs/>
                <w:color w:val="000000"/>
                <w:kern w:val="24"/>
                <w:sz w:val="16"/>
                <w:szCs w:val="16"/>
                <w:lang w:eastAsia="de-DE"/>
              </w:rPr>
              <w:t>4</w:t>
            </w:r>
          </w:p>
          <w:p w14:paraId="28F1AE54" w14:textId="77777777" w:rsidR="00066733" w:rsidRPr="00066733" w:rsidRDefault="00066733" w:rsidP="00CD2FA1">
            <w:pPr>
              <w:spacing w:after="0" w:line="240" w:lineRule="auto"/>
              <w:jc w:val="center"/>
              <w:textAlignment w:val="baseline"/>
              <w:rPr>
                <w:rFonts w:cs="Times New Roman"/>
                <w:sz w:val="16"/>
                <w:szCs w:val="16"/>
                <w:lang w:eastAsia="de-DE"/>
              </w:rPr>
            </w:pPr>
            <w:r w:rsidRPr="00066733">
              <w:rPr>
                <w:rFonts w:eastAsia="SimSun" w:cs="Times New Roman"/>
                <w:bCs/>
                <w:color w:val="000000"/>
                <w:kern w:val="24"/>
                <w:sz w:val="16"/>
                <w:szCs w:val="16"/>
                <w:lang w:eastAsia="de-DE"/>
              </w:rPr>
              <w:t>PEA 03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5AB984C9" w14:textId="77777777" w:rsidR="00066733" w:rsidRPr="0042395A" w:rsidRDefault="00066733" w:rsidP="00CD2FA1">
            <w:pPr>
              <w:spacing w:after="0" w:line="240" w:lineRule="auto"/>
              <w:jc w:val="center"/>
              <w:rPr>
                <w:rFonts w:cs="Times New Roman"/>
                <w:sz w:val="16"/>
                <w:szCs w:val="16"/>
                <w:lang w:eastAsia="de-DE"/>
              </w:rPr>
            </w:pPr>
            <w:r>
              <w:rPr>
                <w:rFonts w:cs="Times New Roman"/>
                <w:color w:val="000000" w:themeColor="text1"/>
                <w:kern w:val="24"/>
                <w:sz w:val="16"/>
                <w:szCs w:val="16"/>
                <w:lang w:eastAsia="de-DE"/>
              </w:rPr>
              <w:t>nicht löslich</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1A27FCAC"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0B150A4F" w14:textId="77777777" w:rsidR="00066733" w:rsidRPr="0042395A" w:rsidRDefault="00066733" w:rsidP="00EA19E8">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4139388A" w14:textId="77777777" w:rsidR="00066733" w:rsidRPr="0042395A" w:rsidRDefault="00066733" w:rsidP="00EA19E8">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4B3AD6AE"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50%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2B4AB52B"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w:t>
            </w:r>
          </w:p>
        </w:tc>
        <w:tc>
          <w:tcPr>
            <w:tcW w:w="1418" w:type="dxa"/>
            <w:tcBorders>
              <w:top w:val="single" w:sz="4" w:space="0" w:color="000000"/>
              <w:left w:val="single" w:sz="4" w:space="0" w:color="000000"/>
              <w:bottom w:val="single" w:sz="4" w:space="0" w:color="000000"/>
              <w:right w:val="single" w:sz="8" w:space="0" w:color="000000"/>
            </w:tcBorders>
            <w:vAlign w:val="center"/>
          </w:tcPr>
          <w:p w14:paraId="6C14F1EF" w14:textId="77777777" w:rsidR="00066733" w:rsidRPr="0042395A" w:rsidRDefault="00066733" w:rsidP="00CD2FA1">
            <w:pPr>
              <w:spacing w:after="0" w:line="240" w:lineRule="auto"/>
              <w:jc w:val="center"/>
              <w:rPr>
                <w:rFonts w:cs="Times New Roman"/>
                <w:color w:val="000000" w:themeColor="text1"/>
                <w:kern w:val="24"/>
                <w:sz w:val="16"/>
                <w:szCs w:val="16"/>
                <w:lang w:eastAsia="de-DE"/>
              </w:rPr>
            </w:pPr>
            <w:r w:rsidRPr="0042395A">
              <w:rPr>
                <w:rFonts w:cs="Times New Roman"/>
                <w:b/>
                <w:bCs/>
                <w:color w:val="000000" w:themeColor="text1"/>
                <w:kern w:val="24"/>
                <w:sz w:val="16"/>
                <w:szCs w:val="16"/>
                <w:lang w:eastAsia="de-DE"/>
              </w:rPr>
              <w:t>--</w:t>
            </w:r>
          </w:p>
        </w:tc>
      </w:tr>
      <w:tr w:rsidR="00066733" w:rsidRPr="005218F7" w14:paraId="39B0F5E4" w14:textId="77777777" w:rsidTr="00351A0E">
        <w:trPr>
          <w:trHeight w:val="397"/>
          <w:jc w:val="center"/>
        </w:trPr>
        <w:tc>
          <w:tcPr>
            <w:tcW w:w="995" w:type="dxa"/>
            <w:tcBorders>
              <w:top w:val="single" w:sz="4" w:space="0" w:color="000000"/>
              <w:left w:val="single" w:sz="8"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593A063A" w14:textId="77777777" w:rsidR="00066733" w:rsidRPr="00066733" w:rsidRDefault="00066733" w:rsidP="00CD2FA1">
            <w:pPr>
              <w:spacing w:after="0" w:line="240" w:lineRule="auto"/>
              <w:jc w:val="center"/>
              <w:textAlignment w:val="baseline"/>
              <w:rPr>
                <w:rFonts w:eastAsia="SimSun" w:cs="Times New Roman"/>
                <w:bCs/>
                <w:color w:val="000000"/>
                <w:kern w:val="24"/>
                <w:sz w:val="16"/>
                <w:szCs w:val="16"/>
                <w:lang w:eastAsia="de-DE"/>
              </w:rPr>
            </w:pPr>
            <w:r w:rsidRPr="00066733">
              <w:rPr>
                <w:rFonts w:eastAsia="SimSun" w:cs="Times New Roman"/>
                <w:bCs/>
                <w:color w:val="000000"/>
                <w:kern w:val="24"/>
                <w:sz w:val="16"/>
                <w:szCs w:val="16"/>
                <w:lang w:eastAsia="de-DE"/>
              </w:rPr>
              <w:t>5</w:t>
            </w:r>
          </w:p>
          <w:p w14:paraId="220DC234" w14:textId="77777777" w:rsidR="00066733" w:rsidRPr="00066733" w:rsidRDefault="00066733" w:rsidP="00CD2FA1">
            <w:pPr>
              <w:spacing w:after="0" w:line="240" w:lineRule="auto"/>
              <w:jc w:val="center"/>
              <w:textAlignment w:val="baseline"/>
              <w:rPr>
                <w:rFonts w:cs="Times New Roman"/>
                <w:sz w:val="16"/>
                <w:szCs w:val="16"/>
                <w:lang w:eastAsia="de-DE"/>
              </w:rPr>
            </w:pPr>
            <w:r w:rsidRPr="00066733">
              <w:rPr>
                <w:rFonts w:eastAsia="SimSun" w:cs="Times New Roman"/>
                <w:bCs/>
                <w:color w:val="000000"/>
                <w:kern w:val="24"/>
                <w:sz w:val="16"/>
                <w:szCs w:val="16"/>
                <w:lang w:eastAsia="de-DE"/>
              </w:rPr>
              <w:t>PEA 04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04E00449"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3:1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21110B42" w14:textId="77777777" w:rsidR="00066733" w:rsidRPr="0042395A" w:rsidRDefault="001077A2" w:rsidP="00CD2FA1">
            <w:pPr>
              <w:spacing w:after="0" w:line="240" w:lineRule="auto"/>
              <w:jc w:val="center"/>
              <w:rPr>
                <w:rFonts w:cs="Times New Roman"/>
                <w:sz w:val="16"/>
                <w:szCs w:val="16"/>
                <w:lang w:eastAsia="de-DE"/>
              </w:rPr>
            </w:pPr>
            <w:r>
              <w:rPr>
                <w:rFonts w:cs="Times New Roman"/>
                <w:color w:val="000000" w:themeColor="text1"/>
                <w:kern w:val="24"/>
                <w:sz w:val="16"/>
                <w:szCs w:val="16"/>
                <w:lang w:eastAsia="de-DE"/>
              </w:rPr>
              <w:t>0,</w:t>
            </w:r>
            <w:r w:rsidR="00066733" w:rsidRPr="0042395A">
              <w:rPr>
                <w:rFonts w:cs="Times New Roman"/>
                <w:color w:val="000000" w:themeColor="text1"/>
                <w:kern w:val="24"/>
                <w:sz w:val="16"/>
                <w:szCs w:val="16"/>
                <w:lang w:eastAsia="de-DE"/>
              </w:rPr>
              <w:t>6</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25E9B94C" w14:textId="77777777" w:rsidR="00066733" w:rsidRPr="0042395A" w:rsidRDefault="00265668" w:rsidP="00CD2FA1">
            <w:pPr>
              <w:spacing w:after="0" w:line="240" w:lineRule="auto"/>
              <w:rPr>
                <w:rFonts w:cs="Times New Roman"/>
                <w:sz w:val="16"/>
                <w:szCs w:val="16"/>
                <w:lang w:eastAsia="de-DE"/>
              </w:rPr>
            </w:pPr>
            <w:r>
              <w:rPr>
                <w:rFonts w:cs="Times New Roman"/>
                <w:color w:val="000000" w:themeColor="text1"/>
                <w:kern w:val="24"/>
                <w:sz w:val="16"/>
                <w:szCs w:val="16"/>
                <w:lang w:eastAsia="de-DE"/>
              </w:rPr>
              <w:t>70 nm / 0,</w:t>
            </w:r>
            <w:r w:rsidR="00066733" w:rsidRPr="0042395A">
              <w:rPr>
                <w:rFonts w:cs="Times New Roman"/>
                <w:color w:val="000000" w:themeColor="text1"/>
                <w:kern w:val="24"/>
                <w:sz w:val="16"/>
                <w:szCs w:val="16"/>
                <w:lang w:eastAsia="de-DE"/>
              </w:rPr>
              <w:t>06</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127655AE" w14:textId="77777777" w:rsidR="00066733" w:rsidRPr="0042395A" w:rsidRDefault="00066733" w:rsidP="00CD2FA1">
            <w:pPr>
              <w:spacing w:after="0" w:line="240" w:lineRule="auto"/>
              <w:rPr>
                <w:rFonts w:cs="Times New Roman"/>
                <w:sz w:val="16"/>
                <w:szCs w:val="16"/>
                <w:lang w:eastAsia="de-DE"/>
              </w:rPr>
            </w:pPr>
            <w:r w:rsidRPr="0042395A">
              <w:rPr>
                <w:rFonts w:cs="Times New Roman"/>
                <w:color w:val="000000" w:themeColor="text1"/>
                <w:kern w:val="24"/>
                <w:sz w:val="16"/>
                <w:szCs w:val="16"/>
                <w:lang w:eastAsia="de-DE"/>
              </w:rPr>
              <w:t>55 nm / 0,425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60C1A91C"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40%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00817A28" w14:textId="77777777" w:rsidR="00066733" w:rsidRPr="0042395A" w:rsidRDefault="00045A17" w:rsidP="00CD2FA1">
            <w:pPr>
              <w:spacing w:after="0" w:line="240" w:lineRule="auto"/>
              <w:jc w:val="center"/>
              <w:rPr>
                <w:rFonts w:cs="Times New Roman"/>
                <w:sz w:val="16"/>
                <w:szCs w:val="16"/>
                <w:lang w:eastAsia="de-DE"/>
              </w:rPr>
            </w:pPr>
            <w:r>
              <w:rPr>
                <w:rFonts w:cs="Times New Roman"/>
                <w:color w:val="000000" w:themeColor="text1"/>
                <w:kern w:val="24"/>
                <w:sz w:val="16"/>
                <w:szCs w:val="16"/>
                <w:lang w:eastAsia="de-DE"/>
              </w:rPr>
              <w:t>2,</w:t>
            </w:r>
            <w:r w:rsidR="00066733" w:rsidRPr="0042395A">
              <w:rPr>
                <w:rFonts w:cs="Times New Roman"/>
                <w:color w:val="000000" w:themeColor="text1"/>
                <w:kern w:val="24"/>
                <w:sz w:val="16"/>
                <w:szCs w:val="16"/>
                <w:lang w:eastAsia="de-DE"/>
              </w:rPr>
              <w:t>1</w:t>
            </w:r>
          </w:p>
        </w:tc>
        <w:tc>
          <w:tcPr>
            <w:tcW w:w="1418" w:type="dxa"/>
            <w:tcBorders>
              <w:top w:val="single" w:sz="4" w:space="0" w:color="000000"/>
              <w:left w:val="single" w:sz="4" w:space="0" w:color="000000"/>
              <w:bottom w:val="single" w:sz="4" w:space="0" w:color="000000"/>
              <w:right w:val="single" w:sz="8" w:space="0" w:color="000000"/>
            </w:tcBorders>
            <w:vAlign w:val="center"/>
          </w:tcPr>
          <w:p w14:paraId="023801FD" w14:textId="77777777" w:rsidR="00066733" w:rsidRPr="0042395A" w:rsidRDefault="00066733" w:rsidP="00CD2FA1">
            <w:pPr>
              <w:spacing w:after="0" w:line="240" w:lineRule="auto"/>
              <w:jc w:val="center"/>
              <w:rPr>
                <w:rFonts w:cs="Times New Roman"/>
                <w:color w:val="000000" w:themeColor="text1"/>
                <w:kern w:val="24"/>
                <w:sz w:val="16"/>
                <w:szCs w:val="16"/>
                <w:lang w:eastAsia="de-DE"/>
              </w:rPr>
            </w:pPr>
            <w:r>
              <w:rPr>
                <w:rFonts w:cs="Times New Roman"/>
                <w:b/>
                <w:bCs/>
                <w:color w:val="000000" w:themeColor="text1"/>
                <w:kern w:val="24"/>
                <w:sz w:val="16"/>
                <w:szCs w:val="16"/>
                <w:lang w:eastAsia="de-DE"/>
              </w:rPr>
              <w:t>17,</w:t>
            </w:r>
            <w:r w:rsidRPr="0042395A">
              <w:rPr>
                <w:rFonts w:cs="Times New Roman"/>
                <w:b/>
                <w:bCs/>
                <w:color w:val="000000" w:themeColor="text1"/>
                <w:kern w:val="24"/>
                <w:sz w:val="16"/>
                <w:szCs w:val="16"/>
                <w:lang w:eastAsia="de-DE"/>
              </w:rPr>
              <w:t>7</w:t>
            </w:r>
          </w:p>
        </w:tc>
      </w:tr>
      <w:tr w:rsidR="00066733" w:rsidRPr="005218F7" w14:paraId="58B71403" w14:textId="77777777" w:rsidTr="00351A0E">
        <w:trPr>
          <w:trHeight w:val="397"/>
          <w:jc w:val="center"/>
        </w:trPr>
        <w:tc>
          <w:tcPr>
            <w:tcW w:w="995" w:type="dxa"/>
            <w:tcBorders>
              <w:top w:val="single" w:sz="4" w:space="0" w:color="000000"/>
              <w:left w:val="single" w:sz="8" w:space="0" w:color="000000"/>
              <w:bottom w:val="single" w:sz="4" w:space="0" w:color="000000"/>
              <w:right w:val="single" w:sz="4" w:space="0" w:color="000000"/>
            </w:tcBorders>
            <w:shd w:val="clear" w:color="auto" w:fill="auto"/>
            <w:tcMar>
              <w:top w:w="28" w:type="dxa"/>
              <w:left w:w="37" w:type="dxa"/>
              <w:bottom w:w="28" w:type="dxa"/>
              <w:right w:w="37" w:type="dxa"/>
            </w:tcMar>
            <w:vAlign w:val="center"/>
            <w:hideMark/>
          </w:tcPr>
          <w:p w14:paraId="54D60CE5" w14:textId="77777777" w:rsidR="00066733" w:rsidRPr="00066733" w:rsidRDefault="00066733" w:rsidP="00CD2FA1">
            <w:pPr>
              <w:spacing w:after="0" w:line="240" w:lineRule="auto"/>
              <w:jc w:val="center"/>
              <w:textAlignment w:val="baseline"/>
              <w:rPr>
                <w:rFonts w:eastAsia="SimSun" w:cs="Times New Roman"/>
                <w:bCs/>
                <w:color w:val="000000"/>
                <w:kern w:val="24"/>
                <w:sz w:val="16"/>
                <w:szCs w:val="16"/>
                <w:lang w:eastAsia="de-DE"/>
              </w:rPr>
            </w:pPr>
            <w:r w:rsidRPr="00066733">
              <w:rPr>
                <w:rFonts w:eastAsia="SimSun" w:cs="Times New Roman"/>
                <w:bCs/>
                <w:color w:val="000000"/>
                <w:kern w:val="24"/>
                <w:sz w:val="16"/>
                <w:szCs w:val="16"/>
                <w:lang w:eastAsia="de-DE"/>
              </w:rPr>
              <w:t>6</w:t>
            </w:r>
          </w:p>
          <w:p w14:paraId="32B98F59" w14:textId="77777777" w:rsidR="00066733" w:rsidRPr="00066733" w:rsidRDefault="00066733" w:rsidP="00CD2FA1">
            <w:pPr>
              <w:spacing w:after="0" w:line="240" w:lineRule="auto"/>
              <w:jc w:val="center"/>
              <w:textAlignment w:val="baseline"/>
              <w:rPr>
                <w:rFonts w:cs="Times New Roman"/>
                <w:sz w:val="16"/>
                <w:szCs w:val="16"/>
                <w:lang w:eastAsia="de-DE"/>
              </w:rPr>
            </w:pPr>
            <w:r w:rsidRPr="00066733">
              <w:rPr>
                <w:rFonts w:eastAsia="SimSun" w:cs="Times New Roman"/>
                <w:bCs/>
                <w:color w:val="000000"/>
                <w:kern w:val="24"/>
                <w:sz w:val="16"/>
                <w:szCs w:val="16"/>
                <w:lang w:eastAsia="de-DE"/>
              </w:rPr>
              <w:t>PEA 04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13BD213A"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3:1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59B06404" w14:textId="77777777" w:rsidR="00066733" w:rsidRPr="0042395A" w:rsidRDefault="001077A2" w:rsidP="00CD2FA1">
            <w:pPr>
              <w:spacing w:after="0" w:line="240" w:lineRule="auto"/>
              <w:jc w:val="center"/>
              <w:rPr>
                <w:rFonts w:cs="Times New Roman"/>
                <w:sz w:val="16"/>
                <w:szCs w:val="16"/>
                <w:lang w:eastAsia="de-DE"/>
              </w:rPr>
            </w:pPr>
            <w:r>
              <w:rPr>
                <w:rFonts w:cs="Times New Roman"/>
                <w:color w:val="000000" w:themeColor="text1"/>
                <w:kern w:val="24"/>
                <w:sz w:val="16"/>
                <w:szCs w:val="16"/>
                <w:lang w:eastAsia="de-DE"/>
              </w:rPr>
              <w:t>0,</w:t>
            </w:r>
            <w:r w:rsidR="00066733" w:rsidRPr="0042395A">
              <w:rPr>
                <w:rFonts w:cs="Times New Roman"/>
                <w:color w:val="000000" w:themeColor="text1"/>
                <w:kern w:val="24"/>
                <w:sz w:val="16"/>
                <w:szCs w:val="16"/>
                <w:lang w:eastAsia="de-DE"/>
              </w:rPr>
              <w:t>6</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5EF9E543" w14:textId="77777777" w:rsidR="00066733" w:rsidRPr="0042395A" w:rsidRDefault="00265668" w:rsidP="00CD2FA1">
            <w:pPr>
              <w:spacing w:after="0" w:line="240" w:lineRule="auto"/>
              <w:rPr>
                <w:rFonts w:cs="Times New Roman"/>
                <w:sz w:val="16"/>
                <w:szCs w:val="16"/>
                <w:lang w:eastAsia="de-DE"/>
              </w:rPr>
            </w:pPr>
            <w:r>
              <w:rPr>
                <w:rFonts w:cs="Times New Roman"/>
                <w:color w:val="000000" w:themeColor="text1"/>
                <w:kern w:val="24"/>
                <w:sz w:val="16"/>
                <w:szCs w:val="16"/>
                <w:lang w:eastAsia="de-DE"/>
              </w:rPr>
              <w:t>3.800 nm / 0,</w:t>
            </w:r>
            <w:r w:rsidR="00066733" w:rsidRPr="0042395A">
              <w:rPr>
                <w:rFonts w:cs="Times New Roman"/>
                <w:color w:val="000000" w:themeColor="text1"/>
                <w:kern w:val="24"/>
                <w:sz w:val="16"/>
                <w:szCs w:val="16"/>
                <w:lang w:eastAsia="de-DE"/>
              </w:rPr>
              <w:t>16</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33DD2630" w14:textId="77777777" w:rsidR="00066733" w:rsidRPr="0042395A" w:rsidRDefault="00265668" w:rsidP="00CD2FA1">
            <w:pPr>
              <w:spacing w:after="0" w:line="240" w:lineRule="auto"/>
              <w:rPr>
                <w:rFonts w:cs="Times New Roman"/>
                <w:sz w:val="16"/>
                <w:szCs w:val="16"/>
                <w:lang w:eastAsia="de-DE"/>
              </w:rPr>
            </w:pPr>
            <w:r>
              <w:rPr>
                <w:rFonts w:cs="Times New Roman"/>
                <w:color w:val="000000" w:themeColor="text1"/>
                <w:kern w:val="24"/>
                <w:sz w:val="16"/>
                <w:szCs w:val="16"/>
                <w:lang w:eastAsia="de-DE"/>
              </w:rPr>
              <w:t>2.</w:t>
            </w:r>
            <w:r w:rsidR="00066733" w:rsidRPr="0042395A">
              <w:rPr>
                <w:rFonts w:cs="Times New Roman"/>
                <w:color w:val="000000" w:themeColor="text1"/>
                <w:kern w:val="24"/>
                <w:sz w:val="16"/>
                <w:szCs w:val="16"/>
                <w:lang w:eastAsia="de-DE"/>
              </w:rPr>
              <w:t>500 nm / 0,10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460EDA07"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40%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42CF092C" w14:textId="77777777" w:rsidR="00066733" w:rsidRPr="0042395A" w:rsidRDefault="00045A17" w:rsidP="00CD2FA1">
            <w:pPr>
              <w:spacing w:after="0" w:line="240" w:lineRule="auto"/>
              <w:jc w:val="center"/>
              <w:rPr>
                <w:rFonts w:cs="Times New Roman"/>
                <w:sz w:val="16"/>
                <w:szCs w:val="16"/>
                <w:lang w:eastAsia="de-DE"/>
              </w:rPr>
            </w:pPr>
            <w:r>
              <w:rPr>
                <w:rFonts w:cs="Times New Roman"/>
                <w:color w:val="000000" w:themeColor="text1"/>
                <w:kern w:val="24"/>
                <w:sz w:val="16"/>
                <w:szCs w:val="16"/>
                <w:lang w:eastAsia="de-DE"/>
              </w:rPr>
              <w:t>1,</w:t>
            </w:r>
            <w:r w:rsidR="00066733" w:rsidRPr="0042395A">
              <w:rPr>
                <w:rFonts w:cs="Times New Roman"/>
                <w:color w:val="000000" w:themeColor="text1"/>
                <w:kern w:val="24"/>
                <w:sz w:val="16"/>
                <w:szCs w:val="16"/>
                <w:lang w:eastAsia="de-DE"/>
              </w:rPr>
              <w:t>4</w:t>
            </w:r>
          </w:p>
        </w:tc>
        <w:tc>
          <w:tcPr>
            <w:tcW w:w="1418" w:type="dxa"/>
            <w:tcBorders>
              <w:top w:val="single" w:sz="4" w:space="0" w:color="000000"/>
              <w:left w:val="single" w:sz="4" w:space="0" w:color="000000"/>
              <w:bottom w:val="single" w:sz="4" w:space="0" w:color="000000"/>
              <w:right w:val="single" w:sz="8" w:space="0" w:color="000000"/>
            </w:tcBorders>
            <w:vAlign w:val="center"/>
          </w:tcPr>
          <w:p w14:paraId="1B9FB387" w14:textId="77777777" w:rsidR="00066733" w:rsidRPr="0042395A" w:rsidRDefault="00066733" w:rsidP="00CD2FA1">
            <w:pPr>
              <w:spacing w:after="0" w:line="240" w:lineRule="auto"/>
              <w:jc w:val="center"/>
              <w:rPr>
                <w:rFonts w:cs="Times New Roman"/>
                <w:color w:val="000000" w:themeColor="text1"/>
                <w:kern w:val="24"/>
                <w:sz w:val="16"/>
                <w:szCs w:val="16"/>
                <w:lang w:eastAsia="de-DE"/>
              </w:rPr>
            </w:pPr>
            <w:r>
              <w:rPr>
                <w:rFonts w:cs="Times New Roman"/>
                <w:b/>
                <w:bCs/>
                <w:color w:val="000000" w:themeColor="text1"/>
                <w:kern w:val="24"/>
                <w:sz w:val="16"/>
                <w:szCs w:val="16"/>
                <w:lang w:eastAsia="de-DE"/>
              </w:rPr>
              <w:t>14,</w:t>
            </w:r>
            <w:r w:rsidRPr="0042395A">
              <w:rPr>
                <w:rFonts w:cs="Times New Roman"/>
                <w:b/>
                <w:bCs/>
                <w:color w:val="000000" w:themeColor="text1"/>
                <w:kern w:val="24"/>
                <w:sz w:val="16"/>
                <w:szCs w:val="16"/>
                <w:lang w:eastAsia="de-DE"/>
              </w:rPr>
              <w:t>0</w:t>
            </w:r>
          </w:p>
        </w:tc>
      </w:tr>
      <w:tr w:rsidR="00066733" w:rsidRPr="005218F7" w14:paraId="0DC7E1F6" w14:textId="77777777" w:rsidTr="00351A0E">
        <w:trPr>
          <w:trHeight w:val="397"/>
          <w:jc w:val="center"/>
        </w:trPr>
        <w:tc>
          <w:tcPr>
            <w:tcW w:w="995" w:type="dxa"/>
            <w:tcBorders>
              <w:top w:val="single" w:sz="4" w:space="0" w:color="000000"/>
              <w:left w:val="single" w:sz="8" w:space="0" w:color="000000"/>
              <w:bottom w:val="single" w:sz="4" w:space="0" w:color="000000"/>
              <w:right w:val="single" w:sz="4" w:space="0" w:color="000000"/>
            </w:tcBorders>
            <w:shd w:val="clear" w:color="auto" w:fill="auto"/>
            <w:tcMar>
              <w:top w:w="28" w:type="dxa"/>
              <w:left w:w="37" w:type="dxa"/>
              <w:bottom w:w="28" w:type="dxa"/>
              <w:right w:w="37" w:type="dxa"/>
            </w:tcMar>
            <w:vAlign w:val="center"/>
            <w:hideMark/>
          </w:tcPr>
          <w:p w14:paraId="0287AC5B" w14:textId="77777777" w:rsidR="00066733" w:rsidRPr="00066733" w:rsidRDefault="00066733" w:rsidP="00CD2FA1">
            <w:pPr>
              <w:spacing w:after="0" w:line="240" w:lineRule="auto"/>
              <w:jc w:val="center"/>
              <w:textAlignment w:val="baseline"/>
              <w:rPr>
                <w:rFonts w:eastAsia="SimSun" w:cs="Times New Roman"/>
                <w:bCs/>
                <w:color w:val="000000"/>
                <w:kern w:val="24"/>
                <w:sz w:val="16"/>
                <w:szCs w:val="16"/>
                <w:lang w:eastAsia="de-DE"/>
              </w:rPr>
            </w:pPr>
            <w:r w:rsidRPr="00066733">
              <w:rPr>
                <w:rFonts w:eastAsia="SimSun" w:cs="Times New Roman"/>
                <w:bCs/>
                <w:color w:val="000000"/>
                <w:kern w:val="24"/>
                <w:sz w:val="16"/>
                <w:szCs w:val="16"/>
                <w:lang w:eastAsia="de-DE"/>
              </w:rPr>
              <w:t>7</w:t>
            </w:r>
          </w:p>
          <w:p w14:paraId="29EBDCCD" w14:textId="77777777" w:rsidR="00066733" w:rsidRPr="00066733" w:rsidRDefault="00066733" w:rsidP="00CD2FA1">
            <w:pPr>
              <w:spacing w:after="0" w:line="240" w:lineRule="auto"/>
              <w:jc w:val="center"/>
              <w:textAlignment w:val="baseline"/>
              <w:rPr>
                <w:rFonts w:cs="Times New Roman"/>
                <w:sz w:val="16"/>
                <w:szCs w:val="16"/>
                <w:lang w:eastAsia="de-DE"/>
              </w:rPr>
            </w:pPr>
            <w:r w:rsidRPr="00066733">
              <w:rPr>
                <w:rFonts w:eastAsia="SimSun" w:cs="Times New Roman"/>
                <w:bCs/>
                <w:color w:val="000000"/>
                <w:kern w:val="24"/>
                <w:sz w:val="16"/>
                <w:szCs w:val="16"/>
                <w:lang w:eastAsia="de-DE"/>
              </w:rPr>
              <w:t>PEA 04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588271BA"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3:1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1F51C177" w14:textId="77777777" w:rsidR="00066733" w:rsidRPr="0042395A" w:rsidRDefault="001077A2" w:rsidP="00CD2FA1">
            <w:pPr>
              <w:spacing w:after="0" w:line="240" w:lineRule="auto"/>
              <w:jc w:val="center"/>
              <w:rPr>
                <w:rFonts w:cs="Times New Roman"/>
                <w:sz w:val="16"/>
                <w:szCs w:val="16"/>
                <w:lang w:eastAsia="de-DE"/>
              </w:rPr>
            </w:pPr>
            <w:r>
              <w:rPr>
                <w:rFonts w:cs="Times New Roman"/>
                <w:color w:val="000000" w:themeColor="text1"/>
                <w:kern w:val="24"/>
                <w:sz w:val="16"/>
                <w:szCs w:val="16"/>
                <w:lang w:eastAsia="de-DE"/>
              </w:rPr>
              <w:t>0,</w:t>
            </w:r>
            <w:r w:rsidR="00066733" w:rsidRPr="0042395A">
              <w:rPr>
                <w:rFonts w:cs="Times New Roman"/>
                <w:color w:val="000000" w:themeColor="text1"/>
                <w:kern w:val="24"/>
                <w:sz w:val="16"/>
                <w:szCs w:val="16"/>
                <w:lang w:eastAsia="de-DE"/>
              </w:rPr>
              <w:t>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1E77C45B" w14:textId="77777777" w:rsidR="00066733" w:rsidRPr="0042395A" w:rsidRDefault="00265668" w:rsidP="00CD2FA1">
            <w:pPr>
              <w:spacing w:after="0" w:line="240" w:lineRule="auto"/>
              <w:rPr>
                <w:rFonts w:cs="Times New Roman"/>
                <w:sz w:val="16"/>
                <w:szCs w:val="16"/>
                <w:lang w:eastAsia="de-DE"/>
              </w:rPr>
            </w:pPr>
            <w:r>
              <w:rPr>
                <w:rFonts w:cs="Times New Roman"/>
                <w:color w:val="000000" w:themeColor="text1"/>
                <w:kern w:val="24"/>
                <w:sz w:val="16"/>
                <w:szCs w:val="16"/>
                <w:lang w:eastAsia="de-DE"/>
              </w:rPr>
              <w:t>263 nm / 0,</w:t>
            </w:r>
            <w:r w:rsidR="00066733" w:rsidRPr="0042395A">
              <w:rPr>
                <w:rFonts w:cs="Times New Roman"/>
                <w:color w:val="000000" w:themeColor="text1"/>
                <w:kern w:val="24"/>
                <w:sz w:val="16"/>
                <w:szCs w:val="16"/>
                <w:lang w:eastAsia="de-DE"/>
              </w:rPr>
              <w:t>079</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73B48D87" w14:textId="77777777" w:rsidR="00066733" w:rsidRPr="0042395A" w:rsidRDefault="00265668" w:rsidP="00CD2FA1">
            <w:pPr>
              <w:spacing w:after="0" w:line="240" w:lineRule="auto"/>
              <w:rPr>
                <w:rFonts w:cs="Times New Roman"/>
                <w:sz w:val="16"/>
                <w:szCs w:val="16"/>
                <w:lang w:eastAsia="de-DE"/>
              </w:rPr>
            </w:pPr>
            <w:r>
              <w:rPr>
                <w:rFonts w:cs="Times New Roman"/>
                <w:color w:val="000000" w:themeColor="text1"/>
                <w:kern w:val="24"/>
                <w:sz w:val="16"/>
                <w:szCs w:val="16"/>
                <w:lang w:eastAsia="de-DE"/>
              </w:rPr>
              <w:t>421 nm / 0,</w:t>
            </w:r>
            <w:r w:rsidR="00066733" w:rsidRPr="0042395A">
              <w:rPr>
                <w:rFonts w:cs="Times New Roman"/>
                <w:color w:val="000000" w:themeColor="text1"/>
                <w:kern w:val="24"/>
                <w:sz w:val="16"/>
                <w:szCs w:val="16"/>
                <w:lang w:eastAsia="de-DE"/>
              </w:rPr>
              <w:t>307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70A67644"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40%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3D140338"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1</w:t>
            </w:r>
            <w:r w:rsidR="00045A17">
              <w:rPr>
                <w:rFonts w:cs="Times New Roman"/>
                <w:color w:val="000000" w:themeColor="text1"/>
                <w:kern w:val="24"/>
                <w:sz w:val="16"/>
                <w:szCs w:val="16"/>
                <w:lang w:eastAsia="de-DE"/>
              </w:rPr>
              <w:t>,</w:t>
            </w:r>
            <w:r>
              <w:rPr>
                <w:rFonts w:cs="Times New Roman"/>
                <w:color w:val="000000" w:themeColor="text1"/>
                <w:kern w:val="24"/>
                <w:sz w:val="16"/>
                <w:szCs w:val="16"/>
                <w:lang w:eastAsia="de-DE"/>
              </w:rPr>
              <w:t>9</w:t>
            </w:r>
          </w:p>
        </w:tc>
        <w:tc>
          <w:tcPr>
            <w:tcW w:w="1418" w:type="dxa"/>
            <w:tcBorders>
              <w:top w:val="single" w:sz="4" w:space="0" w:color="000000"/>
              <w:left w:val="single" w:sz="4" w:space="0" w:color="000000"/>
              <w:bottom w:val="single" w:sz="4" w:space="0" w:color="000000"/>
              <w:right w:val="single" w:sz="8" w:space="0" w:color="000000"/>
            </w:tcBorders>
            <w:vAlign w:val="center"/>
          </w:tcPr>
          <w:p w14:paraId="43CC4034" w14:textId="77777777" w:rsidR="00066733" w:rsidRPr="0042395A" w:rsidRDefault="00066733" w:rsidP="00CD2FA1">
            <w:pPr>
              <w:spacing w:after="0" w:line="240" w:lineRule="auto"/>
              <w:jc w:val="center"/>
              <w:rPr>
                <w:rFonts w:cs="Times New Roman"/>
                <w:color w:val="000000" w:themeColor="text1"/>
                <w:kern w:val="24"/>
                <w:sz w:val="16"/>
                <w:szCs w:val="16"/>
                <w:lang w:eastAsia="de-DE"/>
              </w:rPr>
            </w:pPr>
            <w:r>
              <w:rPr>
                <w:rFonts w:cs="Times New Roman"/>
                <w:b/>
                <w:bCs/>
                <w:color w:val="000000" w:themeColor="text1"/>
                <w:kern w:val="24"/>
                <w:sz w:val="16"/>
                <w:szCs w:val="16"/>
                <w:lang w:eastAsia="de-DE"/>
              </w:rPr>
              <w:t>11,</w:t>
            </w:r>
            <w:r w:rsidRPr="0042395A">
              <w:rPr>
                <w:rFonts w:cs="Times New Roman"/>
                <w:b/>
                <w:bCs/>
                <w:color w:val="000000" w:themeColor="text1"/>
                <w:kern w:val="24"/>
                <w:sz w:val="16"/>
                <w:szCs w:val="16"/>
                <w:lang w:eastAsia="de-DE"/>
              </w:rPr>
              <w:t>25</w:t>
            </w:r>
          </w:p>
        </w:tc>
      </w:tr>
      <w:tr w:rsidR="00066733" w:rsidRPr="005218F7" w14:paraId="01A02934" w14:textId="77777777" w:rsidTr="00351A0E">
        <w:trPr>
          <w:trHeight w:val="397"/>
          <w:jc w:val="center"/>
        </w:trPr>
        <w:tc>
          <w:tcPr>
            <w:tcW w:w="995" w:type="dxa"/>
            <w:tcBorders>
              <w:top w:val="single" w:sz="4" w:space="0" w:color="000000"/>
              <w:left w:val="single" w:sz="8" w:space="0" w:color="000000"/>
              <w:bottom w:val="single" w:sz="4" w:space="0" w:color="000000"/>
              <w:right w:val="single" w:sz="4" w:space="0" w:color="000000"/>
            </w:tcBorders>
            <w:shd w:val="clear" w:color="auto" w:fill="auto"/>
            <w:tcMar>
              <w:top w:w="28" w:type="dxa"/>
              <w:left w:w="37" w:type="dxa"/>
              <w:bottom w:w="28" w:type="dxa"/>
              <w:right w:w="37" w:type="dxa"/>
            </w:tcMar>
            <w:vAlign w:val="center"/>
            <w:hideMark/>
          </w:tcPr>
          <w:p w14:paraId="48345064" w14:textId="77777777" w:rsidR="00066733" w:rsidRPr="00066733" w:rsidRDefault="00066733" w:rsidP="00CD2FA1">
            <w:pPr>
              <w:spacing w:after="0" w:line="240" w:lineRule="auto"/>
              <w:jc w:val="center"/>
              <w:textAlignment w:val="baseline"/>
              <w:rPr>
                <w:rFonts w:eastAsia="SimSun" w:cs="Times New Roman"/>
                <w:bCs/>
                <w:color w:val="000000"/>
                <w:kern w:val="24"/>
                <w:sz w:val="16"/>
                <w:szCs w:val="16"/>
                <w:lang w:eastAsia="de-DE"/>
              </w:rPr>
            </w:pPr>
            <w:r w:rsidRPr="00066733">
              <w:rPr>
                <w:rFonts w:eastAsia="SimSun" w:cs="Times New Roman"/>
                <w:bCs/>
                <w:color w:val="000000"/>
                <w:kern w:val="24"/>
                <w:sz w:val="16"/>
                <w:szCs w:val="16"/>
                <w:lang w:eastAsia="de-DE"/>
              </w:rPr>
              <w:t>8</w:t>
            </w:r>
          </w:p>
          <w:p w14:paraId="19FCE4BF" w14:textId="77777777" w:rsidR="00066733" w:rsidRPr="00066733" w:rsidRDefault="00066733" w:rsidP="00CD2FA1">
            <w:pPr>
              <w:spacing w:after="0" w:line="240" w:lineRule="auto"/>
              <w:jc w:val="center"/>
              <w:textAlignment w:val="baseline"/>
              <w:rPr>
                <w:rFonts w:cs="Times New Roman"/>
                <w:sz w:val="16"/>
                <w:szCs w:val="16"/>
                <w:lang w:eastAsia="de-DE"/>
              </w:rPr>
            </w:pPr>
            <w:r w:rsidRPr="00066733">
              <w:rPr>
                <w:rFonts w:eastAsia="SimSun" w:cs="Times New Roman"/>
                <w:bCs/>
                <w:color w:val="000000"/>
                <w:kern w:val="24"/>
                <w:sz w:val="16"/>
                <w:szCs w:val="16"/>
                <w:lang w:eastAsia="de-DE"/>
              </w:rPr>
              <w:t>PEA 05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15E033C1"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3:1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552E27B6" w14:textId="77777777" w:rsidR="00066733" w:rsidRPr="0042395A" w:rsidRDefault="001077A2" w:rsidP="00CD2FA1">
            <w:pPr>
              <w:spacing w:after="0" w:line="240" w:lineRule="auto"/>
              <w:jc w:val="center"/>
              <w:rPr>
                <w:rFonts w:cs="Times New Roman"/>
                <w:sz w:val="16"/>
                <w:szCs w:val="16"/>
                <w:lang w:eastAsia="de-DE"/>
              </w:rPr>
            </w:pPr>
            <w:r>
              <w:rPr>
                <w:rFonts w:cs="Times New Roman"/>
                <w:color w:val="000000" w:themeColor="text1"/>
                <w:kern w:val="24"/>
                <w:sz w:val="16"/>
                <w:szCs w:val="16"/>
                <w:lang w:eastAsia="de-DE"/>
              </w:rPr>
              <w:t>0,</w:t>
            </w:r>
            <w:r w:rsidR="00066733" w:rsidRPr="0042395A">
              <w:rPr>
                <w:rFonts w:cs="Times New Roman"/>
                <w:color w:val="000000" w:themeColor="text1"/>
                <w:kern w:val="24"/>
                <w:sz w:val="16"/>
                <w:szCs w:val="16"/>
                <w:lang w:eastAsia="de-DE"/>
              </w:rPr>
              <w:t>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66B65E96" w14:textId="77777777" w:rsidR="00066733" w:rsidRPr="0042395A" w:rsidRDefault="00265668" w:rsidP="00CD2FA1">
            <w:pPr>
              <w:spacing w:after="0" w:line="240" w:lineRule="auto"/>
              <w:rPr>
                <w:rFonts w:cs="Times New Roman"/>
                <w:sz w:val="16"/>
                <w:szCs w:val="16"/>
                <w:lang w:eastAsia="de-DE"/>
              </w:rPr>
            </w:pPr>
            <w:r>
              <w:rPr>
                <w:rFonts w:cs="Times New Roman"/>
                <w:color w:val="000000" w:themeColor="text1"/>
                <w:kern w:val="24"/>
                <w:sz w:val="16"/>
                <w:szCs w:val="16"/>
                <w:lang w:eastAsia="de-DE"/>
              </w:rPr>
              <w:t>114 nm / 0,</w:t>
            </w:r>
            <w:r w:rsidR="00066733" w:rsidRPr="0042395A">
              <w:rPr>
                <w:rFonts w:cs="Times New Roman"/>
                <w:color w:val="000000" w:themeColor="text1"/>
                <w:kern w:val="24"/>
                <w:sz w:val="16"/>
                <w:szCs w:val="16"/>
                <w:lang w:eastAsia="de-DE"/>
              </w:rPr>
              <w:t>052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7D5788CA" w14:textId="77777777" w:rsidR="00066733" w:rsidRPr="0042395A" w:rsidRDefault="00066733" w:rsidP="00CD2FA1">
            <w:pPr>
              <w:spacing w:after="0" w:line="240" w:lineRule="auto"/>
              <w:rPr>
                <w:rFonts w:cs="Times New Roman"/>
                <w:sz w:val="16"/>
                <w:szCs w:val="16"/>
                <w:lang w:eastAsia="de-DE"/>
              </w:rPr>
            </w:pPr>
            <w:r w:rsidRPr="0042395A">
              <w:rPr>
                <w:rFonts w:cs="Times New Roman"/>
                <w:color w:val="000000" w:themeColor="text1"/>
                <w:kern w:val="24"/>
                <w:sz w:val="16"/>
                <w:szCs w:val="16"/>
                <w:lang w:eastAsia="de-DE"/>
              </w:rPr>
              <w:t>Redispergierung nicht möglich</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2227A798"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25%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66552F95" w14:textId="77777777" w:rsidR="00066733" w:rsidRPr="0042395A" w:rsidRDefault="00066733" w:rsidP="00CD2FA1">
            <w:pPr>
              <w:spacing w:after="0" w:line="240" w:lineRule="auto"/>
              <w:jc w:val="center"/>
              <w:rPr>
                <w:rFonts w:cs="Times New Roman"/>
                <w:sz w:val="16"/>
                <w:szCs w:val="16"/>
                <w:lang w:eastAsia="de-DE"/>
              </w:rPr>
            </w:pPr>
            <w:r>
              <w:rPr>
                <w:rFonts w:cs="Times New Roman"/>
                <w:color w:val="000000" w:themeColor="text1"/>
                <w:kern w:val="24"/>
                <w:sz w:val="16"/>
                <w:szCs w:val="16"/>
                <w:lang w:eastAsia="de-DE"/>
              </w:rPr>
              <w:t>3,0</w:t>
            </w:r>
          </w:p>
        </w:tc>
        <w:tc>
          <w:tcPr>
            <w:tcW w:w="1418" w:type="dxa"/>
            <w:tcBorders>
              <w:top w:val="single" w:sz="4" w:space="0" w:color="000000"/>
              <w:left w:val="single" w:sz="4" w:space="0" w:color="000000"/>
              <w:bottom w:val="single" w:sz="4" w:space="0" w:color="000000"/>
              <w:right w:val="single" w:sz="8" w:space="0" w:color="000000"/>
            </w:tcBorders>
            <w:vAlign w:val="center"/>
          </w:tcPr>
          <w:p w14:paraId="6D0F5E43" w14:textId="77777777" w:rsidR="00066733" w:rsidRDefault="00066733" w:rsidP="00CD2FA1">
            <w:pPr>
              <w:spacing w:after="0" w:line="240" w:lineRule="auto"/>
              <w:jc w:val="center"/>
              <w:rPr>
                <w:rFonts w:cs="Times New Roman"/>
                <w:color w:val="000000" w:themeColor="text1"/>
                <w:kern w:val="24"/>
                <w:sz w:val="16"/>
                <w:szCs w:val="16"/>
                <w:lang w:eastAsia="de-DE"/>
              </w:rPr>
            </w:pPr>
            <w:r>
              <w:rPr>
                <w:rFonts w:cs="Times New Roman"/>
                <w:b/>
                <w:bCs/>
                <w:color w:val="000000" w:themeColor="text1"/>
                <w:kern w:val="24"/>
                <w:sz w:val="16"/>
                <w:szCs w:val="16"/>
                <w:lang w:eastAsia="de-DE"/>
              </w:rPr>
              <w:t>14,</w:t>
            </w:r>
            <w:r w:rsidRPr="0042395A">
              <w:rPr>
                <w:rFonts w:cs="Times New Roman"/>
                <w:b/>
                <w:bCs/>
                <w:color w:val="000000" w:themeColor="text1"/>
                <w:kern w:val="24"/>
                <w:sz w:val="16"/>
                <w:szCs w:val="16"/>
                <w:lang w:eastAsia="de-DE"/>
              </w:rPr>
              <w:t>5</w:t>
            </w:r>
          </w:p>
        </w:tc>
      </w:tr>
      <w:tr w:rsidR="00066733" w:rsidRPr="005218F7" w14:paraId="152D854A" w14:textId="77777777" w:rsidTr="00351A0E">
        <w:trPr>
          <w:trHeight w:val="397"/>
          <w:jc w:val="center"/>
        </w:trPr>
        <w:tc>
          <w:tcPr>
            <w:tcW w:w="995" w:type="dxa"/>
            <w:tcBorders>
              <w:top w:val="single" w:sz="4" w:space="0" w:color="000000"/>
              <w:left w:val="single" w:sz="8" w:space="0" w:color="000000"/>
              <w:bottom w:val="single" w:sz="4" w:space="0" w:color="000000"/>
              <w:right w:val="single" w:sz="4" w:space="0" w:color="000000"/>
            </w:tcBorders>
            <w:shd w:val="clear" w:color="auto" w:fill="auto"/>
            <w:tcMar>
              <w:top w:w="28" w:type="dxa"/>
              <w:left w:w="37" w:type="dxa"/>
              <w:bottom w:w="28" w:type="dxa"/>
              <w:right w:w="37" w:type="dxa"/>
            </w:tcMar>
            <w:vAlign w:val="center"/>
            <w:hideMark/>
          </w:tcPr>
          <w:p w14:paraId="785962EA" w14:textId="77777777" w:rsidR="00066733" w:rsidRPr="00066733" w:rsidRDefault="00066733" w:rsidP="00CD2FA1">
            <w:pPr>
              <w:spacing w:after="0" w:line="240" w:lineRule="auto"/>
              <w:jc w:val="center"/>
              <w:textAlignment w:val="baseline"/>
              <w:rPr>
                <w:rFonts w:eastAsia="SimSun" w:cs="Times New Roman"/>
                <w:bCs/>
                <w:color w:val="000000"/>
                <w:kern w:val="24"/>
                <w:sz w:val="16"/>
                <w:szCs w:val="16"/>
                <w:lang w:eastAsia="de-DE"/>
              </w:rPr>
            </w:pPr>
            <w:r w:rsidRPr="00066733">
              <w:rPr>
                <w:rFonts w:eastAsia="SimSun" w:cs="Times New Roman"/>
                <w:bCs/>
                <w:color w:val="000000"/>
                <w:kern w:val="24"/>
                <w:sz w:val="16"/>
                <w:szCs w:val="16"/>
                <w:lang w:eastAsia="de-DE"/>
              </w:rPr>
              <w:t>9</w:t>
            </w:r>
          </w:p>
          <w:p w14:paraId="18349F9A" w14:textId="77777777" w:rsidR="00066733" w:rsidRPr="00066733" w:rsidRDefault="00066733" w:rsidP="00CD2FA1">
            <w:pPr>
              <w:spacing w:after="0" w:line="240" w:lineRule="auto"/>
              <w:jc w:val="center"/>
              <w:textAlignment w:val="baseline"/>
              <w:rPr>
                <w:rFonts w:cs="Times New Roman"/>
                <w:sz w:val="16"/>
                <w:szCs w:val="16"/>
                <w:lang w:eastAsia="de-DE"/>
              </w:rPr>
            </w:pPr>
            <w:r w:rsidRPr="00066733">
              <w:rPr>
                <w:rFonts w:eastAsia="SimSun" w:cs="Times New Roman"/>
                <w:bCs/>
                <w:color w:val="000000"/>
                <w:kern w:val="24"/>
                <w:sz w:val="16"/>
                <w:szCs w:val="16"/>
                <w:lang w:eastAsia="de-DE"/>
              </w:rPr>
              <w:t>PEA 05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35DB87E0"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3:1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41F8674E" w14:textId="77777777" w:rsidR="00066733" w:rsidRPr="0042395A" w:rsidRDefault="001077A2" w:rsidP="00CD2FA1">
            <w:pPr>
              <w:spacing w:after="0" w:line="240" w:lineRule="auto"/>
              <w:jc w:val="center"/>
              <w:rPr>
                <w:rFonts w:cs="Times New Roman"/>
                <w:sz w:val="16"/>
                <w:szCs w:val="16"/>
                <w:lang w:eastAsia="de-DE"/>
              </w:rPr>
            </w:pPr>
            <w:r>
              <w:rPr>
                <w:rFonts w:cs="Times New Roman"/>
                <w:color w:val="000000" w:themeColor="text1"/>
                <w:kern w:val="24"/>
                <w:sz w:val="16"/>
                <w:szCs w:val="16"/>
                <w:lang w:eastAsia="de-DE"/>
              </w:rPr>
              <w:t>0,</w:t>
            </w:r>
            <w:r w:rsidR="00066733" w:rsidRPr="0042395A">
              <w:rPr>
                <w:rFonts w:cs="Times New Roman"/>
                <w:color w:val="000000" w:themeColor="text1"/>
                <w:kern w:val="24"/>
                <w:sz w:val="16"/>
                <w:szCs w:val="16"/>
                <w:lang w:eastAsia="de-DE"/>
              </w:rPr>
              <w:t>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719FE763" w14:textId="77777777" w:rsidR="00066733" w:rsidRPr="0042395A" w:rsidRDefault="00265668" w:rsidP="00CD2FA1">
            <w:pPr>
              <w:spacing w:after="0" w:line="240" w:lineRule="auto"/>
              <w:rPr>
                <w:rFonts w:cs="Times New Roman"/>
                <w:sz w:val="16"/>
                <w:szCs w:val="16"/>
                <w:lang w:eastAsia="de-DE"/>
              </w:rPr>
            </w:pPr>
            <w:r>
              <w:rPr>
                <w:rFonts w:cs="Times New Roman"/>
                <w:color w:val="000000" w:themeColor="text1"/>
                <w:kern w:val="24"/>
                <w:sz w:val="16"/>
                <w:szCs w:val="16"/>
                <w:lang w:eastAsia="de-DE"/>
              </w:rPr>
              <w:t>291 nm / 0,</w:t>
            </w:r>
            <w:r w:rsidR="00066733" w:rsidRPr="0042395A">
              <w:rPr>
                <w:rFonts w:cs="Times New Roman"/>
                <w:color w:val="000000" w:themeColor="text1"/>
                <w:kern w:val="24"/>
                <w:sz w:val="16"/>
                <w:szCs w:val="16"/>
                <w:lang w:eastAsia="de-DE"/>
              </w:rPr>
              <w:t>099</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1E7CA8D1" w14:textId="77777777" w:rsidR="00066733" w:rsidRPr="0042395A" w:rsidRDefault="00066733" w:rsidP="00CD2FA1">
            <w:pPr>
              <w:spacing w:after="0" w:line="240" w:lineRule="auto"/>
              <w:rPr>
                <w:rFonts w:cs="Times New Roman"/>
                <w:sz w:val="16"/>
                <w:szCs w:val="16"/>
                <w:lang w:eastAsia="de-DE"/>
              </w:rPr>
            </w:pPr>
            <w:r>
              <w:rPr>
                <w:rFonts w:cs="Times New Roman"/>
                <w:color w:val="000000" w:themeColor="text1"/>
                <w:kern w:val="24"/>
                <w:sz w:val="16"/>
                <w:szCs w:val="16"/>
                <w:lang w:eastAsia="de-DE"/>
              </w:rPr>
              <w:t>Redispergierung nicht möglich</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2F652A7A"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25%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571B47E9"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w:t>
            </w:r>
          </w:p>
        </w:tc>
        <w:tc>
          <w:tcPr>
            <w:tcW w:w="1418" w:type="dxa"/>
            <w:tcBorders>
              <w:top w:val="single" w:sz="4" w:space="0" w:color="000000"/>
              <w:left w:val="single" w:sz="4" w:space="0" w:color="000000"/>
              <w:bottom w:val="single" w:sz="4" w:space="0" w:color="000000"/>
              <w:right w:val="single" w:sz="8" w:space="0" w:color="000000"/>
            </w:tcBorders>
            <w:vAlign w:val="center"/>
          </w:tcPr>
          <w:p w14:paraId="4CA29B52" w14:textId="77777777" w:rsidR="00066733" w:rsidRPr="0042395A" w:rsidRDefault="00066733" w:rsidP="00CD2FA1">
            <w:pPr>
              <w:spacing w:after="0" w:line="240" w:lineRule="auto"/>
              <w:jc w:val="center"/>
              <w:rPr>
                <w:rFonts w:cs="Times New Roman"/>
                <w:color w:val="000000" w:themeColor="text1"/>
                <w:kern w:val="24"/>
                <w:sz w:val="16"/>
                <w:szCs w:val="16"/>
                <w:lang w:eastAsia="de-DE"/>
              </w:rPr>
            </w:pPr>
            <w:r w:rsidRPr="0042395A">
              <w:rPr>
                <w:rFonts w:cs="Times New Roman"/>
                <w:b/>
                <w:bCs/>
                <w:color w:val="000000" w:themeColor="text1"/>
                <w:kern w:val="24"/>
                <w:sz w:val="16"/>
                <w:szCs w:val="16"/>
                <w:lang w:eastAsia="de-DE"/>
              </w:rPr>
              <w:t>--</w:t>
            </w:r>
          </w:p>
        </w:tc>
      </w:tr>
      <w:tr w:rsidR="00066733" w:rsidRPr="005218F7" w14:paraId="3B1AB776" w14:textId="77777777" w:rsidTr="00351A0E">
        <w:trPr>
          <w:trHeight w:val="397"/>
          <w:jc w:val="center"/>
        </w:trPr>
        <w:tc>
          <w:tcPr>
            <w:tcW w:w="995" w:type="dxa"/>
            <w:tcBorders>
              <w:top w:val="single" w:sz="4" w:space="0" w:color="000000"/>
              <w:left w:val="single" w:sz="8" w:space="0" w:color="000000"/>
              <w:bottom w:val="single" w:sz="4" w:space="0" w:color="000000"/>
              <w:right w:val="single" w:sz="4" w:space="0" w:color="000000"/>
            </w:tcBorders>
            <w:shd w:val="clear" w:color="auto" w:fill="auto"/>
            <w:tcMar>
              <w:top w:w="28" w:type="dxa"/>
              <w:left w:w="37" w:type="dxa"/>
              <w:bottom w:w="28" w:type="dxa"/>
              <w:right w:w="37" w:type="dxa"/>
            </w:tcMar>
            <w:vAlign w:val="center"/>
            <w:hideMark/>
          </w:tcPr>
          <w:p w14:paraId="0E5F1BF6" w14:textId="77777777" w:rsidR="00066733" w:rsidRPr="00066733" w:rsidRDefault="00066733" w:rsidP="00CD2FA1">
            <w:pPr>
              <w:spacing w:after="0" w:line="240" w:lineRule="auto"/>
              <w:jc w:val="center"/>
              <w:textAlignment w:val="baseline"/>
              <w:rPr>
                <w:rFonts w:eastAsia="SimSun" w:cs="Times New Roman"/>
                <w:bCs/>
                <w:color w:val="000000"/>
                <w:kern w:val="24"/>
                <w:sz w:val="16"/>
                <w:szCs w:val="16"/>
                <w:lang w:eastAsia="de-DE"/>
              </w:rPr>
            </w:pPr>
            <w:r w:rsidRPr="00066733">
              <w:rPr>
                <w:rFonts w:eastAsia="SimSun" w:cs="Times New Roman"/>
                <w:bCs/>
                <w:color w:val="000000"/>
                <w:kern w:val="24"/>
                <w:sz w:val="16"/>
                <w:szCs w:val="16"/>
                <w:lang w:eastAsia="de-DE"/>
              </w:rPr>
              <w:t>10</w:t>
            </w:r>
          </w:p>
          <w:p w14:paraId="71C0690E" w14:textId="77777777" w:rsidR="00066733" w:rsidRPr="00066733" w:rsidRDefault="00066733" w:rsidP="00CD2FA1">
            <w:pPr>
              <w:spacing w:after="0" w:line="240" w:lineRule="auto"/>
              <w:jc w:val="center"/>
              <w:textAlignment w:val="baseline"/>
              <w:rPr>
                <w:rFonts w:cs="Times New Roman"/>
                <w:sz w:val="16"/>
                <w:szCs w:val="16"/>
                <w:lang w:eastAsia="de-DE"/>
              </w:rPr>
            </w:pPr>
            <w:r w:rsidRPr="00066733">
              <w:rPr>
                <w:rFonts w:eastAsia="SimSun" w:cs="Times New Roman"/>
                <w:bCs/>
                <w:color w:val="000000"/>
                <w:kern w:val="24"/>
                <w:sz w:val="16"/>
                <w:szCs w:val="16"/>
                <w:lang w:eastAsia="de-DE"/>
              </w:rPr>
              <w:t>PEA 06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7D8B433B"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3:1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629F2618" w14:textId="77777777" w:rsidR="00066733" w:rsidRPr="0042395A" w:rsidRDefault="001077A2" w:rsidP="00CD2FA1">
            <w:pPr>
              <w:spacing w:after="0" w:line="240" w:lineRule="auto"/>
              <w:jc w:val="center"/>
              <w:rPr>
                <w:rFonts w:cs="Times New Roman"/>
                <w:sz w:val="16"/>
                <w:szCs w:val="16"/>
                <w:lang w:eastAsia="de-DE"/>
              </w:rPr>
            </w:pPr>
            <w:r>
              <w:rPr>
                <w:rFonts w:cs="Times New Roman"/>
                <w:color w:val="000000" w:themeColor="text1"/>
                <w:kern w:val="24"/>
                <w:sz w:val="16"/>
                <w:szCs w:val="16"/>
                <w:lang w:eastAsia="de-DE"/>
              </w:rPr>
              <w:t>0,</w:t>
            </w:r>
            <w:r w:rsidR="00066733" w:rsidRPr="0042395A">
              <w:rPr>
                <w:rFonts w:cs="Times New Roman"/>
                <w:color w:val="000000" w:themeColor="text1"/>
                <w:kern w:val="24"/>
                <w:sz w:val="16"/>
                <w:szCs w:val="16"/>
                <w:lang w:eastAsia="de-DE"/>
              </w:rPr>
              <w:t>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0E8543B5" w14:textId="77777777" w:rsidR="00066733" w:rsidRPr="0042395A" w:rsidRDefault="00265668" w:rsidP="00CD2FA1">
            <w:pPr>
              <w:spacing w:after="0" w:line="240" w:lineRule="auto"/>
              <w:rPr>
                <w:rFonts w:cs="Times New Roman"/>
                <w:sz w:val="16"/>
                <w:szCs w:val="16"/>
                <w:lang w:eastAsia="de-DE"/>
              </w:rPr>
            </w:pPr>
            <w:r>
              <w:rPr>
                <w:rFonts w:cs="Times New Roman"/>
                <w:color w:val="000000" w:themeColor="text1"/>
                <w:kern w:val="24"/>
                <w:sz w:val="16"/>
                <w:szCs w:val="16"/>
                <w:lang w:eastAsia="de-DE"/>
              </w:rPr>
              <w:t>244 nm / 0,</w:t>
            </w:r>
            <w:r w:rsidR="00066733" w:rsidRPr="0042395A">
              <w:rPr>
                <w:rFonts w:cs="Times New Roman"/>
                <w:color w:val="000000" w:themeColor="text1"/>
                <w:kern w:val="24"/>
                <w:sz w:val="16"/>
                <w:szCs w:val="16"/>
                <w:lang w:eastAsia="de-DE"/>
              </w:rPr>
              <w:t>035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29833A31" w14:textId="77777777" w:rsidR="00066733" w:rsidRPr="0042395A" w:rsidRDefault="00265668" w:rsidP="00CD2FA1">
            <w:pPr>
              <w:spacing w:after="0" w:line="240" w:lineRule="auto"/>
              <w:rPr>
                <w:rFonts w:cs="Times New Roman"/>
                <w:sz w:val="16"/>
                <w:szCs w:val="16"/>
                <w:lang w:eastAsia="de-DE"/>
              </w:rPr>
            </w:pPr>
            <w:r>
              <w:rPr>
                <w:rFonts w:cs="Times New Roman"/>
                <w:color w:val="000000" w:themeColor="text1"/>
                <w:kern w:val="24"/>
                <w:sz w:val="16"/>
                <w:szCs w:val="16"/>
                <w:lang w:eastAsia="de-DE"/>
              </w:rPr>
              <w:t>278 nm / 0,</w:t>
            </w:r>
            <w:r w:rsidR="00066733" w:rsidRPr="0042395A">
              <w:rPr>
                <w:rFonts w:cs="Times New Roman"/>
                <w:color w:val="000000" w:themeColor="text1"/>
                <w:kern w:val="24"/>
                <w:sz w:val="16"/>
                <w:szCs w:val="16"/>
                <w:lang w:eastAsia="de-DE"/>
              </w:rPr>
              <w:t>14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2A5C2F90" w14:textId="77777777" w:rsidR="00066733" w:rsidRPr="0042395A" w:rsidRDefault="00066733" w:rsidP="00CD2FA1">
            <w:pPr>
              <w:spacing w:after="0" w:line="240" w:lineRule="auto"/>
              <w:jc w:val="center"/>
              <w:rPr>
                <w:rFonts w:cs="Times New Roman"/>
                <w:sz w:val="16"/>
                <w:szCs w:val="16"/>
                <w:lang w:eastAsia="de-DE"/>
              </w:rPr>
            </w:pPr>
            <w:r w:rsidRPr="0042395A">
              <w:rPr>
                <w:rFonts w:cs="Times New Roman"/>
                <w:color w:val="000000" w:themeColor="text1"/>
                <w:kern w:val="24"/>
                <w:sz w:val="16"/>
                <w:szCs w:val="16"/>
                <w:lang w:eastAsia="de-DE"/>
              </w:rPr>
              <w:t>23%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2D995EE9" w14:textId="77777777" w:rsidR="00066733" w:rsidRPr="0042395A" w:rsidRDefault="00045A17" w:rsidP="00CD2FA1">
            <w:pPr>
              <w:spacing w:after="0" w:line="240" w:lineRule="auto"/>
              <w:jc w:val="center"/>
              <w:rPr>
                <w:rFonts w:cs="Times New Roman"/>
                <w:sz w:val="16"/>
                <w:szCs w:val="16"/>
                <w:lang w:eastAsia="de-DE"/>
              </w:rPr>
            </w:pPr>
            <w:r>
              <w:rPr>
                <w:rFonts w:cs="Times New Roman"/>
                <w:color w:val="000000" w:themeColor="text1"/>
                <w:kern w:val="24"/>
                <w:sz w:val="16"/>
                <w:szCs w:val="16"/>
                <w:lang w:eastAsia="de-DE"/>
              </w:rPr>
              <w:t>10,</w:t>
            </w:r>
            <w:r w:rsidR="00066733" w:rsidRPr="0042395A">
              <w:rPr>
                <w:rFonts w:cs="Times New Roman"/>
                <w:color w:val="000000" w:themeColor="text1"/>
                <w:kern w:val="24"/>
                <w:sz w:val="16"/>
                <w:szCs w:val="16"/>
                <w:lang w:eastAsia="de-DE"/>
              </w:rPr>
              <w:t>0</w:t>
            </w:r>
          </w:p>
        </w:tc>
        <w:tc>
          <w:tcPr>
            <w:tcW w:w="1418" w:type="dxa"/>
            <w:tcBorders>
              <w:top w:val="single" w:sz="4" w:space="0" w:color="000000"/>
              <w:left w:val="single" w:sz="4" w:space="0" w:color="000000"/>
              <w:bottom w:val="single" w:sz="4" w:space="0" w:color="000000"/>
              <w:right w:val="single" w:sz="8" w:space="0" w:color="000000"/>
            </w:tcBorders>
            <w:vAlign w:val="center"/>
          </w:tcPr>
          <w:p w14:paraId="6FDAE1F0" w14:textId="77777777" w:rsidR="00066733" w:rsidRPr="0042395A" w:rsidRDefault="00066733" w:rsidP="00CD2FA1">
            <w:pPr>
              <w:spacing w:after="0" w:line="240" w:lineRule="auto"/>
              <w:jc w:val="center"/>
              <w:rPr>
                <w:rFonts w:cs="Times New Roman"/>
                <w:color w:val="000000" w:themeColor="text1"/>
                <w:kern w:val="24"/>
                <w:sz w:val="16"/>
                <w:szCs w:val="16"/>
                <w:lang w:eastAsia="de-DE"/>
              </w:rPr>
            </w:pPr>
            <w:r>
              <w:rPr>
                <w:rFonts w:cs="Times New Roman"/>
                <w:b/>
                <w:bCs/>
                <w:color w:val="000000" w:themeColor="text1"/>
                <w:kern w:val="24"/>
                <w:sz w:val="16"/>
                <w:szCs w:val="16"/>
                <w:lang w:eastAsia="de-DE"/>
              </w:rPr>
              <w:t>13,</w:t>
            </w:r>
            <w:r w:rsidRPr="0042395A">
              <w:rPr>
                <w:rFonts w:cs="Times New Roman"/>
                <w:b/>
                <w:bCs/>
                <w:color w:val="000000" w:themeColor="text1"/>
                <w:kern w:val="24"/>
                <w:sz w:val="16"/>
                <w:szCs w:val="16"/>
                <w:lang w:eastAsia="de-DE"/>
              </w:rPr>
              <w:t>3</w:t>
            </w:r>
          </w:p>
        </w:tc>
      </w:tr>
      <w:tr w:rsidR="000D5F55" w:rsidRPr="005218F7" w14:paraId="526B751A" w14:textId="77777777" w:rsidTr="00351A0E">
        <w:trPr>
          <w:trHeight w:val="397"/>
          <w:jc w:val="center"/>
        </w:trPr>
        <w:tc>
          <w:tcPr>
            <w:tcW w:w="995" w:type="dxa"/>
            <w:tcBorders>
              <w:top w:val="single" w:sz="4" w:space="0" w:color="000000"/>
              <w:left w:val="single" w:sz="8" w:space="0" w:color="000000"/>
              <w:bottom w:val="single" w:sz="4" w:space="0" w:color="000000"/>
              <w:right w:val="single" w:sz="4" w:space="0" w:color="000000"/>
            </w:tcBorders>
            <w:shd w:val="clear" w:color="auto" w:fill="auto"/>
            <w:tcMar>
              <w:top w:w="28" w:type="dxa"/>
              <w:left w:w="37" w:type="dxa"/>
              <w:bottom w:w="28" w:type="dxa"/>
              <w:right w:w="37" w:type="dxa"/>
            </w:tcMar>
            <w:vAlign w:val="center"/>
          </w:tcPr>
          <w:p w14:paraId="0AFD0CB3" w14:textId="77777777" w:rsidR="000D5F55" w:rsidRDefault="000D5F55" w:rsidP="00CD2FA1">
            <w:pPr>
              <w:spacing w:after="0" w:line="240" w:lineRule="auto"/>
              <w:jc w:val="center"/>
              <w:textAlignment w:val="baseline"/>
              <w:rPr>
                <w:rFonts w:eastAsia="SimSun" w:cs="Times New Roman"/>
                <w:bCs/>
                <w:color w:val="000000"/>
                <w:kern w:val="24"/>
                <w:sz w:val="16"/>
                <w:szCs w:val="16"/>
                <w:lang w:eastAsia="de-DE"/>
              </w:rPr>
            </w:pPr>
            <w:r>
              <w:rPr>
                <w:rFonts w:eastAsia="SimSun" w:cs="Times New Roman"/>
                <w:bCs/>
                <w:color w:val="000000"/>
                <w:kern w:val="24"/>
                <w:sz w:val="16"/>
                <w:szCs w:val="16"/>
                <w:lang w:eastAsia="de-DE"/>
              </w:rPr>
              <w:t>11</w:t>
            </w:r>
          </w:p>
          <w:p w14:paraId="28DCF8E9" w14:textId="77777777" w:rsidR="000D5F55" w:rsidRPr="00066733" w:rsidRDefault="000D5F55" w:rsidP="00CD2FA1">
            <w:pPr>
              <w:spacing w:after="0" w:line="240" w:lineRule="auto"/>
              <w:jc w:val="center"/>
              <w:textAlignment w:val="baseline"/>
              <w:rPr>
                <w:rFonts w:eastAsia="SimSun" w:cs="Times New Roman"/>
                <w:bCs/>
                <w:color w:val="000000"/>
                <w:kern w:val="24"/>
                <w:sz w:val="16"/>
                <w:szCs w:val="16"/>
                <w:lang w:eastAsia="de-DE"/>
              </w:rPr>
            </w:pPr>
            <w:r>
              <w:rPr>
                <w:rFonts w:eastAsia="SimSun" w:cs="Times New Roman"/>
                <w:bCs/>
                <w:color w:val="000000"/>
                <w:kern w:val="24"/>
                <w:sz w:val="16"/>
                <w:szCs w:val="16"/>
                <w:lang w:eastAsia="de-DE"/>
              </w:rPr>
              <w:t>PEA 08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tcPr>
          <w:p w14:paraId="4045B9DE" w14:textId="77777777" w:rsidR="000D5F55" w:rsidRPr="0042395A" w:rsidRDefault="000D5F55" w:rsidP="00CD2FA1">
            <w:pPr>
              <w:spacing w:after="0" w:line="240" w:lineRule="auto"/>
              <w:jc w:val="center"/>
              <w:rPr>
                <w:rFonts w:cs="Times New Roman"/>
                <w:color w:val="000000" w:themeColor="text1"/>
                <w:kern w:val="24"/>
                <w:sz w:val="16"/>
                <w:szCs w:val="16"/>
                <w:lang w:eastAsia="de-DE"/>
              </w:rPr>
            </w:pPr>
            <w:r>
              <w:rPr>
                <w:rFonts w:cs="Times New Roman"/>
                <w:color w:val="000000" w:themeColor="text1"/>
                <w:kern w:val="24"/>
                <w:sz w:val="16"/>
                <w:szCs w:val="16"/>
                <w:lang w:eastAsia="de-DE"/>
              </w:rPr>
              <w:t>3:1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tcPr>
          <w:p w14:paraId="4DF84E77" w14:textId="77777777" w:rsidR="000D5F55" w:rsidRPr="0042395A" w:rsidRDefault="000D5F55" w:rsidP="00CD2FA1">
            <w:pPr>
              <w:spacing w:after="0" w:line="240" w:lineRule="auto"/>
              <w:jc w:val="center"/>
              <w:rPr>
                <w:rFonts w:cs="Times New Roman"/>
                <w:color w:val="000000" w:themeColor="text1"/>
                <w:kern w:val="24"/>
                <w:sz w:val="16"/>
                <w:szCs w:val="16"/>
                <w:lang w:eastAsia="de-DE"/>
              </w:rPr>
            </w:pPr>
            <w:r>
              <w:rPr>
                <w:rFonts w:cs="Times New Roman"/>
                <w:color w:val="000000" w:themeColor="text1"/>
                <w:kern w:val="24"/>
                <w:sz w:val="16"/>
                <w:szCs w:val="16"/>
                <w:lang w:eastAsia="de-DE"/>
              </w:rPr>
              <w:t>0,8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tcPr>
          <w:p w14:paraId="49E71CBF" w14:textId="77777777" w:rsidR="000D5F55" w:rsidRDefault="000D5F55" w:rsidP="00CD2FA1">
            <w:pPr>
              <w:spacing w:after="0" w:line="240" w:lineRule="auto"/>
              <w:rPr>
                <w:rFonts w:cs="Times New Roman"/>
                <w:color w:val="000000" w:themeColor="text1"/>
                <w:kern w:val="24"/>
                <w:sz w:val="16"/>
                <w:szCs w:val="16"/>
                <w:lang w:eastAsia="de-DE"/>
              </w:rPr>
            </w:pPr>
            <w:r>
              <w:rPr>
                <w:rFonts w:cs="Times New Roman"/>
                <w:color w:val="000000" w:themeColor="text1"/>
                <w:kern w:val="24"/>
                <w:sz w:val="16"/>
                <w:szCs w:val="16"/>
                <w:lang w:eastAsia="de-DE"/>
              </w:rPr>
              <w:t>410 nm / 0,146</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tcPr>
          <w:p w14:paraId="4246AC58" w14:textId="77777777" w:rsidR="000D5F55" w:rsidRDefault="000D5F55" w:rsidP="00CD2FA1">
            <w:pPr>
              <w:spacing w:after="0" w:line="240" w:lineRule="auto"/>
              <w:rPr>
                <w:rFonts w:cs="Times New Roman"/>
                <w:color w:val="000000" w:themeColor="text1"/>
                <w:kern w:val="24"/>
                <w:sz w:val="16"/>
                <w:szCs w:val="16"/>
                <w:lang w:eastAsia="de-DE"/>
              </w:rPr>
            </w:pPr>
            <w:r>
              <w:rPr>
                <w:rFonts w:cs="Times New Roman"/>
                <w:color w:val="000000" w:themeColor="text1"/>
                <w:kern w:val="24"/>
                <w:sz w:val="16"/>
                <w:szCs w:val="16"/>
                <w:lang w:eastAsia="de-DE"/>
              </w:rPr>
              <w:t>Redispergierung nicht möglich</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tcPr>
          <w:p w14:paraId="2C4E8775" w14:textId="77777777" w:rsidR="000D5F55" w:rsidRPr="0042395A" w:rsidRDefault="000D5F55" w:rsidP="00CD2FA1">
            <w:pPr>
              <w:spacing w:after="0" w:line="240" w:lineRule="auto"/>
              <w:jc w:val="center"/>
              <w:rPr>
                <w:rFonts w:cs="Times New Roman"/>
                <w:color w:val="000000" w:themeColor="text1"/>
                <w:kern w:val="24"/>
                <w:sz w:val="16"/>
                <w:szCs w:val="16"/>
                <w:lang w:eastAsia="de-DE"/>
              </w:rPr>
            </w:pPr>
            <w:r>
              <w:rPr>
                <w:rFonts w:cs="Times New Roman"/>
                <w:color w:val="000000" w:themeColor="text1"/>
                <w:kern w:val="24"/>
                <w:sz w:val="16"/>
                <w:szCs w:val="16"/>
                <w:lang w:eastAsia="de-DE"/>
              </w:rPr>
              <w:t>23%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tcPr>
          <w:p w14:paraId="5BAF6506" w14:textId="77777777" w:rsidR="000D5F55" w:rsidRDefault="000D5F55" w:rsidP="00CD2FA1">
            <w:pPr>
              <w:spacing w:after="0" w:line="240" w:lineRule="auto"/>
              <w:jc w:val="center"/>
              <w:rPr>
                <w:rFonts w:cs="Times New Roman"/>
                <w:color w:val="000000" w:themeColor="text1"/>
                <w:kern w:val="24"/>
                <w:sz w:val="16"/>
                <w:szCs w:val="16"/>
                <w:lang w:eastAsia="de-DE"/>
              </w:rPr>
            </w:pPr>
            <w:r>
              <w:rPr>
                <w:rFonts w:cs="Times New Roman"/>
                <w:color w:val="000000" w:themeColor="text1"/>
                <w:kern w:val="24"/>
                <w:sz w:val="16"/>
                <w:szCs w:val="16"/>
                <w:lang w:eastAsia="de-DE"/>
              </w:rPr>
              <w:t>8,2</w:t>
            </w:r>
          </w:p>
        </w:tc>
        <w:tc>
          <w:tcPr>
            <w:tcW w:w="1418" w:type="dxa"/>
            <w:tcBorders>
              <w:top w:val="single" w:sz="4" w:space="0" w:color="000000"/>
              <w:left w:val="single" w:sz="4" w:space="0" w:color="000000"/>
              <w:bottom w:val="single" w:sz="4" w:space="0" w:color="000000"/>
              <w:right w:val="single" w:sz="8" w:space="0" w:color="000000"/>
            </w:tcBorders>
            <w:vAlign w:val="center"/>
          </w:tcPr>
          <w:p w14:paraId="72C388FE" w14:textId="77777777" w:rsidR="000D5F55" w:rsidRDefault="000D5F55" w:rsidP="00CD2FA1">
            <w:pPr>
              <w:spacing w:after="0" w:line="240" w:lineRule="auto"/>
              <w:jc w:val="center"/>
              <w:rPr>
                <w:rFonts w:cs="Times New Roman"/>
                <w:b/>
                <w:bCs/>
                <w:color w:val="000000" w:themeColor="text1"/>
                <w:kern w:val="24"/>
                <w:sz w:val="16"/>
                <w:szCs w:val="16"/>
                <w:lang w:eastAsia="de-DE"/>
              </w:rPr>
            </w:pPr>
            <w:r>
              <w:rPr>
                <w:rFonts w:cs="Times New Roman"/>
                <w:b/>
                <w:bCs/>
                <w:color w:val="000000" w:themeColor="text1"/>
                <w:kern w:val="24"/>
                <w:sz w:val="16"/>
                <w:szCs w:val="16"/>
                <w:lang w:eastAsia="de-DE"/>
              </w:rPr>
              <w:t>14,9</w:t>
            </w:r>
          </w:p>
        </w:tc>
      </w:tr>
      <w:tr w:rsidR="001C44ED" w:rsidRPr="005218F7" w14:paraId="6653D078" w14:textId="77777777" w:rsidTr="00351A0E">
        <w:trPr>
          <w:trHeight w:val="397"/>
          <w:jc w:val="center"/>
        </w:trPr>
        <w:tc>
          <w:tcPr>
            <w:tcW w:w="995" w:type="dxa"/>
            <w:tcBorders>
              <w:top w:val="single" w:sz="4" w:space="0" w:color="000000"/>
              <w:left w:val="single" w:sz="8" w:space="0" w:color="000000"/>
              <w:bottom w:val="single" w:sz="8" w:space="0" w:color="000000"/>
              <w:right w:val="single" w:sz="4" w:space="0" w:color="000000"/>
            </w:tcBorders>
            <w:shd w:val="clear" w:color="auto" w:fill="auto"/>
            <w:tcMar>
              <w:top w:w="28" w:type="dxa"/>
              <w:left w:w="37" w:type="dxa"/>
              <w:bottom w:w="28" w:type="dxa"/>
              <w:right w:w="37" w:type="dxa"/>
            </w:tcMar>
            <w:vAlign w:val="center"/>
          </w:tcPr>
          <w:p w14:paraId="7F7857F5" w14:textId="77777777" w:rsidR="001C44ED" w:rsidRDefault="001C44ED" w:rsidP="00CD2FA1">
            <w:pPr>
              <w:spacing w:after="0" w:line="240" w:lineRule="auto"/>
              <w:jc w:val="center"/>
              <w:textAlignment w:val="baseline"/>
              <w:rPr>
                <w:rFonts w:eastAsia="SimSun" w:cs="Times New Roman"/>
                <w:bCs/>
                <w:color w:val="000000"/>
                <w:kern w:val="24"/>
                <w:sz w:val="16"/>
                <w:szCs w:val="16"/>
                <w:lang w:eastAsia="de-DE"/>
              </w:rPr>
            </w:pPr>
            <w:r>
              <w:rPr>
                <w:rFonts w:eastAsia="SimSun" w:cs="Times New Roman"/>
                <w:bCs/>
                <w:color w:val="000000"/>
                <w:kern w:val="24"/>
                <w:sz w:val="16"/>
                <w:szCs w:val="16"/>
                <w:lang w:eastAsia="de-DE"/>
              </w:rPr>
              <w:t>12</w:t>
            </w:r>
          </w:p>
          <w:p w14:paraId="46D35953" w14:textId="77777777" w:rsidR="001C44ED" w:rsidRDefault="001C44ED" w:rsidP="00CD2FA1">
            <w:pPr>
              <w:spacing w:after="0" w:line="240" w:lineRule="auto"/>
              <w:jc w:val="center"/>
              <w:textAlignment w:val="baseline"/>
              <w:rPr>
                <w:rFonts w:eastAsia="SimSun" w:cs="Times New Roman"/>
                <w:bCs/>
                <w:color w:val="000000"/>
                <w:kern w:val="24"/>
                <w:sz w:val="16"/>
                <w:szCs w:val="16"/>
                <w:lang w:eastAsia="de-DE"/>
              </w:rPr>
            </w:pPr>
            <w:r>
              <w:rPr>
                <w:rFonts w:eastAsia="SimSun" w:cs="Times New Roman"/>
                <w:bCs/>
                <w:color w:val="000000"/>
                <w:kern w:val="24"/>
                <w:sz w:val="16"/>
                <w:szCs w:val="16"/>
                <w:lang w:eastAsia="de-DE"/>
              </w:rPr>
              <w:t>PEA 08</w:t>
            </w:r>
          </w:p>
        </w:tc>
        <w:tc>
          <w:tcPr>
            <w:tcW w:w="992" w:type="dxa"/>
            <w:tcBorders>
              <w:top w:val="single" w:sz="4" w:space="0" w:color="000000"/>
              <w:left w:val="single" w:sz="4" w:space="0" w:color="000000"/>
              <w:bottom w:val="single" w:sz="8" w:space="0" w:color="000000"/>
              <w:right w:val="single" w:sz="4" w:space="0" w:color="000000"/>
            </w:tcBorders>
            <w:shd w:val="clear" w:color="auto" w:fill="auto"/>
            <w:tcMar>
              <w:top w:w="72" w:type="dxa"/>
              <w:left w:w="144" w:type="dxa"/>
              <w:bottom w:w="72" w:type="dxa"/>
              <w:right w:w="144" w:type="dxa"/>
            </w:tcMar>
            <w:vAlign w:val="center"/>
          </w:tcPr>
          <w:p w14:paraId="3516A0CA" w14:textId="77777777" w:rsidR="001C44ED" w:rsidRDefault="001C44ED" w:rsidP="00CD2FA1">
            <w:pPr>
              <w:spacing w:after="0" w:line="240" w:lineRule="auto"/>
              <w:jc w:val="center"/>
              <w:rPr>
                <w:rFonts w:cs="Times New Roman"/>
                <w:color w:val="000000" w:themeColor="text1"/>
                <w:kern w:val="24"/>
                <w:sz w:val="16"/>
                <w:szCs w:val="16"/>
                <w:lang w:eastAsia="de-DE"/>
              </w:rPr>
            </w:pPr>
            <w:r>
              <w:rPr>
                <w:rFonts w:cs="Times New Roman"/>
                <w:color w:val="000000" w:themeColor="text1"/>
                <w:kern w:val="24"/>
                <w:sz w:val="16"/>
                <w:szCs w:val="16"/>
                <w:lang w:eastAsia="de-DE"/>
              </w:rPr>
              <w:t>3:1</w:t>
            </w:r>
          </w:p>
        </w:tc>
        <w:tc>
          <w:tcPr>
            <w:tcW w:w="851" w:type="dxa"/>
            <w:tcBorders>
              <w:top w:val="single" w:sz="4" w:space="0" w:color="000000"/>
              <w:left w:val="single" w:sz="4" w:space="0" w:color="000000"/>
              <w:bottom w:val="single" w:sz="8" w:space="0" w:color="000000"/>
              <w:right w:val="single" w:sz="4" w:space="0" w:color="000000"/>
            </w:tcBorders>
            <w:shd w:val="clear" w:color="auto" w:fill="auto"/>
            <w:tcMar>
              <w:top w:w="72" w:type="dxa"/>
              <w:left w:w="144" w:type="dxa"/>
              <w:bottom w:w="72" w:type="dxa"/>
              <w:right w:w="144" w:type="dxa"/>
            </w:tcMar>
            <w:vAlign w:val="center"/>
          </w:tcPr>
          <w:p w14:paraId="402344D7" w14:textId="77777777" w:rsidR="001C44ED" w:rsidRDefault="001C44ED" w:rsidP="00CD2FA1">
            <w:pPr>
              <w:spacing w:after="0" w:line="240" w:lineRule="auto"/>
              <w:jc w:val="center"/>
              <w:rPr>
                <w:rFonts w:cs="Times New Roman"/>
                <w:color w:val="000000" w:themeColor="text1"/>
                <w:kern w:val="24"/>
                <w:sz w:val="16"/>
                <w:szCs w:val="16"/>
                <w:lang w:eastAsia="de-DE"/>
              </w:rPr>
            </w:pPr>
            <w:r>
              <w:rPr>
                <w:rFonts w:cs="Times New Roman"/>
                <w:color w:val="000000" w:themeColor="text1"/>
                <w:kern w:val="24"/>
                <w:sz w:val="16"/>
                <w:szCs w:val="16"/>
                <w:lang w:eastAsia="de-DE"/>
              </w:rPr>
              <w:t>0,8</w:t>
            </w:r>
          </w:p>
        </w:tc>
        <w:tc>
          <w:tcPr>
            <w:tcW w:w="1417" w:type="dxa"/>
            <w:tcBorders>
              <w:top w:val="single" w:sz="4" w:space="0" w:color="000000"/>
              <w:left w:val="single" w:sz="4" w:space="0" w:color="000000"/>
              <w:bottom w:val="single" w:sz="8" w:space="0" w:color="000000"/>
              <w:right w:val="single" w:sz="4" w:space="0" w:color="000000"/>
            </w:tcBorders>
            <w:shd w:val="clear" w:color="auto" w:fill="auto"/>
            <w:tcMar>
              <w:top w:w="72" w:type="dxa"/>
              <w:left w:w="144" w:type="dxa"/>
              <w:bottom w:w="72" w:type="dxa"/>
              <w:right w:w="144" w:type="dxa"/>
            </w:tcMar>
            <w:vAlign w:val="center"/>
          </w:tcPr>
          <w:p w14:paraId="2414D5AE" w14:textId="77777777" w:rsidR="001C44ED" w:rsidRDefault="001C44ED" w:rsidP="00CD2FA1">
            <w:pPr>
              <w:spacing w:after="0" w:line="240" w:lineRule="auto"/>
              <w:rPr>
                <w:rFonts w:cs="Times New Roman"/>
                <w:color w:val="000000" w:themeColor="text1"/>
                <w:kern w:val="24"/>
                <w:sz w:val="16"/>
                <w:szCs w:val="16"/>
                <w:lang w:eastAsia="de-DE"/>
              </w:rPr>
            </w:pPr>
            <w:r>
              <w:rPr>
                <w:rFonts w:cs="Times New Roman"/>
                <w:color w:val="000000" w:themeColor="text1"/>
                <w:kern w:val="24"/>
                <w:sz w:val="16"/>
                <w:szCs w:val="16"/>
                <w:lang w:eastAsia="de-DE"/>
              </w:rPr>
              <w:t>292 nm / 0,084</w:t>
            </w:r>
          </w:p>
        </w:tc>
        <w:tc>
          <w:tcPr>
            <w:tcW w:w="1418" w:type="dxa"/>
            <w:tcBorders>
              <w:top w:val="single" w:sz="4" w:space="0" w:color="000000"/>
              <w:left w:val="single" w:sz="4" w:space="0" w:color="000000"/>
              <w:bottom w:val="single" w:sz="8" w:space="0" w:color="000000"/>
              <w:right w:val="single" w:sz="4" w:space="0" w:color="000000"/>
            </w:tcBorders>
            <w:shd w:val="clear" w:color="auto" w:fill="auto"/>
            <w:tcMar>
              <w:top w:w="72" w:type="dxa"/>
              <w:left w:w="144" w:type="dxa"/>
              <w:bottom w:w="72" w:type="dxa"/>
              <w:right w:w="144" w:type="dxa"/>
            </w:tcMar>
            <w:vAlign w:val="center"/>
          </w:tcPr>
          <w:p w14:paraId="4E564B6D" w14:textId="77777777" w:rsidR="001C44ED" w:rsidRDefault="001C44ED" w:rsidP="00CD2FA1">
            <w:pPr>
              <w:spacing w:after="0" w:line="240" w:lineRule="auto"/>
              <w:rPr>
                <w:rFonts w:cs="Times New Roman"/>
                <w:color w:val="000000" w:themeColor="text1"/>
                <w:kern w:val="24"/>
                <w:sz w:val="16"/>
                <w:szCs w:val="16"/>
                <w:lang w:eastAsia="de-DE"/>
              </w:rPr>
            </w:pPr>
            <w:r>
              <w:rPr>
                <w:rFonts w:cs="Times New Roman"/>
                <w:color w:val="000000" w:themeColor="text1"/>
                <w:kern w:val="24"/>
                <w:sz w:val="16"/>
                <w:szCs w:val="16"/>
                <w:lang w:eastAsia="de-DE"/>
              </w:rPr>
              <w:t>241 nm / 0,104</w:t>
            </w:r>
          </w:p>
        </w:tc>
        <w:tc>
          <w:tcPr>
            <w:tcW w:w="1134" w:type="dxa"/>
            <w:tcBorders>
              <w:top w:val="single" w:sz="4" w:space="0" w:color="000000"/>
              <w:left w:val="single" w:sz="4" w:space="0" w:color="000000"/>
              <w:bottom w:val="single" w:sz="8" w:space="0" w:color="000000"/>
              <w:right w:val="single" w:sz="4" w:space="0" w:color="000000"/>
            </w:tcBorders>
            <w:shd w:val="clear" w:color="auto" w:fill="auto"/>
            <w:tcMar>
              <w:top w:w="72" w:type="dxa"/>
              <w:left w:w="144" w:type="dxa"/>
              <w:bottom w:w="72" w:type="dxa"/>
              <w:right w:w="144" w:type="dxa"/>
            </w:tcMar>
            <w:vAlign w:val="center"/>
          </w:tcPr>
          <w:p w14:paraId="5F987EEB" w14:textId="77777777" w:rsidR="001C44ED" w:rsidRDefault="001C44ED" w:rsidP="00CD2FA1">
            <w:pPr>
              <w:spacing w:after="0" w:line="240" w:lineRule="auto"/>
              <w:jc w:val="center"/>
              <w:rPr>
                <w:rFonts w:cs="Times New Roman"/>
                <w:color w:val="000000" w:themeColor="text1"/>
                <w:kern w:val="24"/>
                <w:sz w:val="16"/>
                <w:szCs w:val="16"/>
                <w:lang w:eastAsia="de-DE"/>
              </w:rPr>
            </w:pPr>
            <w:r>
              <w:rPr>
                <w:rFonts w:cs="Times New Roman"/>
                <w:color w:val="000000" w:themeColor="text1"/>
                <w:kern w:val="24"/>
                <w:sz w:val="16"/>
                <w:szCs w:val="16"/>
                <w:lang w:eastAsia="de-DE"/>
              </w:rPr>
              <w:t>23%</w:t>
            </w:r>
          </w:p>
        </w:tc>
        <w:tc>
          <w:tcPr>
            <w:tcW w:w="850" w:type="dxa"/>
            <w:tcBorders>
              <w:top w:val="single" w:sz="4" w:space="0" w:color="000000"/>
              <w:left w:val="single" w:sz="4" w:space="0" w:color="000000"/>
              <w:bottom w:val="single" w:sz="8" w:space="0" w:color="000000"/>
              <w:right w:val="single" w:sz="4" w:space="0" w:color="000000"/>
            </w:tcBorders>
            <w:shd w:val="clear" w:color="auto" w:fill="auto"/>
            <w:tcMar>
              <w:top w:w="72" w:type="dxa"/>
              <w:left w:w="144" w:type="dxa"/>
              <w:bottom w:w="72" w:type="dxa"/>
              <w:right w:w="144" w:type="dxa"/>
            </w:tcMar>
            <w:vAlign w:val="center"/>
          </w:tcPr>
          <w:p w14:paraId="7849F3E8" w14:textId="77777777" w:rsidR="001C44ED" w:rsidRDefault="001C44ED" w:rsidP="00CD2FA1">
            <w:pPr>
              <w:spacing w:after="0" w:line="240" w:lineRule="auto"/>
              <w:jc w:val="center"/>
              <w:rPr>
                <w:rFonts w:cs="Times New Roman"/>
                <w:color w:val="000000" w:themeColor="text1"/>
                <w:kern w:val="24"/>
                <w:sz w:val="16"/>
                <w:szCs w:val="16"/>
                <w:lang w:eastAsia="de-DE"/>
              </w:rPr>
            </w:pPr>
            <w:r>
              <w:rPr>
                <w:rFonts w:cs="Times New Roman"/>
                <w:color w:val="000000" w:themeColor="text1"/>
                <w:kern w:val="24"/>
                <w:sz w:val="16"/>
                <w:szCs w:val="16"/>
                <w:lang w:eastAsia="de-DE"/>
              </w:rPr>
              <w:t>--</w:t>
            </w:r>
          </w:p>
        </w:tc>
        <w:tc>
          <w:tcPr>
            <w:tcW w:w="1418" w:type="dxa"/>
            <w:tcBorders>
              <w:top w:val="single" w:sz="4" w:space="0" w:color="000000"/>
              <w:left w:val="single" w:sz="4" w:space="0" w:color="000000"/>
              <w:bottom w:val="single" w:sz="8" w:space="0" w:color="000000"/>
              <w:right w:val="single" w:sz="8" w:space="0" w:color="000000"/>
            </w:tcBorders>
            <w:vAlign w:val="center"/>
          </w:tcPr>
          <w:p w14:paraId="481EF2C2" w14:textId="77777777" w:rsidR="001C44ED" w:rsidRDefault="001C44ED" w:rsidP="00CD2FA1">
            <w:pPr>
              <w:spacing w:after="0" w:line="240" w:lineRule="auto"/>
              <w:jc w:val="center"/>
              <w:rPr>
                <w:rFonts w:cs="Times New Roman"/>
                <w:b/>
                <w:bCs/>
                <w:color w:val="000000" w:themeColor="text1"/>
                <w:kern w:val="24"/>
                <w:sz w:val="16"/>
                <w:szCs w:val="16"/>
                <w:lang w:eastAsia="de-DE"/>
              </w:rPr>
            </w:pPr>
            <w:r>
              <w:rPr>
                <w:rFonts w:cs="Times New Roman"/>
                <w:b/>
                <w:bCs/>
                <w:color w:val="000000" w:themeColor="text1"/>
                <w:kern w:val="24"/>
                <w:sz w:val="16"/>
                <w:szCs w:val="16"/>
                <w:lang w:eastAsia="de-DE"/>
              </w:rPr>
              <w:t>--</w:t>
            </w:r>
          </w:p>
        </w:tc>
      </w:tr>
    </w:tbl>
    <w:p w14:paraId="38717D30" w14:textId="77777777" w:rsidR="00CD2FA1" w:rsidRDefault="00CD2FA1" w:rsidP="00413E09"/>
    <w:p w14:paraId="74DC5BFF" w14:textId="77777777" w:rsidR="00CE4FDA" w:rsidRDefault="005E4A2D" w:rsidP="00CD2FA1">
      <w:r w:rsidRPr="005E4A2D">
        <w:t xml:space="preserve">Die für PLGA gefundene Korrelation zwischen Partikelgröße und Konzentration des </w:t>
      </w:r>
      <w:r>
        <w:t>Stabilisators PVA</w:t>
      </w:r>
      <w:r w:rsidRPr="005E4A2D">
        <w:t xml:space="preserve"> gilt für PEA nicht in gleicher Weise. </w:t>
      </w:r>
      <w:r w:rsidR="00421974">
        <w:t>Da nicht nur das Polymer sondern auch das Lösungsmittel ausgetauscht wurde, war dies</w:t>
      </w:r>
      <w:r w:rsidR="00466C42">
        <w:t xml:space="preserve"> aller</w:t>
      </w:r>
      <w:r w:rsidR="00CE4FDA">
        <w:t>dings</w:t>
      </w:r>
      <w:r w:rsidR="00421974">
        <w:t xml:space="preserve"> auch nicht zu erwarten. Dass i</w:t>
      </w:r>
      <w:r w:rsidRPr="005E4A2D">
        <w:t>nnerhalb der getesteten Konzentrationsgrenz</w:t>
      </w:r>
      <w:r w:rsidR="00265668">
        <w:t xml:space="preserve">en </w:t>
      </w:r>
      <w:r w:rsidR="00421974">
        <w:t xml:space="preserve">zwischen </w:t>
      </w:r>
      <w:r w:rsidR="00265668">
        <w:t xml:space="preserve">0,5% </w:t>
      </w:r>
      <w:r w:rsidR="00421974">
        <w:t>und</w:t>
      </w:r>
      <w:r w:rsidR="00265668">
        <w:t xml:space="preserve"> 2</w:t>
      </w:r>
      <w:r>
        <w:t xml:space="preserve">,5% kein konsistenter Zusammenhang zwischen </w:t>
      </w:r>
      <w:r w:rsidR="00EA19E8">
        <w:t xml:space="preserve">der </w:t>
      </w:r>
      <w:r>
        <w:t>PVA Konzentration und</w:t>
      </w:r>
      <w:r w:rsidR="00EA19E8">
        <w:t xml:space="preserve"> der</w:t>
      </w:r>
      <w:r w:rsidRPr="005E4A2D">
        <w:t xml:space="preserve"> Partikelgröße fest</w:t>
      </w:r>
      <w:r w:rsidR="00CE4FDA">
        <w:t>zustellen war</w:t>
      </w:r>
      <w:r w:rsidR="00421974">
        <w:t>, entsprach zunächst</w:t>
      </w:r>
      <w:r w:rsidR="00B533D1">
        <w:t xml:space="preserve"> jedoch</w:t>
      </w:r>
      <w:r w:rsidR="00421974">
        <w:t xml:space="preserve"> nicht den Erwartungen</w:t>
      </w:r>
      <w:r w:rsidRPr="005E4A2D">
        <w:t>.</w:t>
      </w:r>
      <w:r w:rsidR="00421974">
        <w:t xml:space="preserve"> </w:t>
      </w:r>
    </w:p>
    <w:p w14:paraId="44C2435E" w14:textId="77777777" w:rsidR="002F614D" w:rsidRPr="00B533D1" w:rsidRDefault="00CE4FDA" w:rsidP="00CD2FA1">
      <w:r>
        <w:lastRenderedPageBreak/>
        <w:t xml:space="preserve">Eine mögliche Erklärung hierfür liegt in der genaueren Betrachtung des Prozessablaufes. </w:t>
      </w:r>
      <w:r w:rsidR="00421974">
        <w:t>Da das beigemischte Aceton im Gegensatz zu Ethylacetat mit Wasser mischbar ist, kann davon ausgegangen werden, dass der Herstellungsproze</w:t>
      </w:r>
      <w:r w:rsidR="001F5F60">
        <w:t>ss mechanistisch anders abläuft</w:t>
      </w:r>
      <w:r w:rsidR="00421974">
        <w:t xml:space="preserve"> als </w:t>
      </w:r>
      <w:r w:rsidR="00B533D1">
        <w:t>unter Verwendung reinen Ethylacetats. Bei Verwendung der Lösungsmittelgemische wird das enthaltene Aceton</w:t>
      </w:r>
      <w:r>
        <w:t xml:space="preserve"> voraussichtlich direkt nach der</w:t>
      </w:r>
      <w:r w:rsidR="00B533D1">
        <w:t xml:space="preserve"> Zugabe der organischen Polymerlösung zur W</w:t>
      </w:r>
      <w:r w:rsidR="00B533D1">
        <w:rPr>
          <w:vertAlign w:val="subscript"/>
        </w:rPr>
        <w:t>1</w:t>
      </w:r>
      <w:r w:rsidR="00B533D1">
        <w:t>-Phase aus den Emulsionstropfen</w:t>
      </w:r>
      <w:r>
        <w:t xml:space="preserve"> </w:t>
      </w:r>
      <w:r w:rsidR="00B533D1">
        <w:t>in die wässrige Phase extrahiert. Hierbei kann es bereits vor der Homogenisierung</w:t>
      </w:r>
      <w:r w:rsidR="00AA5168">
        <w:t xml:space="preserve"> und der Zerkleinerung der Emulsionstropfen</w:t>
      </w:r>
      <w:r w:rsidR="00B533D1">
        <w:t xml:space="preserve"> mit dem Ultra-Turrax </w:t>
      </w:r>
      <w:r w:rsidR="000D3475">
        <w:t xml:space="preserve">durch Lösungsmittelentzug </w:t>
      </w:r>
      <w:r w:rsidR="00B533D1">
        <w:t xml:space="preserve">zu einer Verfestigung der Polymerpartikel kommen. </w:t>
      </w:r>
      <w:r w:rsidR="00076969">
        <w:t xml:space="preserve">Dieser Prozess würde dann </w:t>
      </w:r>
      <w:r w:rsidR="00960B93">
        <w:t>mehr</w:t>
      </w:r>
      <w:r w:rsidR="00076969">
        <w:t xml:space="preserve"> einer </w:t>
      </w:r>
      <w:r>
        <w:t>Nanop</w:t>
      </w:r>
      <w:r w:rsidR="00076969">
        <w:t xml:space="preserve">räzipitation als einer Emulsionsmethode entsprechen. </w:t>
      </w:r>
      <w:r w:rsidR="00B533D1">
        <w:t>Weiter oben wurde bereits be</w:t>
      </w:r>
      <w:r w:rsidR="001D701F">
        <w:t xml:space="preserve">schrieben, dass </w:t>
      </w:r>
      <w:r>
        <w:t xml:space="preserve">bei der Doppelemulsionsmethode </w:t>
      </w:r>
      <w:r w:rsidR="001D701F">
        <w:t>die Größe der Emulsionstropfe</w:t>
      </w:r>
      <w:r>
        <w:t>n für</w:t>
      </w:r>
      <w:r w:rsidR="001D701F">
        <w:t xml:space="preserve"> die Partikelgröß</w:t>
      </w:r>
      <w:r>
        <w:t>e bestimmend ist</w:t>
      </w:r>
      <w:r w:rsidR="001D701F">
        <w:t xml:space="preserve">. Diese ist wiederum von deren Stabilität und damit </w:t>
      </w:r>
      <w:r w:rsidR="00B533D1">
        <w:t xml:space="preserve">von der PVA Konzentration </w:t>
      </w:r>
      <w:r w:rsidR="001D701F">
        <w:t>ab</w:t>
      </w:r>
      <w:r w:rsidR="000D3475">
        <w:t>hängig</w:t>
      </w:r>
      <w:r w:rsidR="001D701F">
        <w:t>. Erfolgt nun bereits vor der Zerkleinerung der Emulsionstropfen eine Präzipitation des Polymers, so ist der Einfluss der Tropfengröße nicht mehr für die Partikelgröße entscheidend. Damit sinkt erwartungsgemäß auch der Einfluss der PVA Konzentration auf die Partikelgröße. Da das Polymer</w:t>
      </w:r>
      <w:r w:rsidR="00AA5168">
        <w:t xml:space="preserve"> zu einem gewissen Anteil auch</w:t>
      </w:r>
      <w:r w:rsidR="001D701F">
        <w:t xml:space="preserve"> in reinem Ethylacetat löslich war, </w:t>
      </w:r>
      <w:r w:rsidR="00AA5168">
        <w:t>kann</w:t>
      </w:r>
      <w:r>
        <w:t xml:space="preserve"> allerdings</w:t>
      </w:r>
      <w:r w:rsidR="00AA5168">
        <w:t xml:space="preserve"> nicht mit letztlicher Sicherheit geklärt werden, ob es sich bei dem Prozess mehr um eine Nanopräzipitation oder um eine Emulsionsmethode handelt.</w:t>
      </w:r>
      <w:r>
        <w:t xml:space="preserve"> Beispielsweise könnten auch Unterschiede der Dichte und Viskosität durch Beimischung von Aceton zu Ethylacetat für den </w:t>
      </w:r>
      <w:r w:rsidR="000D3475">
        <w:t xml:space="preserve">gegenüber der Doppelemulsionsmethode mit reinem Ethylacetat </w:t>
      </w:r>
      <w:r>
        <w:t xml:space="preserve">abweichenden Einfluss der PVA Konzentration </w:t>
      </w:r>
      <w:r w:rsidR="000D3475">
        <w:t>verantwortlich sein. Da die Forschung an dieser Stelle vorrangig ergebnisorientiert betrieben wurde, erfolgte keine genauere Untersuchung des mechanistischen Prozessablaufes.</w:t>
      </w:r>
    </w:p>
    <w:p w14:paraId="6B9F3F31" w14:textId="77777777" w:rsidR="005E4A2D" w:rsidRDefault="005E4A2D" w:rsidP="00CD2FA1">
      <w:r>
        <w:t>PEA</w:t>
      </w:r>
      <w:r w:rsidR="00CB0080">
        <w:t xml:space="preserve"> 03 mit einem Morpholing</w:t>
      </w:r>
      <w:r w:rsidR="00F4233C">
        <w:t>ehalt von 50% konnte nicht in einer Mischung von Ethylacetat und Aceton gelöst werden. Das Polymer ist offensichtlich zu hydrophil, um sich im organischen Lösungsmittel zu lösen. Versuch Nr. 4 konnte daher nicht erfolgreich durchgeführt werden.</w:t>
      </w:r>
      <w:r w:rsidR="00161701">
        <w:t xml:space="preserve"> Auch PEA 02 war nicht</w:t>
      </w:r>
      <w:r w:rsidR="00265668">
        <w:t xml:space="preserve"> löslich, obwohl der Morpholina</w:t>
      </w:r>
      <w:r w:rsidR="00161701">
        <w:t>nteil hier mi</w:t>
      </w:r>
      <w:r w:rsidR="00045A17">
        <w:t>t 35% bereits deutlich niedriger</w:t>
      </w:r>
      <w:r w:rsidR="00157DF9">
        <w:t xml:space="preserve"> war als bei PEA 0</w:t>
      </w:r>
      <w:r w:rsidR="00D04459">
        <w:t>3</w:t>
      </w:r>
      <w:r w:rsidR="001E56FD">
        <w:t xml:space="preserve"> (vgl. </w:t>
      </w:r>
      <w:r w:rsidR="00D16240">
        <w:fldChar w:fldCharType="begin"/>
      </w:r>
      <w:r w:rsidR="001E56FD">
        <w:instrText xml:space="preserve"> REF _Ref272015502 \h </w:instrText>
      </w:r>
      <w:r w:rsidR="00D16240">
        <w:fldChar w:fldCharType="separate"/>
      </w:r>
      <w:r w:rsidR="00711AB8" w:rsidRPr="00661CFB">
        <w:t xml:space="preserve">Tabelle </w:t>
      </w:r>
      <w:r w:rsidR="00711AB8">
        <w:rPr>
          <w:noProof/>
        </w:rPr>
        <w:t>6</w:t>
      </w:r>
      <w:r w:rsidR="00D16240">
        <w:fldChar w:fldCharType="end"/>
      </w:r>
      <w:r w:rsidR="001E56FD">
        <w:t xml:space="preserve"> auf S. </w:t>
      </w:r>
      <w:r w:rsidR="00D16240">
        <w:fldChar w:fldCharType="begin"/>
      </w:r>
      <w:r w:rsidR="001E56FD">
        <w:instrText xml:space="preserve"> PAGEREF _Ref282708548 \h </w:instrText>
      </w:r>
      <w:r w:rsidR="00D16240">
        <w:fldChar w:fldCharType="separate"/>
      </w:r>
      <w:r w:rsidR="00711AB8">
        <w:rPr>
          <w:noProof/>
        </w:rPr>
        <w:t>46</w:t>
      </w:r>
      <w:r w:rsidR="00D16240">
        <w:fldChar w:fldCharType="end"/>
      </w:r>
      <w:r w:rsidR="001E56FD">
        <w:t>)</w:t>
      </w:r>
      <w:r w:rsidR="00157DF9">
        <w:t>.</w:t>
      </w:r>
    </w:p>
    <w:p w14:paraId="57483708" w14:textId="77777777" w:rsidR="00F4233C" w:rsidRDefault="00F4233C" w:rsidP="00CD2FA1">
      <w:r>
        <w:t>Die Po</w:t>
      </w:r>
      <w:r w:rsidR="000D5F55">
        <w:t xml:space="preserve">lymerchargen PEA 01, 04, 05, </w:t>
      </w:r>
      <w:r>
        <w:t>06</w:t>
      </w:r>
      <w:r w:rsidR="000D5F55">
        <w:t xml:space="preserve"> und 08</w:t>
      </w:r>
      <w:r>
        <w:t xml:space="preserve"> eigneten sich zur Verkapselung von Desmopressin in Nanopartikel, wobei die getrockneten Partikel von PEA 05</w:t>
      </w:r>
      <w:r w:rsidR="000D5F55">
        <w:t xml:space="preserve"> und PEA 08</w:t>
      </w:r>
      <w:r>
        <w:t xml:space="preserve"> nicht redispergierbar waren. </w:t>
      </w:r>
      <w:r w:rsidR="00BC7662">
        <w:t>F</w:t>
      </w:r>
      <w:r w:rsidR="001C71B0">
        <w:t xml:space="preserve">ür PEA 01, 04 und 06 </w:t>
      </w:r>
      <w:r w:rsidR="00351A0E">
        <w:t xml:space="preserve">hingegen </w:t>
      </w:r>
      <w:r w:rsidR="001C71B0">
        <w:t>war die mit</w:t>
      </w:r>
      <w:r w:rsidR="00BC7662">
        <w:t xml:space="preserve"> </w:t>
      </w:r>
      <w:r w:rsidR="00BC7662" w:rsidRPr="00BC7662">
        <w:t>Resomer</w:t>
      </w:r>
      <w:r w:rsidR="00BC7662">
        <w:rPr>
          <w:vertAlign w:val="superscript"/>
        </w:rPr>
        <w:sym w:font="Symbol" w:char="F0D2"/>
      </w:r>
      <w:r w:rsidR="001C71B0">
        <w:t> RG 503 H</w:t>
      </w:r>
      <w:r w:rsidR="00BC7662">
        <w:t xml:space="preserve"> </w:t>
      </w:r>
      <w:r w:rsidR="001C71B0">
        <w:t xml:space="preserve">Partikeln </w:t>
      </w:r>
      <w:r w:rsidR="00BC7662">
        <w:t xml:space="preserve">optimierte Gefriertrocknungsmethode geeignet. </w:t>
      </w:r>
      <w:r w:rsidR="00C04F6D" w:rsidRPr="00BC7662">
        <w:t>Das</w:t>
      </w:r>
      <w:r w:rsidR="00187D81">
        <w:t xml:space="preserve"> unterschiedliche</w:t>
      </w:r>
      <w:r w:rsidR="001C71B0">
        <w:t xml:space="preserve"> Verhalten von PEA </w:t>
      </w:r>
      <w:r w:rsidR="00C04F6D">
        <w:t>05</w:t>
      </w:r>
      <w:r w:rsidR="000D5F55">
        <w:t xml:space="preserve"> und 08 gege</w:t>
      </w:r>
      <w:r w:rsidR="001C71B0">
        <w:t>nüber PEA </w:t>
      </w:r>
      <w:r w:rsidR="000D5F55">
        <w:t>01 und</w:t>
      </w:r>
      <w:r w:rsidR="00C04F6D">
        <w:t xml:space="preserve"> </w:t>
      </w:r>
      <w:r w:rsidR="00BE7489">
        <w:t>06 kann möglicherweise durch verän</w:t>
      </w:r>
      <w:r w:rsidR="000B2388">
        <w:t>derte Polymereigenschaften aufgrund</w:t>
      </w:r>
      <w:r w:rsidR="00BE7489">
        <w:t xml:space="preserve"> des</w:t>
      </w:r>
      <w:r w:rsidR="000D5F55">
        <w:t xml:space="preserve"> </w:t>
      </w:r>
      <w:r w:rsidR="00187D81">
        <w:t xml:space="preserve">relativ </w:t>
      </w:r>
      <w:r w:rsidR="00C04F6D">
        <w:t>niedrigen Entschützungsgrad</w:t>
      </w:r>
      <w:r w:rsidR="00BE7489">
        <w:t>es</w:t>
      </w:r>
      <w:r w:rsidR="001C498F">
        <w:t xml:space="preserve"> dieser beiden Polymerchargen von 90% bzw. 73%</w:t>
      </w:r>
      <w:r w:rsidR="00BE7489">
        <w:t xml:space="preserve"> erklärt werden</w:t>
      </w:r>
      <w:r w:rsidR="000B2388">
        <w:t>.</w:t>
      </w:r>
      <w:r w:rsidR="001C44ED">
        <w:t xml:space="preserve"> </w:t>
      </w:r>
      <w:r w:rsidR="00244D25">
        <w:t>In der Formulierung von Placebo Partikeln aus PEA 08 (Versuch Nr. 12) waren die getrockneten Partikel allerdings vollständig redispergierbar.</w:t>
      </w:r>
      <w:r w:rsidR="00187D81">
        <w:t xml:space="preserve"> Bei PEA 05 wurde für die Placebo </w:t>
      </w:r>
      <w:r w:rsidR="00187D81">
        <w:lastRenderedPageBreak/>
        <w:t>Formulierung keine bessere Redispergierbarkeit beobachtet als bei der Formulierung mit Desmopressin.</w:t>
      </w:r>
    </w:p>
    <w:p w14:paraId="08740E0B" w14:textId="77777777" w:rsidR="00F4233C" w:rsidRDefault="00F4233C" w:rsidP="00CD2FA1">
      <w:r>
        <w:t>In Versuch Nr. 5 wurde der Microfluidizer</w:t>
      </w:r>
      <w:r w:rsidR="001C71B0">
        <w:t xml:space="preserve"> mit einem Arbeitsdruck von 250 </w:t>
      </w:r>
      <w:r>
        <w:t>bar zur Homogenisierung verwendet. Ein Teil des Polymers bil</w:t>
      </w:r>
      <w:r w:rsidR="00C04F6D">
        <w:t>dete bereits beim ersten Durchlauf</w:t>
      </w:r>
      <w:r>
        <w:t xml:space="preserve"> einen grobflockigen Niederschlag, der mit einem Papierfilter abgetrennt wurde. Die verbleibenden Nanopartikel waren mit</w:t>
      </w:r>
      <w:r w:rsidR="001C498F">
        <w:t xml:space="preserve"> 70 nm unerwartet</w:t>
      </w:r>
      <w:r w:rsidR="00BE7489">
        <w:t xml:space="preserve"> klein. Wegen</w:t>
      </w:r>
      <w:r w:rsidR="001C498F">
        <w:t xml:space="preserve"> der</w:t>
      </w:r>
      <w:r>
        <w:t xml:space="preserve"> gering</w:t>
      </w:r>
      <w:r w:rsidR="00BE7489">
        <w:t>en Partikelkonzentration der Probe</w:t>
      </w:r>
      <w:r w:rsidR="00C04F6D">
        <w:t xml:space="preserve"> war die Standardabweichung bei </w:t>
      </w:r>
      <w:r>
        <w:t>der DLS</w:t>
      </w:r>
      <w:r w:rsidR="00C04F6D">
        <w:t xml:space="preserve"> Messung</w:t>
      </w:r>
      <w:r w:rsidR="001C498F">
        <w:t xml:space="preserve"> dieser Probe jedoch sehr</w:t>
      </w:r>
      <w:r w:rsidR="00C04F6D">
        <w:t xml:space="preserve"> hoch</w:t>
      </w:r>
      <w:r>
        <w:t xml:space="preserve"> (</w:t>
      </w:r>
      <w:r w:rsidR="00C04F6D">
        <w:sym w:font="Symbol" w:char="F0B1"/>
      </w:r>
      <w:r w:rsidR="00C04F6D">
        <w:t>68 nm). Aufgrund dieser Ergebnisse wurde der Microfluidizer, wie</w:t>
      </w:r>
      <w:r w:rsidR="001C498F">
        <w:t xml:space="preserve"> bereits weiter oben erwähnt</w:t>
      </w:r>
      <w:r w:rsidR="00C04F6D">
        <w:t>, fortan nicht mehr für die PEA Polymere verwen</w:t>
      </w:r>
      <w:r w:rsidR="001C498F">
        <w:t xml:space="preserve">det. Die Verkapselungseffizienz dieses Versuches von 17,7% </w:t>
      </w:r>
      <w:r w:rsidR="00C04F6D">
        <w:t>fli</w:t>
      </w:r>
      <w:r w:rsidR="000B2388">
        <w:t>eßt nicht in die Gesamtauswertung</w:t>
      </w:r>
      <w:r w:rsidR="00C04F6D">
        <w:t xml:space="preserve"> mit ein.</w:t>
      </w:r>
    </w:p>
    <w:p w14:paraId="674B7131" w14:textId="77777777" w:rsidR="00265668" w:rsidRDefault="00045A17" w:rsidP="00CD2FA1">
      <w:r>
        <w:t>Der vergleichsweise große Partikeldurchmesser von 3.800 </w:t>
      </w:r>
      <w:r w:rsidR="009D3468">
        <w:t xml:space="preserve">nm bei Versuch Nr. 6 kam dadurch zustande, dass hier die Doppelemulsion (2. Homogenisierung) </w:t>
      </w:r>
      <w:r>
        <w:t>nicht nochmals homogenisiert, sondern nur mit dem Magnetrührer bei 1.000 UpM</w:t>
      </w:r>
      <w:r w:rsidR="009D3468">
        <w:t xml:space="preserve"> für 20 min</w:t>
      </w:r>
      <w:r>
        <w:t xml:space="preserve"> gerührt wurde. Bei diesem Versuch sollte getestet werden, ob ein</w:t>
      </w:r>
      <w:r w:rsidR="001C498F">
        <w:t>e möglichst schonende Homogenisierung</w:t>
      </w:r>
      <w:r>
        <w:t xml:space="preserve"> der Doppelemulsion eine höhere Verkapselungseffizienz bewirken kann. Dies war jedoch </w:t>
      </w:r>
      <w:r w:rsidR="000B2388">
        <w:t xml:space="preserve">mit 14,0% </w:t>
      </w:r>
      <w:r>
        <w:t>nicht der Fall, es wurden lediglich größere Partikel erzeugt.</w:t>
      </w:r>
    </w:p>
    <w:p w14:paraId="544263A7" w14:textId="77777777" w:rsidR="00C04F6D" w:rsidRDefault="00BE7489" w:rsidP="00CD2FA1">
      <w:r>
        <w:t>Anhand der d</w:t>
      </w:r>
      <w:r w:rsidR="00187D81">
        <w:t xml:space="preserve">urchgeführten Versuche ist kein </w:t>
      </w:r>
      <w:r>
        <w:t xml:space="preserve">Zusammenhang zwischen dem Morpholingehalt und </w:t>
      </w:r>
      <w:r w:rsidR="00CB0080">
        <w:t xml:space="preserve">der Verkapselungseffizienz </w:t>
      </w:r>
      <w:r w:rsidR="00187D81">
        <w:t xml:space="preserve">für Desmopressin </w:t>
      </w:r>
      <w:r w:rsidR="00CB0080">
        <w:t>erkennbar. Auch au</w:t>
      </w:r>
      <w:r w:rsidR="000B2388">
        <w:t>f Basis des Molekulargewichts ist</w:t>
      </w:r>
      <w:r w:rsidR="00CB0080">
        <w:t xml:space="preserve"> kein eindeutiger </w:t>
      </w:r>
      <w:r w:rsidR="00265668">
        <w:t xml:space="preserve">und konsistenter </w:t>
      </w:r>
      <w:r w:rsidR="00CB0080">
        <w:t>Trend festzustellen</w:t>
      </w:r>
      <w:r w:rsidR="00466C42">
        <w:t>.</w:t>
      </w:r>
      <w:r w:rsidR="00CB0080">
        <w:t xml:space="preserve"> </w:t>
      </w:r>
      <w:r w:rsidR="00466C42">
        <w:t>A</w:t>
      </w:r>
      <w:r w:rsidR="00CB0080">
        <w:t>llenfalls die geringere Ver</w:t>
      </w:r>
      <w:r w:rsidR="00187D81">
        <w:t>kapselungseffizienz von 6,6% bei</w:t>
      </w:r>
      <w:r w:rsidR="00CB0080">
        <w:t xml:space="preserve"> PEA 01 </w:t>
      </w:r>
      <w:r w:rsidR="00265668">
        <w:t>könnte durch das</w:t>
      </w:r>
      <w:r w:rsidR="000766F6">
        <w:t xml:space="preserve"> für</w:t>
      </w:r>
      <w:r w:rsidR="00466C42">
        <w:t xml:space="preserve"> Asparaginsäure PEA</w:t>
      </w:r>
      <w:r w:rsidR="00265668">
        <w:t xml:space="preserve"> vergleichsweise niedr</w:t>
      </w:r>
      <w:r w:rsidR="00045A17">
        <w:t xml:space="preserve">ige Molekulargewicht </w:t>
      </w:r>
      <w:r w:rsidR="001207E1">
        <w:t>von 32.700 </w:t>
      </w:r>
      <w:r w:rsidR="00265668">
        <w:t>g/mol erklärt werden.</w:t>
      </w:r>
    </w:p>
    <w:p w14:paraId="11F5EB5E" w14:textId="77777777" w:rsidR="0036458A" w:rsidRDefault="00362BAB" w:rsidP="00CD2FA1">
      <w:r>
        <w:t>Für den Beladungsgrad der Polymere</w:t>
      </w:r>
      <w:r w:rsidR="00384513">
        <w:t xml:space="preserve"> mit Desmopressin besteht</w:t>
      </w:r>
      <w:r>
        <w:t xml:space="preserve"> e</w:t>
      </w:r>
      <w:r w:rsidR="009D3468">
        <w:t>in konsistenter Zusammenhang mit dem</w:t>
      </w:r>
      <w:r>
        <w:t xml:space="preserve"> Morpholingehalt. </w:t>
      </w:r>
      <w:r w:rsidR="0036458A">
        <w:t>Der Beladungsgrad war m</w:t>
      </w:r>
      <w:r>
        <w:t>it durchschnittlich 9,1% für die</w:t>
      </w:r>
      <w:r w:rsidR="0036458A">
        <w:t xml:space="preserve"> Polymer</w:t>
      </w:r>
      <w:r>
        <w:t>e</w:t>
      </w:r>
      <w:r w:rsidR="0036458A">
        <w:t xml:space="preserve"> mit dem nie</w:t>
      </w:r>
      <w:r>
        <w:t>drigsten Morpholinanteil</w:t>
      </w:r>
      <w:r w:rsidR="0036458A">
        <w:t xml:space="preserve"> </w:t>
      </w:r>
      <w:r>
        <w:t xml:space="preserve">(PEA 06 und 08 mit 23%) </w:t>
      </w:r>
      <w:r w:rsidR="0036458A">
        <w:t>am höchsten</w:t>
      </w:r>
      <w:r>
        <w:t xml:space="preserve"> </w:t>
      </w:r>
      <w:r w:rsidR="006D0B16">
        <w:t>(n=2)</w:t>
      </w:r>
      <w:r w:rsidR="0036458A">
        <w:t xml:space="preserve"> und mit durchschnittlich 1,8% für das Polymer mit dem h</w:t>
      </w:r>
      <w:r>
        <w:t xml:space="preserve">öchsten Morpholinanteil (PEA 04 mit 40%) </w:t>
      </w:r>
      <w:r w:rsidR="0036458A">
        <w:t>am niedrigsten</w:t>
      </w:r>
      <w:r w:rsidR="006D0B16">
        <w:t xml:space="preserve"> (n=3)</w:t>
      </w:r>
      <w:r w:rsidR="0036458A">
        <w:t>.</w:t>
      </w:r>
      <w:r>
        <w:t xml:space="preserve"> Die Polymere PEA 01 (28% Morpholin) mit einer Beladung von 2,0% und PEA 05 (25% Morpholin) mit 3,0% fügen sich in diese Reihe konsistent ein</w:t>
      </w:r>
      <w:r w:rsidR="00206D30">
        <w:t xml:space="preserve"> (jeweils n=1)</w:t>
      </w:r>
      <w:r>
        <w:t>.</w:t>
      </w:r>
      <w:r w:rsidR="00A34A19">
        <w:t xml:space="preserve"> Diese</w:t>
      </w:r>
      <w:r w:rsidR="000766F6">
        <w:t xml:space="preserve"> Beobachtung</w:t>
      </w:r>
      <w:r w:rsidR="00A34A19">
        <w:t xml:space="preserve"> steht den eigentlichen Erwartungen, dass der Beladungsgrad der Partikel mit steigendem Aminoräuregehalt und dadurch bedingten Zunahme der hydrophilen Eigenschaften der Polymere steigen sollte, entgegen.</w:t>
      </w:r>
      <w:r w:rsidR="000766F6">
        <w:t xml:space="preserve"> Die Anzahl</w:t>
      </w:r>
      <w:r w:rsidR="007F3DF4">
        <w:t xml:space="preserve"> der durchgeführten Versuche ist</w:t>
      </w:r>
      <w:r w:rsidR="000766F6">
        <w:t xml:space="preserve"> allerdings nicht ausreichend, um eine statistisch belastbare Aussage</w:t>
      </w:r>
      <w:r w:rsidR="007F3DF4">
        <w:t xml:space="preserve"> aus den Ergebnissen</w:t>
      </w:r>
      <w:r w:rsidR="000766F6">
        <w:t xml:space="preserve"> abzuleiten.</w:t>
      </w:r>
      <w:r w:rsidR="007F3DF4">
        <w:t xml:space="preserve"> Aufgrund der begrenzten Verfügbarkeit der Polymere war die Anzahl der machbaren Versuche limitiert.</w:t>
      </w:r>
      <w:r w:rsidR="000766F6">
        <w:t xml:space="preserve"> Eine Untersuchung, ob dieser Trend tatsächlich </w:t>
      </w:r>
      <w:r w:rsidR="007F3DF4">
        <w:t>allgemein für Asparaginsäure PEA zutreffend ist</w:t>
      </w:r>
      <w:r w:rsidR="000766F6">
        <w:t>, sollte</w:t>
      </w:r>
      <w:r w:rsidR="007F3DF4">
        <w:t xml:space="preserve"> durch Wiederholung der Versuche</w:t>
      </w:r>
      <w:r w:rsidR="000766F6">
        <w:t xml:space="preserve"> in weitergehenden</w:t>
      </w:r>
      <w:r w:rsidR="007F3DF4">
        <w:t xml:space="preserve"> Arbeiten </w:t>
      </w:r>
      <w:r w:rsidR="000766F6">
        <w:t>erfolgen.</w:t>
      </w:r>
    </w:p>
    <w:p w14:paraId="225325A1" w14:textId="77777777" w:rsidR="008215A9" w:rsidRDefault="00265668" w:rsidP="00CD2FA1">
      <w:r>
        <w:lastRenderedPageBreak/>
        <w:t>Die durchschnittliche Verkapselungseffizienz von Desmopressin beträgt für die Gruppe der A</w:t>
      </w:r>
      <w:r w:rsidR="000B2388">
        <w:t>sparaginsäure PEA Polymere 12,4</w:t>
      </w:r>
      <w:r w:rsidR="00413E09">
        <w:t xml:space="preserve">% </w:t>
      </w:r>
      <w:r>
        <w:sym w:font="Symbol" w:char="F0B1"/>
      </w:r>
      <w:r w:rsidR="00413E09">
        <w:t>2,9%</w:t>
      </w:r>
      <w:r w:rsidR="00206D30">
        <w:t xml:space="preserve"> (n=6)</w:t>
      </w:r>
      <w:r w:rsidR="00187D81">
        <w:t xml:space="preserve"> und der durchschnittliche Beladungsgrad 4,09% </w:t>
      </w:r>
      <w:r w:rsidR="00187D81">
        <w:sym w:font="Symbol" w:char="F0B1"/>
      </w:r>
      <w:r w:rsidR="00F625AD">
        <w:t>3,24% (n=6).</w:t>
      </w:r>
    </w:p>
    <w:p w14:paraId="6AD758F8" w14:textId="77777777" w:rsidR="002F614D" w:rsidRDefault="00BC7662" w:rsidP="002F614D">
      <w:pPr>
        <w:pStyle w:val="berschrift4"/>
      </w:pPr>
      <w:bookmarkStart w:id="214" w:name="_Toc294380242"/>
      <w:r>
        <w:t>Formulierung</w:t>
      </w:r>
      <w:r w:rsidR="002F614D">
        <w:t xml:space="preserve"> von Desmopressin mit Cystein PEA</w:t>
      </w:r>
      <w:bookmarkEnd w:id="214"/>
    </w:p>
    <w:p w14:paraId="627D06DF" w14:textId="77777777" w:rsidR="00045A17" w:rsidRDefault="00045A17" w:rsidP="00045A17">
      <w:r>
        <w:t xml:space="preserve">Die Ergebnisse der Formulierungsversuche von Desmopressin mit Cystein PEA wurden in </w:t>
      </w:r>
      <w:r w:rsidR="00D16240">
        <w:fldChar w:fldCharType="begin"/>
      </w:r>
      <w:r>
        <w:instrText xml:space="preserve"> REF _Ref274163655 \h </w:instrText>
      </w:r>
      <w:r w:rsidR="00D16240">
        <w:fldChar w:fldCharType="separate"/>
      </w:r>
      <w:r w:rsidR="00711AB8" w:rsidRPr="00F14BF3">
        <w:t xml:space="preserve">Tabelle </w:t>
      </w:r>
      <w:r w:rsidR="00711AB8">
        <w:rPr>
          <w:noProof/>
        </w:rPr>
        <w:t>23</w:t>
      </w:r>
      <w:r w:rsidR="00D16240">
        <w:fldChar w:fldCharType="end"/>
      </w:r>
      <w:r>
        <w:t xml:space="preserve"> zusammengefasst.</w:t>
      </w:r>
      <w:r w:rsidR="00DA1714">
        <w:t xml:space="preserve"> Die Diskussion der Partikeleigenschaften im Zusammenhang mit den Herstellungsparametern erfolgte bereits in den vorhergehend</w:t>
      </w:r>
      <w:r w:rsidR="0065001B">
        <w:t>en Abschnitten dieses Kapitels „</w:t>
      </w:r>
      <w:r w:rsidR="00D16240">
        <w:fldChar w:fldCharType="begin"/>
      </w:r>
      <w:r w:rsidR="0065001B">
        <w:instrText xml:space="preserve"> REF _Ref402278045 \h </w:instrText>
      </w:r>
      <w:r w:rsidR="00D16240">
        <w:fldChar w:fldCharType="separate"/>
      </w:r>
      <w:r w:rsidR="00711AB8">
        <w:t>Entwicklung der Doppelemulsionsmethode für Cystein PEA Polymere</w:t>
      </w:r>
      <w:r w:rsidR="00D16240">
        <w:fldChar w:fldCharType="end"/>
      </w:r>
      <w:r w:rsidR="0065001B">
        <w:t>“ und „</w:t>
      </w:r>
      <w:r w:rsidR="00D16240">
        <w:fldChar w:fldCharType="begin"/>
      </w:r>
      <w:r w:rsidR="0065001B">
        <w:instrText xml:space="preserve"> REF _Ref402278054 \h </w:instrText>
      </w:r>
      <w:r w:rsidR="00D16240">
        <w:fldChar w:fldCharType="separate"/>
      </w:r>
      <w:r w:rsidR="00711AB8">
        <w:t>Für Cystein PEA</w:t>
      </w:r>
      <w:r w:rsidR="00D16240">
        <w:fldChar w:fldCharType="end"/>
      </w:r>
      <w:r w:rsidR="001F5F60">
        <w:t xml:space="preserve"> angepasste Doppelemulsionsmethode</w:t>
      </w:r>
      <w:r w:rsidR="0065001B">
        <w:t>“</w:t>
      </w:r>
      <w:r w:rsidR="00DA1714">
        <w:t xml:space="preserve">. Im </w:t>
      </w:r>
      <w:r w:rsidR="005F7C8B">
        <w:t>folgenden Abschnitt werden daher lediglich die Ergebnisse der Verkapselung von Desmopressin in Cystein PEA diskutiert.</w:t>
      </w:r>
    </w:p>
    <w:p w14:paraId="717D7EB0" w14:textId="77777777" w:rsidR="001207E1" w:rsidRPr="00045A17" w:rsidRDefault="001207E1" w:rsidP="001207E1">
      <w:pPr>
        <w:spacing w:after="0"/>
      </w:pPr>
    </w:p>
    <w:p w14:paraId="7672126E" w14:textId="77777777" w:rsidR="00F14BF3" w:rsidRPr="00EB5534" w:rsidRDefault="00F14BF3" w:rsidP="003D6D5A">
      <w:pPr>
        <w:pStyle w:val="Beschriftung"/>
        <w:ind w:firstLine="0"/>
        <w:rPr>
          <w:b w:val="0"/>
        </w:rPr>
      </w:pPr>
      <w:bookmarkStart w:id="215" w:name="_Ref274163655"/>
      <w:bookmarkStart w:id="216" w:name="_Ref278815405"/>
      <w:r w:rsidRPr="00F14BF3">
        <w:t xml:space="preserve">Tabelle </w:t>
      </w:r>
      <w:fldSimple w:instr=" SEQ Tabelle \* ARABIC ">
        <w:r w:rsidR="00711AB8">
          <w:rPr>
            <w:noProof/>
          </w:rPr>
          <w:t>23</w:t>
        </w:r>
      </w:fldSimple>
      <w:bookmarkEnd w:id="215"/>
      <w:r w:rsidR="00EB5534">
        <w:t xml:space="preserve"> </w:t>
      </w:r>
      <w:r w:rsidR="00EB5534">
        <w:rPr>
          <w:b w:val="0"/>
        </w:rPr>
        <w:t>Er</w:t>
      </w:r>
      <w:r w:rsidR="00250BED">
        <w:rPr>
          <w:b w:val="0"/>
        </w:rPr>
        <w:t>gebnisse der Versuche zur V</w:t>
      </w:r>
      <w:r w:rsidR="00EB5534">
        <w:rPr>
          <w:b w:val="0"/>
        </w:rPr>
        <w:t>erkapselung von Desmopressin in Cystein PEA</w:t>
      </w:r>
      <w:r w:rsidR="00250BED">
        <w:rPr>
          <w:b w:val="0"/>
        </w:rPr>
        <w:t xml:space="preserve"> Partikel</w:t>
      </w:r>
      <w:bookmarkEnd w:id="216"/>
      <w:r w:rsidR="001F5F60">
        <w:rPr>
          <w:b w:val="0"/>
        </w:rPr>
        <w:t>.</w:t>
      </w:r>
    </w:p>
    <w:tbl>
      <w:tblPr>
        <w:tblW w:w="9075" w:type="dxa"/>
        <w:jc w:val="center"/>
        <w:tblInd w:w="-129" w:type="dxa"/>
        <w:tblLayout w:type="fixed"/>
        <w:tblCellMar>
          <w:left w:w="0" w:type="dxa"/>
          <w:right w:w="0" w:type="dxa"/>
        </w:tblCellMar>
        <w:tblLook w:val="0420" w:firstRow="1" w:lastRow="0" w:firstColumn="0" w:lastColumn="0" w:noHBand="0" w:noVBand="1"/>
      </w:tblPr>
      <w:tblGrid>
        <w:gridCol w:w="711"/>
        <w:gridCol w:w="993"/>
        <w:gridCol w:w="1559"/>
        <w:gridCol w:w="850"/>
        <w:gridCol w:w="1560"/>
        <w:gridCol w:w="1701"/>
        <w:gridCol w:w="567"/>
        <w:gridCol w:w="1134"/>
      </w:tblGrid>
      <w:tr w:rsidR="00F14BF3" w:rsidRPr="00971822" w14:paraId="75CF1117" w14:textId="77777777" w:rsidTr="00351A0E">
        <w:trPr>
          <w:trHeight w:val="855"/>
          <w:jc w:val="center"/>
        </w:trPr>
        <w:tc>
          <w:tcPr>
            <w:tcW w:w="711" w:type="dxa"/>
            <w:tcBorders>
              <w:top w:val="single" w:sz="8" w:space="0" w:color="000000"/>
              <w:left w:val="single" w:sz="8" w:space="0" w:color="000000"/>
              <w:bottom w:val="single" w:sz="8" w:space="0" w:color="000000"/>
              <w:right w:val="single" w:sz="8" w:space="0" w:color="000000"/>
            </w:tcBorders>
            <w:shd w:val="clear" w:color="auto" w:fill="E6E6E6"/>
            <w:vAlign w:val="center"/>
          </w:tcPr>
          <w:p w14:paraId="113A06C4" w14:textId="77777777" w:rsidR="00F14BF3" w:rsidRPr="00971822" w:rsidRDefault="00F14BF3" w:rsidP="00F14BF3">
            <w:pPr>
              <w:spacing w:after="0" w:line="240" w:lineRule="auto"/>
              <w:jc w:val="center"/>
              <w:rPr>
                <w:rFonts w:eastAsia="SimSun" w:cs="Times New Roman"/>
                <w:b/>
                <w:bCs/>
                <w:sz w:val="18"/>
                <w:szCs w:val="18"/>
                <w:lang w:eastAsia="de-DE"/>
              </w:rPr>
            </w:pPr>
            <w:r>
              <w:rPr>
                <w:rFonts w:eastAsia="SimSun" w:cs="Times New Roman"/>
                <w:b/>
                <w:bCs/>
                <w:sz w:val="18"/>
                <w:szCs w:val="18"/>
                <w:lang w:eastAsia="de-DE"/>
              </w:rPr>
              <w:t>Versuch Nr.</w:t>
            </w:r>
            <w:r w:rsidR="00066733">
              <w:rPr>
                <w:rFonts w:eastAsia="SimSun" w:cs="Times New Roman"/>
                <w:b/>
                <w:bCs/>
                <w:sz w:val="18"/>
                <w:szCs w:val="18"/>
                <w:lang w:eastAsia="de-DE"/>
              </w:rPr>
              <w:t xml:space="preserve"> / Polymer</w:t>
            </w:r>
          </w:p>
        </w:tc>
        <w:tc>
          <w:tcPr>
            <w:tcW w:w="993"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14:paraId="7A2249F7" w14:textId="77777777" w:rsidR="00F14BF3" w:rsidRPr="00971822" w:rsidRDefault="00F14BF3" w:rsidP="00F14BF3">
            <w:pPr>
              <w:spacing w:after="0" w:line="240" w:lineRule="auto"/>
              <w:jc w:val="center"/>
              <w:rPr>
                <w:rFonts w:eastAsia="SimSun" w:cs="Times New Roman"/>
                <w:sz w:val="18"/>
                <w:szCs w:val="18"/>
                <w:lang w:eastAsia="de-DE"/>
              </w:rPr>
            </w:pPr>
            <w:r w:rsidRPr="00971822">
              <w:rPr>
                <w:rFonts w:eastAsia="SimSun" w:cs="Times New Roman"/>
                <w:b/>
                <w:bCs/>
                <w:sz w:val="18"/>
                <w:szCs w:val="18"/>
                <w:lang w:eastAsia="de-DE"/>
              </w:rPr>
              <w:t>Lösungs</w:t>
            </w:r>
            <w:r>
              <w:rPr>
                <w:rFonts w:eastAsia="SimSun" w:cs="Times New Roman"/>
                <w:b/>
                <w:bCs/>
                <w:sz w:val="18"/>
                <w:szCs w:val="18"/>
                <w:lang w:eastAsia="de-DE"/>
              </w:rPr>
              <w:t>-</w:t>
            </w:r>
            <w:r w:rsidRPr="00971822">
              <w:rPr>
                <w:rFonts w:eastAsia="SimSun" w:cs="Times New Roman"/>
                <w:b/>
                <w:bCs/>
                <w:sz w:val="18"/>
                <w:szCs w:val="18"/>
                <w:lang w:eastAsia="de-DE"/>
              </w:rPr>
              <w:t>mittel</w:t>
            </w:r>
          </w:p>
        </w:tc>
        <w:tc>
          <w:tcPr>
            <w:tcW w:w="1559"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14:paraId="107C94DA" w14:textId="77777777" w:rsidR="00F14BF3" w:rsidRDefault="00F14BF3" w:rsidP="00F14BF3">
            <w:pPr>
              <w:spacing w:after="0" w:line="240" w:lineRule="auto"/>
              <w:jc w:val="center"/>
              <w:rPr>
                <w:rFonts w:eastAsia="SimSun" w:cs="Times New Roman"/>
                <w:b/>
                <w:bCs/>
                <w:sz w:val="18"/>
                <w:szCs w:val="18"/>
                <w:lang w:eastAsia="de-DE"/>
              </w:rPr>
            </w:pPr>
            <w:r w:rsidRPr="00971822">
              <w:rPr>
                <w:rFonts w:eastAsia="SimSun" w:cs="Times New Roman"/>
                <w:b/>
                <w:bCs/>
                <w:sz w:val="18"/>
                <w:szCs w:val="18"/>
                <w:lang w:eastAsia="de-DE"/>
              </w:rPr>
              <w:t>Methode</w:t>
            </w:r>
            <w:r>
              <w:rPr>
                <w:rFonts w:eastAsia="SimSun" w:cs="Times New Roman"/>
                <w:b/>
                <w:bCs/>
                <w:sz w:val="18"/>
                <w:szCs w:val="18"/>
                <w:lang w:eastAsia="de-DE"/>
              </w:rPr>
              <w:t xml:space="preserve"> /</w:t>
            </w:r>
          </w:p>
          <w:p w14:paraId="16671616" w14:textId="77777777" w:rsidR="00F14BF3" w:rsidRPr="00066733" w:rsidRDefault="00F14BF3" w:rsidP="00066733">
            <w:pPr>
              <w:spacing w:after="0" w:line="240" w:lineRule="auto"/>
              <w:jc w:val="center"/>
              <w:rPr>
                <w:rFonts w:eastAsia="SimSun" w:cs="Times New Roman"/>
                <w:b/>
                <w:bCs/>
                <w:sz w:val="18"/>
                <w:szCs w:val="18"/>
                <w:lang w:eastAsia="de-DE"/>
              </w:rPr>
            </w:pPr>
            <w:r>
              <w:rPr>
                <w:rFonts w:eastAsia="SimSun" w:cs="Times New Roman"/>
                <w:b/>
                <w:bCs/>
                <w:sz w:val="18"/>
                <w:szCs w:val="18"/>
                <w:lang w:eastAsia="de-DE"/>
              </w:rPr>
              <w:t>W</w:t>
            </w:r>
            <w:r>
              <w:rPr>
                <w:rFonts w:eastAsia="SimSun" w:cs="Times New Roman"/>
                <w:b/>
                <w:bCs/>
                <w:sz w:val="18"/>
                <w:szCs w:val="18"/>
                <w:vertAlign w:val="subscript"/>
                <w:lang w:eastAsia="de-DE"/>
              </w:rPr>
              <w:t>2</w:t>
            </w:r>
            <w:r w:rsidR="00066733">
              <w:rPr>
                <w:rFonts w:eastAsia="SimSun" w:cs="Times New Roman"/>
                <w:b/>
                <w:bCs/>
                <w:sz w:val="18"/>
                <w:szCs w:val="18"/>
                <w:lang w:eastAsia="de-DE"/>
              </w:rPr>
              <w:t xml:space="preserve"> Phase</w:t>
            </w:r>
          </w:p>
        </w:tc>
        <w:tc>
          <w:tcPr>
            <w:tcW w:w="850"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14:paraId="0BC707E3" w14:textId="77777777" w:rsidR="00F14BF3" w:rsidRPr="00971822" w:rsidRDefault="00F14BF3" w:rsidP="00F14BF3">
            <w:pPr>
              <w:spacing w:after="0" w:line="240" w:lineRule="auto"/>
              <w:jc w:val="center"/>
              <w:rPr>
                <w:rFonts w:eastAsia="SimSun" w:cs="Times New Roman"/>
                <w:sz w:val="18"/>
                <w:szCs w:val="18"/>
                <w:lang w:eastAsia="de-DE"/>
              </w:rPr>
            </w:pPr>
            <w:r w:rsidRPr="00971822">
              <w:rPr>
                <w:rFonts w:eastAsia="SimSun" w:cs="Times New Roman"/>
                <w:b/>
                <w:bCs/>
                <w:sz w:val="18"/>
                <w:szCs w:val="18"/>
                <w:lang w:eastAsia="de-DE"/>
              </w:rPr>
              <w:t>PVA Konz. [%]</w:t>
            </w:r>
          </w:p>
        </w:tc>
        <w:tc>
          <w:tcPr>
            <w:tcW w:w="1560"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14:paraId="6D864449" w14:textId="77777777" w:rsidR="00F14BF3" w:rsidRPr="00BD7711" w:rsidRDefault="00F14BF3" w:rsidP="00F14BF3">
            <w:pPr>
              <w:spacing w:after="0" w:line="240" w:lineRule="auto"/>
              <w:jc w:val="center"/>
              <w:rPr>
                <w:rFonts w:eastAsia="SimSun" w:cs="Times New Roman"/>
                <w:sz w:val="18"/>
                <w:szCs w:val="18"/>
                <w:lang w:eastAsia="de-DE"/>
              </w:rPr>
            </w:pPr>
            <w:r w:rsidRPr="00BD7711">
              <w:rPr>
                <w:rFonts w:eastAsia="SimSun" w:cs="Times New Roman"/>
                <w:b/>
                <w:bCs/>
                <w:sz w:val="18"/>
                <w:szCs w:val="18"/>
                <w:lang w:eastAsia="de-DE"/>
              </w:rPr>
              <w:t>Partikelgröße vor dem Trocknen / PDI</w:t>
            </w:r>
          </w:p>
        </w:tc>
        <w:tc>
          <w:tcPr>
            <w:tcW w:w="1701"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14:paraId="52F6A6E5" w14:textId="77777777" w:rsidR="00F14BF3" w:rsidRPr="00971822" w:rsidRDefault="00F14BF3" w:rsidP="00F14BF3">
            <w:pPr>
              <w:spacing w:after="0" w:line="240" w:lineRule="auto"/>
              <w:jc w:val="center"/>
              <w:rPr>
                <w:rFonts w:eastAsia="SimSun" w:cs="Times New Roman"/>
                <w:sz w:val="18"/>
                <w:szCs w:val="18"/>
                <w:lang w:eastAsia="de-DE"/>
              </w:rPr>
            </w:pPr>
            <w:r w:rsidRPr="00971822">
              <w:rPr>
                <w:rFonts w:eastAsia="SimSun" w:cs="Times New Roman"/>
                <w:b/>
                <w:bCs/>
                <w:sz w:val="18"/>
                <w:szCs w:val="18"/>
                <w:lang w:eastAsia="de-DE"/>
              </w:rPr>
              <w:t xml:space="preserve">Partikelgröße nach </w:t>
            </w:r>
            <w:r w:rsidR="00D75AC7">
              <w:rPr>
                <w:rFonts w:eastAsia="SimSun" w:cs="Times New Roman"/>
                <w:b/>
                <w:bCs/>
                <w:sz w:val="18"/>
                <w:szCs w:val="18"/>
                <w:lang w:eastAsia="de-DE"/>
              </w:rPr>
              <w:t xml:space="preserve">Trocknen, </w:t>
            </w:r>
            <w:r w:rsidRPr="00971822">
              <w:rPr>
                <w:rFonts w:eastAsia="SimSun" w:cs="Times New Roman"/>
                <w:b/>
                <w:bCs/>
                <w:sz w:val="18"/>
                <w:szCs w:val="18"/>
                <w:lang w:eastAsia="de-DE"/>
              </w:rPr>
              <w:t>Redispergierung / PDI</w:t>
            </w:r>
          </w:p>
        </w:tc>
        <w:tc>
          <w:tcPr>
            <w:tcW w:w="567" w:type="dxa"/>
            <w:tcBorders>
              <w:top w:val="single" w:sz="8" w:space="0" w:color="000000"/>
              <w:left w:val="single" w:sz="8" w:space="0" w:color="000000"/>
              <w:bottom w:val="single" w:sz="8" w:space="0" w:color="000000"/>
              <w:right w:val="single" w:sz="8" w:space="0" w:color="000000"/>
            </w:tcBorders>
            <w:shd w:val="clear" w:color="auto" w:fill="E6E6E6"/>
            <w:vAlign w:val="center"/>
          </w:tcPr>
          <w:p w14:paraId="5B6D7B21" w14:textId="77777777" w:rsidR="00F14BF3" w:rsidRPr="00971822" w:rsidRDefault="00F14BF3" w:rsidP="00F14BF3">
            <w:pPr>
              <w:spacing w:after="0" w:line="240" w:lineRule="auto"/>
              <w:jc w:val="center"/>
              <w:rPr>
                <w:rFonts w:eastAsia="SimSun" w:cs="Times New Roman"/>
                <w:b/>
                <w:bCs/>
                <w:sz w:val="18"/>
                <w:szCs w:val="18"/>
                <w:lang w:eastAsia="de-DE"/>
              </w:rPr>
            </w:pPr>
            <w:r w:rsidRPr="00971822">
              <w:rPr>
                <w:rFonts w:eastAsia="SimSun" w:cs="Times New Roman"/>
                <w:b/>
                <w:bCs/>
                <w:sz w:val="18"/>
                <w:szCs w:val="18"/>
                <w:lang w:eastAsia="de-DE"/>
              </w:rPr>
              <w:t>Bela</w:t>
            </w:r>
            <w:r w:rsidR="00066733">
              <w:rPr>
                <w:rFonts w:eastAsia="SimSun" w:cs="Times New Roman"/>
                <w:b/>
                <w:bCs/>
                <w:sz w:val="18"/>
                <w:szCs w:val="18"/>
                <w:lang w:eastAsia="de-DE"/>
              </w:rPr>
              <w:t>-</w:t>
            </w:r>
            <w:r w:rsidRPr="00971822">
              <w:rPr>
                <w:rFonts w:eastAsia="SimSun" w:cs="Times New Roman"/>
                <w:b/>
                <w:bCs/>
                <w:sz w:val="18"/>
                <w:szCs w:val="18"/>
                <w:lang w:eastAsia="de-DE"/>
              </w:rPr>
              <w:t>dung [%]</w:t>
            </w:r>
          </w:p>
        </w:tc>
        <w:tc>
          <w:tcPr>
            <w:tcW w:w="1134"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14:paraId="121975F6" w14:textId="77777777" w:rsidR="00F14BF3" w:rsidRPr="00971822" w:rsidRDefault="00F14BF3" w:rsidP="00F14BF3">
            <w:pPr>
              <w:spacing w:after="0" w:line="240" w:lineRule="auto"/>
              <w:jc w:val="center"/>
              <w:rPr>
                <w:rFonts w:eastAsia="SimSun" w:cs="Times New Roman"/>
                <w:sz w:val="18"/>
                <w:szCs w:val="18"/>
                <w:lang w:eastAsia="de-DE"/>
              </w:rPr>
            </w:pPr>
            <w:r>
              <w:rPr>
                <w:rFonts w:eastAsia="SimSun" w:cs="Times New Roman"/>
                <w:b/>
                <w:bCs/>
                <w:sz w:val="18"/>
                <w:szCs w:val="18"/>
                <w:lang w:eastAsia="de-DE"/>
              </w:rPr>
              <w:t>Verkapse</w:t>
            </w:r>
            <w:r w:rsidR="00066733">
              <w:rPr>
                <w:rFonts w:eastAsia="SimSun" w:cs="Times New Roman"/>
                <w:b/>
                <w:bCs/>
                <w:sz w:val="18"/>
                <w:szCs w:val="18"/>
                <w:lang w:eastAsia="de-DE"/>
              </w:rPr>
              <w:t>-</w:t>
            </w:r>
            <w:r>
              <w:rPr>
                <w:rFonts w:eastAsia="SimSun" w:cs="Times New Roman"/>
                <w:b/>
                <w:bCs/>
                <w:sz w:val="18"/>
                <w:szCs w:val="18"/>
                <w:lang w:eastAsia="de-DE"/>
              </w:rPr>
              <w:t>lungs</w:t>
            </w:r>
            <w:r w:rsidR="00066733">
              <w:rPr>
                <w:rFonts w:eastAsia="SimSun" w:cs="Times New Roman"/>
                <w:b/>
                <w:bCs/>
                <w:sz w:val="18"/>
                <w:szCs w:val="18"/>
                <w:lang w:eastAsia="de-DE"/>
              </w:rPr>
              <w:t>-</w:t>
            </w:r>
            <w:r w:rsidRPr="00971822">
              <w:rPr>
                <w:rFonts w:eastAsia="SimSun" w:cs="Times New Roman"/>
                <w:b/>
                <w:bCs/>
                <w:sz w:val="18"/>
                <w:szCs w:val="18"/>
                <w:lang w:eastAsia="de-DE"/>
              </w:rPr>
              <w:t>effizienz</w:t>
            </w:r>
            <w:r w:rsidRPr="00971822">
              <w:rPr>
                <w:rFonts w:eastAsia="SimSun" w:cs="Times New Roman"/>
                <w:sz w:val="18"/>
                <w:szCs w:val="18"/>
                <w:lang w:eastAsia="de-DE"/>
              </w:rPr>
              <w:t xml:space="preserve"> </w:t>
            </w:r>
            <w:r w:rsidRPr="00971822">
              <w:rPr>
                <w:rFonts w:eastAsia="SimSun" w:cs="Times New Roman"/>
                <w:b/>
                <w:bCs/>
                <w:sz w:val="18"/>
                <w:szCs w:val="18"/>
                <w:lang w:eastAsia="de-DE"/>
              </w:rPr>
              <w:t>[%]</w:t>
            </w:r>
          </w:p>
        </w:tc>
      </w:tr>
      <w:tr w:rsidR="00F14BF3" w:rsidRPr="00BC5DCC" w14:paraId="61459C3E" w14:textId="77777777" w:rsidTr="00351A0E">
        <w:trPr>
          <w:trHeight w:val="20"/>
          <w:jc w:val="center"/>
        </w:trPr>
        <w:tc>
          <w:tcPr>
            <w:tcW w:w="711" w:type="dxa"/>
            <w:tcBorders>
              <w:top w:val="single" w:sz="8" w:space="0" w:color="000000"/>
              <w:left w:val="single" w:sz="8" w:space="0" w:color="000000"/>
              <w:bottom w:val="single" w:sz="4" w:space="0" w:color="000000"/>
              <w:right w:val="single" w:sz="4" w:space="0" w:color="000000"/>
            </w:tcBorders>
            <w:shd w:val="clear" w:color="auto" w:fill="FFFFFF"/>
            <w:vAlign w:val="center"/>
          </w:tcPr>
          <w:p w14:paraId="23CF9E70" w14:textId="77777777" w:rsidR="00F14BF3"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1</w:t>
            </w:r>
          </w:p>
          <w:p w14:paraId="6EFDE48F" w14:textId="77777777" w:rsidR="00066733" w:rsidRPr="00971822" w:rsidRDefault="0006673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PEA 07</w:t>
            </w:r>
          </w:p>
        </w:tc>
        <w:tc>
          <w:tcPr>
            <w:tcW w:w="993" w:type="dxa"/>
            <w:tcBorders>
              <w:top w:val="single" w:sz="8" w:space="0" w:color="000000"/>
              <w:left w:val="single" w:sz="4" w:space="0" w:color="000000"/>
              <w:bottom w:val="single" w:sz="4" w:space="0" w:color="000000"/>
              <w:right w:val="single" w:sz="4" w:space="0" w:color="000000"/>
            </w:tcBorders>
            <w:shd w:val="clear" w:color="auto" w:fill="FFFFFF"/>
            <w:tcMar>
              <w:top w:w="28" w:type="dxa"/>
              <w:left w:w="37" w:type="dxa"/>
              <w:bottom w:w="28" w:type="dxa"/>
              <w:right w:w="37" w:type="dxa"/>
            </w:tcMar>
            <w:vAlign w:val="center"/>
            <w:hideMark/>
          </w:tcPr>
          <w:p w14:paraId="1D3632CB" w14:textId="77777777" w:rsidR="00F14BF3" w:rsidRPr="00971822" w:rsidRDefault="00F14BF3" w:rsidP="00F14BF3">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2T EtAc : 1T Aceton</w:t>
            </w:r>
          </w:p>
        </w:tc>
        <w:tc>
          <w:tcPr>
            <w:tcW w:w="1559" w:type="dxa"/>
            <w:tcBorders>
              <w:top w:val="single" w:sz="8"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43475E80" w14:textId="77777777" w:rsidR="00F14BF3" w:rsidRPr="00971822"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Doppelemulsion</w:t>
            </w:r>
            <w:r w:rsidR="00D75AC7">
              <w:rPr>
                <w:rFonts w:eastAsia="SimSun" w:cs="Times New Roman"/>
                <w:sz w:val="16"/>
                <w:szCs w:val="16"/>
                <w:lang w:eastAsia="de-DE"/>
              </w:rPr>
              <w:t xml:space="preserve"> /</w:t>
            </w:r>
          </w:p>
          <w:p w14:paraId="24013CA7" w14:textId="77777777" w:rsidR="00F14BF3" w:rsidRPr="00971822" w:rsidRDefault="00F14BF3" w:rsidP="00066733">
            <w:pPr>
              <w:spacing w:after="0" w:line="240" w:lineRule="auto"/>
              <w:jc w:val="center"/>
              <w:rPr>
                <w:rFonts w:eastAsia="SimSun" w:cs="Times New Roman"/>
                <w:sz w:val="16"/>
                <w:szCs w:val="16"/>
                <w:lang w:eastAsia="de-DE"/>
              </w:rPr>
            </w:pPr>
            <w:r>
              <w:rPr>
                <w:rFonts w:eastAsia="SimSun" w:cs="Times New Roman"/>
                <w:sz w:val="16"/>
                <w:szCs w:val="16"/>
                <w:lang w:eastAsia="de-DE"/>
              </w:rPr>
              <w:t>Wasser</w:t>
            </w:r>
            <w:r w:rsidR="00D75AC7">
              <w:rPr>
                <w:rFonts w:eastAsia="SimSun" w:cs="Times New Roman"/>
                <w:sz w:val="16"/>
                <w:szCs w:val="16"/>
                <w:lang w:eastAsia="de-DE"/>
              </w:rPr>
              <w:t xml:space="preserve"> pH 7,</w:t>
            </w:r>
            <w:r w:rsidRPr="00971822">
              <w:rPr>
                <w:rFonts w:eastAsia="SimSun" w:cs="Times New Roman"/>
                <w:sz w:val="16"/>
                <w:szCs w:val="16"/>
                <w:lang w:eastAsia="de-DE"/>
              </w:rPr>
              <w:t>0</w:t>
            </w:r>
          </w:p>
        </w:tc>
        <w:tc>
          <w:tcPr>
            <w:tcW w:w="850" w:type="dxa"/>
            <w:tcBorders>
              <w:top w:val="single" w:sz="8"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5E809893"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0,</w:t>
            </w:r>
            <w:r w:rsidR="00F14BF3" w:rsidRPr="00971822">
              <w:rPr>
                <w:rFonts w:eastAsia="SimSun" w:cs="Times New Roman"/>
                <w:sz w:val="16"/>
                <w:szCs w:val="16"/>
                <w:lang w:eastAsia="de-DE"/>
              </w:rPr>
              <w:t>8</w:t>
            </w:r>
          </w:p>
        </w:tc>
        <w:tc>
          <w:tcPr>
            <w:tcW w:w="1560" w:type="dxa"/>
            <w:tcBorders>
              <w:top w:val="single" w:sz="8"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066A2B4E"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629 nm / 0,</w:t>
            </w:r>
            <w:r w:rsidR="00F14BF3" w:rsidRPr="00971822">
              <w:rPr>
                <w:rFonts w:eastAsia="SimSun" w:cs="Times New Roman"/>
                <w:sz w:val="16"/>
                <w:szCs w:val="16"/>
                <w:lang w:eastAsia="de-DE"/>
              </w:rPr>
              <w:t>379</w:t>
            </w:r>
          </w:p>
        </w:tc>
        <w:tc>
          <w:tcPr>
            <w:tcW w:w="1701" w:type="dxa"/>
            <w:tcBorders>
              <w:top w:val="single" w:sz="8"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320BF207" w14:textId="77777777" w:rsidR="00F14BF3" w:rsidRPr="00971822" w:rsidRDefault="00F14BF3" w:rsidP="00F14BF3">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630 nm (56%)       3900 nm (40%)</w:t>
            </w:r>
          </w:p>
        </w:tc>
        <w:tc>
          <w:tcPr>
            <w:tcW w:w="567" w:type="dxa"/>
            <w:tcBorders>
              <w:top w:val="single" w:sz="8" w:space="0" w:color="000000"/>
              <w:left w:val="single" w:sz="4" w:space="0" w:color="000000"/>
              <w:bottom w:val="single" w:sz="4" w:space="0" w:color="000000"/>
              <w:right w:val="single" w:sz="4" w:space="0" w:color="000000"/>
            </w:tcBorders>
            <w:shd w:val="clear" w:color="auto" w:fill="FFFFFF"/>
            <w:vAlign w:val="center"/>
          </w:tcPr>
          <w:p w14:paraId="0F50D435" w14:textId="77777777" w:rsidR="00F14BF3" w:rsidRPr="00971822" w:rsidRDefault="00D75AC7" w:rsidP="00F14BF3">
            <w:pPr>
              <w:spacing w:after="0" w:line="240" w:lineRule="auto"/>
              <w:jc w:val="center"/>
              <w:rPr>
                <w:rFonts w:eastAsia="SimSun" w:cs="Times New Roman"/>
                <w:b/>
                <w:bCs/>
                <w:sz w:val="16"/>
                <w:szCs w:val="16"/>
                <w:lang w:eastAsia="de-DE"/>
              </w:rPr>
            </w:pPr>
            <w:r>
              <w:rPr>
                <w:rFonts w:cs="Times New Roman"/>
                <w:sz w:val="16"/>
                <w:szCs w:val="16"/>
              </w:rPr>
              <w:t>4,</w:t>
            </w:r>
            <w:r w:rsidR="00F14BF3" w:rsidRPr="00971822">
              <w:rPr>
                <w:rFonts w:cs="Times New Roman"/>
                <w:sz w:val="16"/>
                <w:szCs w:val="16"/>
              </w:rPr>
              <w:t>0</w:t>
            </w:r>
          </w:p>
        </w:tc>
        <w:tc>
          <w:tcPr>
            <w:tcW w:w="1134" w:type="dxa"/>
            <w:tcBorders>
              <w:top w:val="single" w:sz="8" w:space="0" w:color="000000"/>
              <w:left w:val="single" w:sz="4" w:space="0" w:color="000000"/>
              <w:bottom w:val="single" w:sz="4" w:space="0" w:color="000000"/>
              <w:right w:val="single" w:sz="8" w:space="0" w:color="000000"/>
            </w:tcBorders>
            <w:shd w:val="clear" w:color="auto" w:fill="FFFFFF"/>
            <w:tcMar>
              <w:top w:w="72" w:type="dxa"/>
              <w:left w:w="144" w:type="dxa"/>
              <w:bottom w:w="72" w:type="dxa"/>
              <w:right w:w="144" w:type="dxa"/>
            </w:tcMar>
            <w:vAlign w:val="center"/>
            <w:hideMark/>
          </w:tcPr>
          <w:p w14:paraId="2AE9AAAE"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b/>
                <w:bCs/>
                <w:sz w:val="16"/>
                <w:szCs w:val="16"/>
                <w:lang w:eastAsia="de-DE"/>
              </w:rPr>
              <w:t>28,</w:t>
            </w:r>
            <w:r w:rsidR="00F14BF3" w:rsidRPr="00971822">
              <w:rPr>
                <w:rFonts w:eastAsia="SimSun" w:cs="Times New Roman"/>
                <w:b/>
                <w:bCs/>
                <w:sz w:val="16"/>
                <w:szCs w:val="16"/>
                <w:lang w:eastAsia="de-DE"/>
              </w:rPr>
              <w:t>8</w:t>
            </w:r>
          </w:p>
        </w:tc>
      </w:tr>
      <w:tr w:rsidR="00F14BF3" w:rsidRPr="00BC5DCC" w14:paraId="3769AC77" w14:textId="77777777" w:rsidTr="00351A0E">
        <w:trPr>
          <w:trHeight w:val="20"/>
          <w:jc w:val="center"/>
        </w:trPr>
        <w:tc>
          <w:tcPr>
            <w:tcW w:w="711"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4687D7DB" w14:textId="77777777" w:rsidR="00F14BF3"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2</w:t>
            </w:r>
          </w:p>
          <w:p w14:paraId="6470C486" w14:textId="77777777" w:rsidR="00066733" w:rsidRPr="00971822" w:rsidRDefault="0006673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PEA 07</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28" w:type="dxa"/>
              <w:left w:w="37" w:type="dxa"/>
              <w:bottom w:w="28" w:type="dxa"/>
              <w:right w:w="37" w:type="dxa"/>
            </w:tcMar>
            <w:vAlign w:val="center"/>
            <w:hideMark/>
          </w:tcPr>
          <w:p w14:paraId="55302BF5" w14:textId="77777777" w:rsidR="00F14BF3" w:rsidRPr="00971822" w:rsidRDefault="00F14BF3" w:rsidP="00F14BF3">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DCM</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341349B2" w14:textId="77777777" w:rsidR="00F14BF3" w:rsidRPr="00971822"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Doppelemulsion</w:t>
            </w:r>
            <w:r w:rsidR="00D75AC7">
              <w:rPr>
                <w:rFonts w:eastAsia="SimSun" w:cs="Times New Roman"/>
                <w:sz w:val="16"/>
                <w:szCs w:val="16"/>
                <w:lang w:eastAsia="de-DE"/>
              </w:rPr>
              <w:t xml:space="preserve"> /</w:t>
            </w:r>
          </w:p>
          <w:p w14:paraId="62FEF685" w14:textId="77777777" w:rsidR="00F14BF3" w:rsidRPr="00971822" w:rsidRDefault="00F14BF3" w:rsidP="00066733">
            <w:pPr>
              <w:spacing w:after="0" w:line="240" w:lineRule="auto"/>
              <w:jc w:val="center"/>
              <w:rPr>
                <w:rFonts w:eastAsia="SimSun" w:cs="Times New Roman"/>
                <w:sz w:val="16"/>
                <w:szCs w:val="16"/>
                <w:lang w:eastAsia="de-DE"/>
              </w:rPr>
            </w:pPr>
            <w:r>
              <w:rPr>
                <w:rFonts w:eastAsia="SimSun" w:cs="Times New Roman"/>
                <w:sz w:val="16"/>
                <w:szCs w:val="16"/>
                <w:lang w:eastAsia="de-DE"/>
              </w:rPr>
              <w:t>PBS</w:t>
            </w:r>
            <w:r w:rsidR="00D75AC7">
              <w:rPr>
                <w:rFonts w:eastAsia="SimSun" w:cs="Times New Roman"/>
                <w:sz w:val="16"/>
                <w:szCs w:val="16"/>
                <w:lang w:eastAsia="de-DE"/>
              </w:rPr>
              <w:t xml:space="preserve"> pH 5,</w:t>
            </w:r>
            <w:r w:rsidRPr="00971822">
              <w:rPr>
                <w:rFonts w:eastAsia="SimSun" w:cs="Times New Roman"/>
                <w:sz w:val="16"/>
                <w:szCs w:val="16"/>
                <w:lang w:eastAsia="de-DE"/>
              </w:rPr>
              <w:t>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6A4449BE"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0,</w:t>
            </w:r>
            <w:r w:rsidR="00F14BF3" w:rsidRPr="00971822">
              <w:rPr>
                <w:rFonts w:eastAsia="SimSun" w:cs="Times New Roman"/>
                <w:sz w:val="16"/>
                <w:szCs w:val="16"/>
                <w:lang w:eastAsia="de-DE"/>
              </w:rPr>
              <w:t>8</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58CE00C6" w14:textId="77777777" w:rsidR="00F14BF3" w:rsidRPr="00971822" w:rsidRDefault="00F14BF3" w:rsidP="00F14BF3">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167 nm (4%)              3255 nm (96%)</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72008458" w14:textId="77777777" w:rsidR="00F14BF3" w:rsidRPr="00971822" w:rsidRDefault="00F14BF3" w:rsidP="00F14BF3">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3</w:t>
            </w:r>
            <w:r w:rsidR="00D75AC7">
              <w:rPr>
                <w:rFonts w:eastAsia="SimSun" w:cs="Times New Roman"/>
                <w:sz w:val="16"/>
                <w:szCs w:val="16"/>
                <w:lang w:eastAsia="de-DE"/>
              </w:rPr>
              <w:t>180 nm / 0,</w:t>
            </w:r>
            <w:r w:rsidRPr="00971822">
              <w:rPr>
                <w:rFonts w:eastAsia="SimSun" w:cs="Times New Roman"/>
                <w:sz w:val="16"/>
                <w:szCs w:val="16"/>
                <w:lang w:eastAsia="de-DE"/>
              </w:rPr>
              <w:t>874</w:t>
            </w:r>
          </w:p>
        </w:tc>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E20AB3" w14:textId="77777777" w:rsidR="00F14BF3" w:rsidRPr="00971822" w:rsidRDefault="00D75AC7" w:rsidP="00F14BF3">
            <w:pPr>
              <w:spacing w:after="0" w:line="240" w:lineRule="auto"/>
              <w:jc w:val="center"/>
              <w:rPr>
                <w:rFonts w:eastAsia="SimSun" w:cs="Times New Roman"/>
                <w:b/>
                <w:bCs/>
                <w:sz w:val="16"/>
                <w:szCs w:val="16"/>
                <w:lang w:eastAsia="de-DE"/>
              </w:rPr>
            </w:pPr>
            <w:r>
              <w:rPr>
                <w:rFonts w:cs="Times New Roman"/>
                <w:sz w:val="16"/>
                <w:szCs w:val="16"/>
              </w:rPr>
              <w:t>1,</w:t>
            </w:r>
            <w:r w:rsidR="00F14BF3" w:rsidRPr="00971822">
              <w:rPr>
                <w:rFonts w:cs="Times New Roman"/>
                <w:sz w:val="16"/>
                <w:szCs w:val="16"/>
              </w:rPr>
              <w:t>9</w:t>
            </w:r>
          </w:p>
        </w:tc>
        <w:tc>
          <w:tcPr>
            <w:tcW w:w="1134" w:type="dxa"/>
            <w:tcBorders>
              <w:top w:val="single" w:sz="4" w:space="0" w:color="000000"/>
              <w:left w:val="single" w:sz="4" w:space="0" w:color="000000"/>
              <w:bottom w:val="single" w:sz="4" w:space="0" w:color="000000"/>
              <w:right w:val="single" w:sz="8" w:space="0" w:color="000000"/>
            </w:tcBorders>
            <w:shd w:val="clear" w:color="auto" w:fill="FFFFFF"/>
            <w:tcMar>
              <w:top w:w="72" w:type="dxa"/>
              <w:left w:w="144" w:type="dxa"/>
              <w:bottom w:w="72" w:type="dxa"/>
              <w:right w:w="144" w:type="dxa"/>
            </w:tcMar>
            <w:vAlign w:val="center"/>
            <w:hideMark/>
          </w:tcPr>
          <w:p w14:paraId="32C129B4"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b/>
                <w:bCs/>
                <w:sz w:val="16"/>
                <w:szCs w:val="16"/>
                <w:lang w:eastAsia="de-DE"/>
              </w:rPr>
              <w:t>15,</w:t>
            </w:r>
            <w:r w:rsidR="00F14BF3" w:rsidRPr="00971822">
              <w:rPr>
                <w:rFonts w:eastAsia="SimSun" w:cs="Times New Roman"/>
                <w:b/>
                <w:bCs/>
                <w:sz w:val="16"/>
                <w:szCs w:val="16"/>
                <w:lang w:eastAsia="de-DE"/>
              </w:rPr>
              <w:t>8</w:t>
            </w:r>
          </w:p>
        </w:tc>
      </w:tr>
      <w:tr w:rsidR="00F14BF3" w:rsidRPr="00BC5DCC" w14:paraId="58F14C6C" w14:textId="77777777" w:rsidTr="00351A0E">
        <w:trPr>
          <w:trHeight w:val="20"/>
          <w:jc w:val="center"/>
        </w:trPr>
        <w:tc>
          <w:tcPr>
            <w:tcW w:w="711"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6C0A3568" w14:textId="77777777" w:rsidR="00F14BF3"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3</w:t>
            </w:r>
          </w:p>
          <w:p w14:paraId="5EAFD15D" w14:textId="77777777" w:rsidR="00066733" w:rsidRPr="00971822" w:rsidRDefault="0006673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PEA 07</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28" w:type="dxa"/>
              <w:left w:w="37" w:type="dxa"/>
              <w:bottom w:w="28" w:type="dxa"/>
              <w:right w:w="37" w:type="dxa"/>
            </w:tcMar>
            <w:vAlign w:val="center"/>
            <w:hideMark/>
          </w:tcPr>
          <w:p w14:paraId="19FFBCEC" w14:textId="77777777" w:rsidR="00F14BF3" w:rsidRPr="00971822" w:rsidRDefault="00F14BF3" w:rsidP="00F14BF3">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DCM</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02FF5EF0" w14:textId="77777777" w:rsidR="00F14BF3" w:rsidRPr="00971822"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Doppelemulsion</w:t>
            </w:r>
            <w:r w:rsidR="00D75AC7">
              <w:rPr>
                <w:rFonts w:eastAsia="SimSun" w:cs="Times New Roman"/>
                <w:sz w:val="16"/>
                <w:szCs w:val="16"/>
                <w:lang w:eastAsia="de-DE"/>
              </w:rPr>
              <w:t xml:space="preserve"> /</w:t>
            </w:r>
          </w:p>
          <w:p w14:paraId="19E9CF51" w14:textId="77777777" w:rsidR="00F14BF3" w:rsidRPr="00971822" w:rsidRDefault="00F14BF3" w:rsidP="00066733">
            <w:pPr>
              <w:spacing w:after="0" w:line="240" w:lineRule="auto"/>
              <w:jc w:val="center"/>
              <w:rPr>
                <w:rFonts w:eastAsia="SimSun" w:cs="Times New Roman"/>
                <w:sz w:val="16"/>
                <w:szCs w:val="16"/>
                <w:lang w:eastAsia="de-DE"/>
              </w:rPr>
            </w:pPr>
            <w:r>
              <w:rPr>
                <w:rFonts w:eastAsia="SimSun" w:cs="Times New Roman"/>
                <w:sz w:val="16"/>
                <w:szCs w:val="16"/>
                <w:lang w:eastAsia="de-DE"/>
              </w:rPr>
              <w:t>PBS</w:t>
            </w:r>
            <w:r w:rsidR="00D75AC7">
              <w:rPr>
                <w:rFonts w:eastAsia="SimSun" w:cs="Times New Roman"/>
                <w:sz w:val="16"/>
                <w:szCs w:val="16"/>
                <w:lang w:eastAsia="de-DE"/>
              </w:rPr>
              <w:t xml:space="preserve"> pH 5,</w:t>
            </w:r>
            <w:r w:rsidRPr="00971822">
              <w:rPr>
                <w:rFonts w:eastAsia="SimSun" w:cs="Times New Roman"/>
                <w:sz w:val="16"/>
                <w:szCs w:val="16"/>
                <w:lang w:eastAsia="de-DE"/>
              </w:rPr>
              <w:t>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39C31DC3"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1,</w:t>
            </w:r>
            <w:r w:rsidR="00F14BF3" w:rsidRPr="00971822">
              <w:rPr>
                <w:rFonts w:eastAsia="SimSun" w:cs="Times New Roman"/>
                <w:sz w:val="16"/>
                <w:szCs w:val="16"/>
                <w:lang w:eastAsia="de-DE"/>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0D598953"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1630 nm / 0,</w:t>
            </w:r>
            <w:r w:rsidR="00F14BF3" w:rsidRPr="00971822">
              <w:rPr>
                <w:rFonts w:eastAsia="SimSun" w:cs="Times New Roman"/>
                <w:sz w:val="16"/>
                <w:szCs w:val="16"/>
                <w:lang w:eastAsia="de-DE"/>
              </w:rPr>
              <w:t>349</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3EF5F391"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1440 nm / 0,</w:t>
            </w:r>
            <w:r w:rsidR="00F14BF3" w:rsidRPr="00971822">
              <w:rPr>
                <w:rFonts w:eastAsia="SimSun" w:cs="Times New Roman"/>
                <w:sz w:val="16"/>
                <w:szCs w:val="16"/>
                <w:lang w:eastAsia="de-DE"/>
              </w:rPr>
              <w:t>317</w:t>
            </w:r>
          </w:p>
        </w:tc>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8DE746" w14:textId="77777777" w:rsidR="00F14BF3" w:rsidRPr="00971822" w:rsidRDefault="00D75AC7" w:rsidP="00F14BF3">
            <w:pPr>
              <w:spacing w:after="0" w:line="240" w:lineRule="auto"/>
              <w:jc w:val="center"/>
              <w:rPr>
                <w:rFonts w:eastAsia="SimSun" w:cs="Times New Roman"/>
                <w:b/>
                <w:bCs/>
                <w:sz w:val="16"/>
                <w:szCs w:val="16"/>
                <w:lang w:eastAsia="de-DE"/>
              </w:rPr>
            </w:pPr>
            <w:r>
              <w:rPr>
                <w:rFonts w:cs="Times New Roman"/>
                <w:sz w:val="16"/>
                <w:szCs w:val="16"/>
              </w:rPr>
              <w:t>4,</w:t>
            </w:r>
            <w:r w:rsidR="00F14BF3" w:rsidRPr="00971822">
              <w:rPr>
                <w:rFonts w:cs="Times New Roman"/>
                <w:sz w:val="16"/>
                <w:szCs w:val="16"/>
              </w:rPr>
              <w:t>2</w:t>
            </w:r>
          </w:p>
        </w:tc>
        <w:tc>
          <w:tcPr>
            <w:tcW w:w="1134" w:type="dxa"/>
            <w:tcBorders>
              <w:top w:val="single" w:sz="4" w:space="0" w:color="000000"/>
              <w:left w:val="single" w:sz="4" w:space="0" w:color="000000"/>
              <w:bottom w:val="single" w:sz="4" w:space="0" w:color="000000"/>
              <w:right w:val="single" w:sz="8" w:space="0" w:color="000000"/>
            </w:tcBorders>
            <w:shd w:val="clear" w:color="auto" w:fill="FFFFFF"/>
            <w:tcMar>
              <w:top w:w="72" w:type="dxa"/>
              <w:left w:w="144" w:type="dxa"/>
              <w:bottom w:w="72" w:type="dxa"/>
              <w:right w:w="144" w:type="dxa"/>
            </w:tcMar>
            <w:vAlign w:val="center"/>
            <w:hideMark/>
          </w:tcPr>
          <w:p w14:paraId="6AEE7452"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b/>
                <w:bCs/>
                <w:sz w:val="16"/>
                <w:szCs w:val="16"/>
                <w:lang w:eastAsia="de-DE"/>
              </w:rPr>
              <w:t>42,</w:t>
            </w:r>
            <w:r w:rsidR="00F14BF3" w:rsidRPr="00971822">
              <w:rPr>
                <w:rFonts w:eastAsia="SimSun" w:cs="Times New Roman"/>
                <w:b/>
                <w:bCs/>
                <w:sz w:val="16"/>
                <w:szCs w:val="16"/>
                <w:lang w:eastAsia="de-DE"/>
              </w:rPr>
              <w:t>9</w:t>
            </w:r>
          </w:p>
        </w:tc>
      </w:tr>
      <w:tr w:rsidR="00F14BF3" w:rsidRPr="00BC5DCC" w14:paraId="4FA91952" w14:textId="77777777" w:rsidTr="00351A0E">
        <w:trPr>
          <w:trHeight w:val="20"/>
          <w:jc w:val="center"/>
        </w:trPr>
        <w:tc>
          <w:tcPr>
            <w:tcW w:w="711"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3C0DB4F5" w14:textId="77777777" w:rsidR="00F14BF3"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4</w:t>
            </w:r>
          </w:p>
          <w:p w14:paraId="74E40027" w14:textId="77777777" w:rsidR="00066733" w:rsidRPr="00971822" w:rsidRDefault="0006673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PEA 07</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28" w:type="dxa"/>
              <w:left w:w="37" w:type="dxa"/>
              <w:bottom w:w="28" w:type="dxa"/>
              <w:right w:w="37" w:type="dxa"/>
            </w:tcMar>
            <w:vAlign w:val="center"/>
            <w:hideMark/>
          </w:tcPr>
          <w:p w14:paraId="69E6E09C" w14:textId="77777777" w:rsidR="00F14BF3" w:rsidRPr="00971822" w:rsidRDefault="00F14BF3" w:rsidP="00F14BF3">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DCM</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5943B808" w14:textId="77777777" w:rsidR="00F14BF3" w:rsidRPr="00971822"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Doppelemulsion</w:t>
            </w:r>
            <w:r w:rsidR="00D75AC7">
              <w:rPr>
                <w:rFonts w:eastAsia="SimSun" w:cs="Times New Roman"/>
                <w:sz w:val="16"/>
                <w:szCs w:val="16"/>
                <w:lang w:eastAsia="de-DE"/>
              </w:rPr>
              <w:t xml:space="preserve"> /</w:t>
            </w:r>
          </w:p>
          <w:p w14:paraId="15F7F24F" w14:textId="77777777" w:rsidR="00F14BF3" w:rsidRPr="00971822" w:rsidRDefault="00F14BF3" w:rsidP="00066733">
            <w:pPr>
              <w:spacing w:after="0" w:line="240" w:lineRule="auto"/>
              <w:jc w:val="center"/>
              <w:rPr>
                <w:rFonts w:eastAsia="SimSun" w:cs="Times New Roman"/>
                <w:sz w:val="16"/>
                <w:szCs w:val="16"/>
                <w:lang w:eastAsia="de-DE"/>
              </w:rPr>
            </w:pPr>
            <w:r>
              <w:rPr>
                <w:rFonts w:eastAsia="SimSun" w:cs="Times New Roman"/>
                <w:sz w:val="16"/>
                <w:szCs w:val="16"/>
                <w:lang w:eastAsia="de-DE"/>
              </w:rPr>
              <w:t>PBS</w:t>
            </w:r>
            <w:r w:rsidR="00D75AC7">
              <w:rPr>
                <w:rFonts w:eastAsia="SimSun" w:cs="Times New Roman"/>
                <w:sz w:val="16"/>
                <w:szCs w:val="16"/>
                <w:lang w:eastAsia="de-DE"/>
              </w:rPr>
              <w:t xml:space="preserve"> pH 3,</w:t>
            </w:r>
            <w:r w:rsidRPr="00971822">
              <w:rPr>
                <w:rFonts w:eastAsia="SimSun" w:cs="Times New Roman"/>
                <w:sz w:val="16"/>
                <w:szCs w:val="16"/>
                <w:lang w:eastAsia="de-DE"/>
              </w:rPr>
              <w:t>5</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64178DA6"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2,</w:t>
            </w:r>
            <w:r w:rsidR="00F14BF3" w:rsidRPr="00971822">
              <w:rPr>
                <w:rFonts w:eastAsia="SimSun" w:cs="Times New Roman"/>
                <w:sz w:val="16"/>
                <w:szCs w:val="16"/>
                <w:lang w:eastAsia="de-DE"/>
              </w:rPr>
              <w:t>5% Pluronic F68</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76A2080C" w14:textId="77777777" w:rsidR="00F14BF3" w:rsidRPr="00971822" w:rsidRDefault="00F14BF3" w:rsidP="00F14BF3">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74 nm (3%)</w:t>
            </w:r>
          </w:p>
          <w:p w14:paraId="411BA008" w14:textId="77777777" w:rsidR="00F14BF3" w:rsidRPr="00971822" w:rsidRDefault="00F14BF3" w:rsidP="00F14BF3">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230 nm (27%)</w:t>
            </w:r>
          </w:p>
          <w:p w14:paraId="5BD72D7E" w14:textId="77777777" w:rsidR="00F14BF3" w:rsidRPr="00971822" w:rsidRDefault="00F14BF3" w:rsidP="00F14BF3">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1450 nm (70%)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68F92BC3" w14:textId="77777777" w:rsidR="00F14BF3" w:rsidRPr="00971822"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na.</w:t>
            </w:r>
          </w:p>
        </w:tc>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10D4BF" w14:textId="77777777" w:rsidR="00F14BF3" w:rsidRPr="00971822" w:rsidRDefault="00F14BF3" w:rsidP="00F14BF3">
            <w:pPr>
              <w:spacing w:after="0" w:line="240" w:lineRule="auto"/>
              <w:jc w:val="center"/>
              <w:rPr>
                <w:rFonts w:eastAsia="SimSun" w:cs="Times New Roman"/>
                <w:b/>
                <w:bCs/>
                <w:sz w:val="16"/>
                <w:szCs w:val="16"/>
                <w:lang w:eastAsia="de-DE"/>
              </w:rPr>
            </w:pPr>
            <w:r w:rsidRPr="00971822">
              <w:rPr>
                <w:rFonts w:cs="Times New Roman"/>
                <w:sz w:val="16"/>
                <w:szCs w:val="16"/>
              </w:rPr>
              <w:t>--</w:t>
            </w:r>
          </w:p>
        </w:tc>
        <w:tc>
          <w:tcPr>
            <w:tcW w:w="1134" w:type="dxa"/>
            <w:tcBorders>
              <w:top w:val="single" w:sz="4" w:space="0" w:color="000000"/>
              <w:left w:val="single" w:sz="4" w:space="0" w:color="000000"/>
              <w:bottom w:val="single" w:sz="4" w:space="0" w:color="000000"/>
              <w:right w:val="single" w:sz="8" w:space="0" w:color="000000"/>
            </w:tcBorders>
            <w:shd w:val="clear" w:color="auto" w:fill="FFFFFF"/>
            <w:tcMar>
              <w:top w:w="72" w:type="dxa"/>
              <w:left w:w="144" w:type="dxa"/>
              <w:bottom w:w="72" w:type="dxa"/>
              <w:right w:w="144" w:type="dxa"/>
            </w:tcMar>
            <w:vAlign w:val="center"/>
            <w:hideMark/>
          </w:tcPr>
          <w:p w14:paraId="32BE755C" w14:textId="77777777" w:rsidR="00F14BF3" w:rsidRPr="00971822" w:rsidRDefault="00F14BF3" w:rsidP="00F14BF3">
            <w:pPr>
              <w:spacing w:after="0" w:line="240" w:lineRule="auto"/>
              <w:jc w:val="center"/>
              <w:rPr>
                <w:rFonts w:eastAsia="SimSun" w:cs="Times New Roman"/>
                <w:sz w:val="16"/>
                <w:szCs w:val="16"/>
                <w:lang w:eastAsia="de-DE"/>
              </w:rPr>
            </w:pPr>
            <w:r w:rsidRPr="00971822">
              <w:rPr>
                <w:rFonts w:eastAsia="SimSun" w:cs="Times New Roman"/>
                <w:b/>
                <w:bCs/>
                <w:sz w:val="16"/>
                <w:szCs w:val="16"/>
                <w:lang w:eastAsia="de-DE"/>
              </w:rPr>
              <w:t>--</w:t>
            </w:r>
          </w:p>
        </w:tc>
      </w:tr>
      <w:tr w:rsidR="00F14BF3" w:rsidRPr="00BC5DCC" w14:paraId="7092F9B6" w14:textId="77777777" w:rsidTr="00351A0E">
        <w:trPr>
          <w:trHeight w:val="20"/>
          <w:jc w:val="center"/>
        </w:trPr>
        <w:tc>
          <w:tcPr>
            <w:tcW w:w="711"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253D42E5" w14:textId="77777777" w:rsidR="00F14BF3"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5</w:t>
            </w:r>
          </w:p>
          <w:p w14:paraId="3A3C1871" w14:textId="77777777" w:rsidR="00066733" w:rsidRPr="00971822" w:rsidRDefault="0006673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PEA 07</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2E828B4E" w14:textId="77777777" w:rsidR="00F14BF3" w:rsidRPr="00971822" w:rsidRDefault="00F14BF3" w:rsidP="00F14BF3">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DCM</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61270A86" w14:textId="77777777" w:rsidR="00F14BF3" w:rsidRPr="00971822"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Doppelemulsion</w:t>
            </w:r>
            <w:r w:rsidR="00D75AC7">
              <w:rPr>
                <w:rFonts w:eastAsia="SimSun" w:cs="Times New Roman"/>
                <w:sz w:val="16"/>
                <w:szCs w:val="16"/>
                <w:lang w:eastAsia="de-DE"/>
              </w:rPr>
              <w:t xml:space="preserve"> /</w:t>
            </w:r>
          </w:p>
          <w:p w14:paraId="31CB92B1" w14:textId="77777777" w:rsidR="00F14BF3" w:rsidRPr="00971822" w:rsidRDefault="00F14BF3" w:rsidP="00066733">
            <w:pPr>
              <w:spacing w:after="0" w:line="240" w:lineRule="auto"/>
              <w:jc w:val="center"/>
              <w:rPr>
                <w:rFonts w:eastAsia="SimSun" w:cs="Times New Roman"/>
                <w:sz w:val="16"/>
                <w:szCs w:val="16"/>
                <w:lang w:eastAsia="de-DE"/>
              </w:rPr>
            </w:pPr>
            <w:r>
              <w:rPr>
                <w:rFonts w:eastAsia="SimSun" w:cs="Times New Roman"/>
                <w:sz w:val="16"/>
                <w:szCs w:val="16"/>
                <w:lang w:eastAsia="de-DE"/>
              </w:rPr>
              <w:t>PBS</w:t>
            </w:r>
            <w:r w:rsidR="00D75AC7">
              <w:rPr>
                <w:rFonts w:eastAsia="SimSun" w:cs="Times New Roman"/>
                <w:sz w:val="16"/>
                <w:szCs w:val="16"/>
                <w:lang w:eastAsia="de-DE"/>
              </w:rPr>
              <w:t xml:space="preserve"> pH 3,</w:t>
            </w:r>
            <w:r w:rsidRPr="00971822">
              <w:rPr>
                <w:rFonts w:eastAsia="SimSun" w:cs="Times New Roman"/>
                <w:sz w:val="16"/>
                <w:szCs w:val="16"/>
                <w:lang w:eastAsia="de-DE"/>
              </w:rPr>
              <w:t>0</w:t>
            </w:r>
            <w:r w:rsidR="00D75AC7">
              <w:rPr>
                <w:rFonts w:eastAsia="SimSun" w:cs="Times New Roman"/>
                <w:sz w:val="16"/>
                <w:szCs w:val="16"/>
                <w:lang w:eastAsia="de-DE"/>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69C76C3C" w14:textId="77777777" w:rsidR="00F14BF3" w:rsidRPr="00971822" w:rsidRDefault="00F14BF3" w:rsidP="00F14BF3">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0</w:t>
            </w:r>
            <w:r w:rsidR="00D75AC7">
              <w:rPr>
                <w:rFonts w:eastAsia="SimSun" w:cs="Times New Roman"/>
                <w:sz w:val="16"/>
                <w:szCs w:val="16"/>
                <w:lang w:eastAsia="de-DE"/>
              </w:rPr>
              <w:t>,</w:t>
            </w:r>
            <w:r w:rsidRPr="00971822">
              <w:rPr>
                <w:rFonts w:eastAsia="SimSun" w:cs="Times New Roman"/>
                <w:sz w:val="16"/>
                <w:szCs w:val="16"/>
                <w:lang w:eastAsia="de-DE"/>
              </w:rPr>
              <w:t>8</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22903522"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2200 nm / 0,</w:t>
            </w:r>
            <w:r w:rsidR="00F14BF3" w:rsidRPr="00971822">
              <w:rPr>
                <w:rFonts w:eastAsia="SimSun" w:cs="Times New Roman"/>
                <w:sz w:val="16"/>
                <w:szCs w:val="16"/>
                <w:lang w:eastAsia="de-DE"/>
              </w:rPr>
              <w:t>253</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11530C15"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2700 nm / 0,</w:t>
            </w:r>
            <w:r w:rsidR="00F14BF3" w:rsidRPr="00971822">
              <w:rPr>
                <w:rFonts w:eastAsia="SimSun" w:cs="Times New Roman"/>
                <w:sz w:val="16"/>
                <w:szCs w:val="16"/>
                <w:lang w:eastAsia="de-DE"/>
              </w:rPr>
              <w:t>331</w:t>
            </w:r>
          </w:p>
        </w:tc>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0333FB" w14:textId="77777777" w:rsidR="00F14BF3" w:rsidRPr="00971822" w:rsidRDefault="00D75AC7" w:rsidP="00F14BF3">
            <w:pPr>
              <w:spacing w:after="0" w:line="240" w:lineRule="auto"/>
              <w:jc w:val="center"/>
              <w:rPr>
                <w:rFonts w:eastAsia="SimSun" w:cs="Times New Roman"/>
                <w:b/>
                <w:bCs/>
                <w:sz w:val="16"/>
                <w:szCs w:val="16"/>
                <w:lang w:eastAsia="de-DE"/>
              </w:rPr>
            </w:pPr>
            <w:r>
              <w:rPr>
                <w:rFonts w:cs="Times New Roman"/>
                <w:sz w:val="16"/>
                <w:szCs w:val="16"/>
              </w:rPr>
              <w:t>2,</w:t>
            </w:r>
            <w:r w:rsidR="00F14BF3" w:rsidRPr="00971822">
              <w:rPr>
                <w:rFonts w:cs="Times New Roman"/>
                <w:sz w:val="16"/>
                <w:szCs w:val="16"/>
              </w:rPr>
              <w:t>6</w:t>
            </w:r>
          </w:p>
        </w:tc>
        <w:tc>
          <w:tcPr>
            <w:tcW w:w="1134" w:type="dxa"/>
            <w:tcBorders>
              <w:top w:val="single" w:sz="4" w:space="0" w:color="000000"/>
              <w:left w:val="single" w:sz="4" w:space="0" w:color="000000"/>
              <w:bottom w:val="single" w:sz="4" w:space="0" w:color="000000"/>
              <w:right w:val="single" w:sz="8" w:space="0" w:color="000000"/>
            </w:tcBorders>
            <w:shd w:val="clear" w:color="auto" w:fill="FFFFFF"/>
            <w:tcMar>
              <w:top w:w="72" w:type="dxa"/>
              <w:left w:w="144" w:type="dxa"/>
              <w:bottom w:w="72" w:type="dxa"/>
              <w:right w:w="144" w:type="dxa"/>
            </w:tcMar>
            <w:vAlign w:val="center"/>
            <w:hideMark/>
          </w:tcPr>
          <w:p w14:paraId="27EE006C"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b/>
                <w:bCs/>
                <w:sz w:val="16"/>
                <w:szCs w:val="16"/>
                <w:lang w:eastAsia="de-DE"/>
              </w:rPr>
              <w:t>20,</w:t>
            </w:r>
            <w:r w:rsidR="00F14BF3" w:rsidRPr="00971822">
              <w:rPr>
                <w:rFonts w:eastAsia="SimSun" w:cs="Times New Roman"/>
                <w:b/>
                <w:bCs/>
                <w:sz w:val="16"/>
                <w:szCs w:val="16"/>
                <w:lang w:eastAsia="de-DE"/>
              </w:rPr>
              <w:t>1</w:t>
            </w:r>
          </w:p>
        </w:tc>
      </w:tr>
      <w:tr w:rsidR="00F14BF3" w:rsidRPr="00BC5DCC" w14:paraId="4715AC2B" w14:textId="77777777" w:rsidTr="00351A0E">
        <w:trPr>
          <w:trHeight w:val="20"/>
          <w:jc w:val="center"/>
        </w:trPr>
        <w:tc>
          <w:tcPr>
            <w:tcW w:w="711"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5182AA16" w14:textId="77777777" w:rsidR="00F14BF3"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6</w:t>
            </w:r>
          </w:p>
          <w:p w14:paraId="1CC3E849" w14:textId="77777777" w:rsidR="00066733" w:rsidRPr="00971822" w:rsidRDefault="0006673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PEA 07</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28" w:type="dxa"/>
              <w:left w:w="37" w:type="dxa"/>
              <w:bottom w:w="28" w:type="dxa"/>
              <w:right w:w="37" w:type="dxa"/>
            </w:tcMar>
            <w:vAlign w:val="center"/>
            <w:hideMark/>
          </w:tcPr>
          <w:p w14:paraId="22B2E747" w14:textId="77777777" w:rsidR="00F14BF3" w:rsidRPr="00971822" w:rsidRDefault="00F14BF3" w:rsidP="00F14BF3">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DCM</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445F4F75" w14:textId="77777777" w:rsidR="00F14BF3" w:rsidRPr="00971822" w:rsidRDefault="00F14BF3" w:rsidP="00066733">
            <w:pPr>
              <w:spacing w:after="0" w:line="240" w:lineRule="auto"/>
              <w:jc w:val="center"/>
              <w:rPr>
                <w:rFonts w:eastAsia="SimSun" w:cs="Times New Roman"/>
                <w:sz w:val="16"/>
                <w:szCs w:val="16"/>
                <w:lang w:eastAsia="de-DE"/>
              </w:rPr>
            </w:pPr>
            <w:r>
              <w:rPr>
                <w:rFonts w:eastAsia="SimSun" w:cs="Times New Roman"/>
                <w:sz w:val="16"/>
                <w:szCs w:val="16"/>
                <w:lang w:eastAsia="de-DE"/>
              </w:rPr>
              <w:t>Doppelemulsio</w:t>
            </w:r>
            <w:r w:rsidR="00D75AC7">
              <w:rPr>
                <w:rFonts w:eastAsia="SimSun" w:cs="Times New Roman"/>
                <w:sz w:val="16"/>
                <w:szCs w:val="16"/>
                <w:lang w:eastAsia="de-DE"/>
              </w:rPr>
              <w:t>n /</w:t>
            </w:r>
            <w:r>
              <w:rPr>
                <w:rFonts w:eastAsia="SimSun" w:cs="Times New Roman"/>
                <w:sz w:val="16"/>
                <w:szCs w:val="16"/>
                <w:lang w:eastAsia="de-DE"/>
              </w:rPr>
              <w:t xml:space="preserve"> Wasser pH 7,</w:t>
            </w:r>
            <w:r w:rsidRPr="00971822">
              <w:rPr>
                <w:rFonts w:eastAsia="SimSun" w:cs="Times New Roman"/>
                <w:sz w:val="16"/>
                <w:szCs w:val="16"/>
                <w:lang w:eastAsia="de-DE"/>
              </w:rPr>
              <w:t>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17780BFB"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1,</w:t>
            </w:r>
            <w:r w:rsidR="00F14BF3" w:rsidRPr="00971822">
              <w:rPr>
                <w:rFonts w:eastAsia="SimSun" w:cs="Times New Roman"/>
                <w:sz w:val="16"/>
                <w:szCs w:val="16"/>
                <w:lang w:eastAsia="de-DE"/>
              </w:rPr>
              <w:t>0</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737052CE" w14:textId="77777777" w:rsidR="00F14BF3" w:rsidRPr="00971822" w:rsidRDefault="00F14BF3" w:rsidP="00F14BF3">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162 nm (13%)            2000 nm (87%)</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372592A3"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2210 nm / 0,</w:t>
            </w:r>
            <w:r w:rsidR="00F14BF3" w:rsidRPr="00971822">
              <w:rPr>
                <w:rFonts w:eastAsia="SimSun" w:cs="Times New Roman"/>
                <w:sz w:val="16"/>
                <w:szCs w:val="16"/>
                <w:lang w:eastAsia="de-DE"/>
              </w:rPr>
              <w:t>206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773CF9" w14:textId="77777777" w:rsidR="00F14BF3" w:rsidRPr="00971822" w:rsidRDefault="00D75AC7" w:rsidP="00F14BF3">
            <w:pPr>
              <w:spacing w:after="0" w:line="240" w:lineRule="auto"/>
              <w:jc w:val="center"/>
              <w:rPr>
                <w:rFonts w:eastAsia="SimSun" w:cs="Times New Roman"/>
                <w:b/>
                <w:bCs/>
                <w:sz w:val="16"/>
                <w:szCs w:val="16"/>
                <w:lang w:eastAsia="de-DE"/>
              </w:rPr>
            </w:pPr>
            <w:r>
              <w:rPr>
                <w:rFonts w:cs="Times New Roman"/>
                <w:sz w:val="16"/>
                <w:szCs w:val="16"/>
              </w:rPr>
              <w:t>4,</w:t>
            </w:r>
            <w:r w:rsidR="00F14BF3" w:rsidRPr="00971822">
              <w:rPr>
                <w:rFonts w:cs="Times New Roman"/>
                <w:sz w:val="16"/>
                <w:szCs w:val="16"/>
              </w:rPr>
              <w:t>5</w:t>
            </w:r>
          </w:p>
        </w:tc>
        <w:tc>
          <w:tcPr>
            <w:tcW w:w="1134" w:type="dxa"/>
            <w:tcBorders>
              <w:top w:val="single" w:sz="4" w:space="0" w:color="000000"/>
              <w:left w:val="single" w:sz="4" w:space="0" w:color="000000"/>
              <w:bottom w:val="single" w:sz="4" w:space="0" w:color="000000"/>
              <w:right w:val="single" w:sz="8" w:space="0" w:color="000000"/>
            </w:tcBorders>
            <w:shd w:val="clear" w:color="auto" w:fill="FFFFFF"/>
            <w:tcMar>
              <w:top w:w="72" w:type="dxa"/>
              <w:left w:w="144" w:type="dxa"/>
              <w:bottom w:w="72" w:type="dxa"/>
              <w:right w:w="144" w:type="dxa"/>
            </w:tcMar>
            <w:vAlign w:val="center"/>
            <w:hideMark/>
          </w:tcPr>
          <w:p w14:paraId="746AFA6A"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b/>
                <w:bCs/>
                <w:sz w:val="16"/>
                <w:szCs w:val="16"/>
                <w:lang w:eastAsia="de-DE"/>
              </w:rPr>
              <w:t>32,</w:t>
            </w:r>
            <w:r w:rsidR="00F14BF3" w:rsidRPr="00971822">
              <w:rPr>
                <w:rFonts w:eastAsia="SimSun" w:cs="Times New Roman"/>
                <w:b/>
                <w:bCs/>
                <w:sz w:val="16"/>
                <w:szCs w:val="16"/>
                <w:lang w:eastAsia="de-DE"/>
              </w:rPr>
              <w:t>6</w:t>
            </w:r>
          </w:p>
        </w:tc>
      </w:tr>
      <w:tr w:rsidR="00F14BF3" w:rsidRPr="00BC5DCC" w14:paraId="3CDA9488" w14:textId="77777777" w:rsidTr="00351A0E">
        <w:trPr>
          <w:trHeight w:val="20"/>
          <w:jc w:val="center"/>
        </w:trPr>
        <w:tc>
          <w:tcPr>
            <w:tcW w:w="711"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257ACA9C" w14:textId="77777777" w:rsidR="00F14BF3"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7</w:t>
            </w:r>
          </w:p>
          <w:p w14:paraId="72BB861B" w14:textId="77777777" w:rsidR="00066733" w:rsidRPr="00971822" w:rsidRDefault="0006673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PEA 07</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28" w:type="dxa"/>
              <w:left w:w="37" w:type="dxa"/>
              <w:bottom w:w="28" w:type="dxa"/>
              <w:right w:w="37" w:type="dxa"/>
            </w:tcMar>
            <w:vAlign w:val="center"/>
            <w:hideMark/>
          </w:tcPr>
          <w:p w14:paraId="1F14A5EF" w14:textId="77777777" w:rsidR="00F14BF3" w:rsidRPr="00971822" w:rsidRDefault="00F14BF3" w:rsidP="00F14BF3">
            <w:pPr>
              <w:spacing w:after="0" w:line="240" w:lineRule="auto"/>
              <w:jc w:val="center"/>
              <w:rPr>
                <w:rFonts w:eastAsia="SimSun" w:cs="Times New Roman"/>
                <w:sz w:val="16"/>
                <w:szCs w:val="16"/>
                <w:lang w:eastAsia="de-DE"/>
              </w:rPr>
            </w:pPr>
            <w:r w:rsidRPr="00971822">
              <w:rPr>
                <w:rFonts w:eastAsia="SimSun" w:cs="Times New Roman"/>
                <w:sz w:val="16"/>
                <w:szCs w:val="16"/>
                <w:lang w:eastAsia="de-DE"/>
              </w:rPr>
              <w:t>Aceton</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762E797E" w14:textId="77777777" w:rsidR="00F14BF3"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Nanopräzipitation</w:t>
            </w:r>
            <w:r w:rsidR="00D75AC7">
              <w:rPr>
                <w:rFonts w:eastAsia="SimSun" w:cs="Times New Roman"/>
                <w:sz w:val="16"/>
                <w:szCs w:val="16"/>
                <w:lang w:eastAsia="de-DE"/>
              </w:rPr>
              <w:t xml:space="preserve"> /</w:t>
            </w:r>
          </w:p>
          <w:p w14:paraId="6FF7D566" w14:textId="77777777" w:rsidR="00F14BF3" w:rsidRPr="00971822" w:rsidRDefault="00F14BF3" w:rsidP="00066733">
            <w:pPr>
              <w:spacing w:after="0" w:line="240" w:lineRule="auto"/>
              <w:jc w:val="center"/>
              <w:rPr>
                <w:rFonts w:eastAsia="SimSun" w:cs="Times New Roman"/>
                <w:sz w:val="16"/>
                <w:szCs w:val="16"/>
                <w:lang w:eastAsia="de-DE"/>
              </w:rPr>
            </w:pPr>
            <w:r>
              <w:rPr>
                <w:rFonts w:eastAsia="SimSun" w:cs="Times New Roman"/>
                <w:sz w:val="16"/>
                <w:szCs w:val="16"/>
                <w:lang w:eastAsia="de-DE"/>
              </w:rPr>
              <w:t>Wasser pH 7,0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11C2A95C"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1,</w:t>
            </w:r>
            <w:r w:rsidR="00F14BF3" w:rsidRPr="00971822">
              <w:rPr>
                <w:rFonts w:eastAsia="SimSun" w:cs="Times New Roman"/>
                <w:sz w:val="16"/>
                <w:szCs w:val="16"/>
                <w:lang w:eastAsia="de-DE"/>
              </w:rPr>
              <w:t>0</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73E7F946"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225 nm / 0,</w:t>
            </w:r>
            <w:r w:rsidR="00F14BF3" w:rsidRPr="00971822">
              <w:rPr>
                <w:rFonts w:eastAsia="SimSun" w:cs="Times New Roman"/>
                <w:sz w:val="16"/>
                <w:szCs w:val="16"/>
                <w:lang w:eastAsia="de-DE"/>
              </w:rPr>
              <w:t>007</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hideMark/>
          </w:tcPr>
          <w:p w14:paraId="2552DDE1"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164 nm / 0,</w:t>
            </w:r>
            <w:r w:rsidR="00F14BF3" w:rsidRPr="00971822">
              <w:rPr>
                <w:rFonts w:eastAsia="SimSun" w:cs="Times New Roman"/>
                <w:sz w:val="16"/>
                <w:szCs w:val="16"/>
                <w:lang w:eastAsia="de-DE"/>
              </w:rPr>
              <w:t>073</w:t>
            </w:r>
          </w:p>
        </w:tc>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16C67E" w14:textId="77777777" w:rsidR="00F14BF3" w:rsidRPr="00971822" w:rsidRDefault="00F14BF3" w:rsidP="00F14BF3">
            <w:pPr>
              <w:spacing w:after="0" w:line="240" w:lineRule="auto"/>
              <w:jc w:val="center"/>
              <w:rPr>
                <w:rFonts w:eastAsia="SimSun" w:cs="Times New Roman"/>
                <w:b/>
                <w:bCs/>
                <w:sz w:val="16"/>
                <w:szCs w:val="16"/>
                <w:lang w:eastAsia="de-DE"/>
              </w:rPr>
            </w:pPr>
            <w:r w:rsidRPr="00971822">
              <w:rPr>
                <w:rFonts w:cs="Times New Roman"/>
                <w:sz w:val="16"/>
                <w:szCs w:val="16"/>
              </w:rPr>
              <w:t>--</w:t>
            </w:r>
          </w:p>
        </w:tc>
        <w:tc>
          <w:tcPr>
            <w:tcW w:w="1134" w:type="dxa"/>
            <w:tcBorders>
              <w:top w:val="single" w:sz="4" w:space="0" w:color="000000"/>
              <w:left w:val="single" w:sz="4" w:space="0" w:color="000000"/>
              <w:bottom w:val="single" w:sz="4" w:space="0" w:color="000000"/>
              <w:right w:val="single" w:sz="8" w:space="0" w:color="000000"/>
            </w:tcBorders>
            <w:shd w:val="clear" w:color="auto" w:fill="FFFFFF"/>
            <w:tcMar>
              <w:top w:w="72" w:type="dxa"/>
              <w:left w:w="144" w:type="dxa"/>
              <w:bottom w:w="72" w:type="dxa"/>
              <w:right w:w="144" w:type="dxa"/>
            </w:tcMar>
            <w:vAlign w:val="center"/>
            <w:hideMark/>
          </w:tcPr>
          <w:p w14:paraId="3FC9D419" w14:textId="77777777" w:rsidR="00F14BF3" w:rsidRPr="00971822" w:rsidRDefault="00F14BF3" w:rsidP="00F14BF3">
            <w:pPr>
              <w:spacing w:after="0" w:line="240" w:lineRule="auto"/>
              <w:jc w:val="center"/>
              <w:rPr>
                <w:rFonts w:eastAsia="SimSun" w:cs="Times New Roman"/>
                <w:sz w:val="16"/>
                <w:szCs w:val="16"/>
                <w:lang w:eastAsia="de-DE"/>
              </w:rPr>
            </w:pPr>
            <w:r w:rsidRPr="00971822">
              <w:rPr>
                <w:rFonts w:eastAsia="SimSun" w:cs="Times New Roman"/>
                <w:b/>
                <w:bCs/>
                <w:sz w:val="16"/>
                <w:szCs w:val="16"/>
                <w:lang w:eastAsia="de-DE"/>
              </w:rPr>
              <w:t>--</w:t>
            </w:r>
          </w:p>
        </w:tc>
      </w:tr>
      <w:tr w:rsidR="00F14BF3" w:rsidRPr="00BC5DCC" w14:paraId="5E12B200" w14:textId="77777777" w:rsidTr="00351A0E">
        <w:trPr>
          <w:trHeight w:val="20"/>
          <w:jc w:val="center"/>
        </w:trPr>
        <w:tc>
          <w:tcPr>
            <w:tcW w:w="711"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2880E9E4" w14:textId="77777777" w:rsidR="00F14BF3"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8</w:t>
            </w:r>
          </w:p>
          <w:p w14:paraId="7499AA6A" w14:textId="77777777" w:rsidR="00066733" w:rsidRPr="00D403D0" w:rsidRDefault="0006673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PEA 09</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28" w:type="dxa"/>
              <w:left w:w="37" w:type="dxa"/>
              <w:bottom w:w="28" w:type="dxa"/>
              <w:right w:w="37" w:type="dxa"/>
            </w:tcMar>
            <w:vAlign w:val="center"/>
          </w:tcPr>
          <w:p w14:paraId="462B9580" w14:textId="77777777" w:rsidR="00F14BF3" w:rsidRPr="00971822" w:rsidRDefault="00F14BF3" w:rsidP="00F14BF3">
            <w:pPr>
              <w:spacing w:after="0" w:line="240" w:lineRule="auto"/>
              <w:jc w:val="center"/>
              <w:rPr>
                <w:rFonts w:eastAsia="SimSun" w:cs="Times New Roman"/>
                <w:sz w:val="16"/>
                <w:szCs w:val="16"/>
                <w:lang w:eastAsia="de-DE"/>
              </w:rPr>
            </w:pPr>
            <w:r w:rsidRPr="00D403D0">
              <w:rPr>
                <w:rFonts w:eastAsia="SimSun" w:cs="Times New Roman"/>
                <w:sz w:val="16"/>
                <w:szCs w:val="16"/>
                <w:lang w:eastAsia="de-DE"/>
              </w:rPr>
              <w:t>3T EtAc : 1T DCM</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tcPr>
          <w:p w14:paraId="1113260C" w14:textId="77777777" w:rsidR="00F14BF3"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Doppelemulsion</w:t>
            </w:r>
            <w:r w:rsidR="00D75AC7">
              <w:rPr>
                <w:rFonts w:eastAsia="SimSun" w:cs="Times New Roman"/>
                <w:sz w:val="16"/>
                <w:szCs w:val="16"/>
                <w:lang w:eastAsia="de-DE"/>
              </w:rPr>
              <w:t xml:space="preserve"> /</w:t>
            </w:r>
          </w:p>
          <w:p w14:paraId="26A745F8" w14:textId="77777777" w:rsidR="00F14BF3" w:rsidRPr="00971822" w:rsidRDefault="00F14BF3" w:rsidP="00066733">
            <w:pPr>
              <w:spacing w:after="0" w:line="240" w:lineRule="auto"/>
              <w:jc w:val="center"/>
              <w:rPr>
                <w:rFonts w:eastAsia="SimSun" w:cs="Times New Roman"/>
                <w:sz w:val="16"/>
                <w:szCs w:val="16"/>
                <w:lang w:eastAsia="de-DE"/>
              </w:rPr>
            </w:pPr>
            <w:r>
              <w:rPr>
                <w:rFonts w:eastAsia="SimSun" w:cs="Times New Roman"/>
                <w:sz w:val="16"/>
                <w:szCs w:val="16"/>
                <w:lang w:eastAsia="de-DE"/>
              </w:rPr>
              <w:t>Wasser pH 7,0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tcPr>
          <w:p w14:paraId="7A3409FD" w14:textId="77777777" w:rsidR="00F14BF3" w:rsidRPr="00971822"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0,8</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tcPr>
          <w:p w14:paraId="39703961" w14:textId="77777777" w:rsidR="00F14BF3" w:rsidRPr="00971822"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392 nm / 0,150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tcPr>
          <w:p w14:paraId="21560B7E" w14:textId="77777777" w:rsidR="00F14BF3" w:rsidRPr="00971822"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509 nm / 0,370</w:t>
            </w:r>
          </w:p>
        </w:tc>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039EA9" w14:textId="77777777" w:rsidR="00F14BF3" w:rsidRPr="00971822" w:rsidRDefault="00F14BF3" w:rsidP="00F14BF3">
            <w:pPr>
              <w:spacing w:after="0" w:line="240" w:lineRule="auto"/>
              <w:jc w:val="center"/>
              <w:rPr>
                <w:rFonts w:cs="Times New Roman"/>
                <w:sz w:val="16"/>
                <w:szCs w:val="16"/>
              </w:rPr>
            </w:pPr>
            <w:r>
              <w:rPr>
                <w:rFonts w:cs="Times New Roman"/>
                <w:sz w:val="16"/>
                <w:szCs w:val="16"/>
              </w:rPr>
              <w:t>1,8</w:t>
            </w:r>
          </w:p>
        </w:tc>
        <w:tc>
          <w:tcPr>
            <w:tcW w:w="1134" w:type="dxa"/>
            <w:tcBorders>
              <w:top w:val="single" w:sz="4" w:space="0" w:color="000000"/>
              <w:left w:val="single" w:sz="4" w:space="0" w:color="000000"/>
              <w:bottom w:val="single" w:sz="4" w:space="0" w:color="000000"/>
              <w:right w:val="single" w:sz="8" w:space="0" w:color="000000"/>
            </w:tcBorders>
            <w:shd w:val="clear" w:color="auto" w:fill="FFFFFF"/>
            <w:tcMar>
              <w:top w:w="72" w:type="dxa"/>
              <w:left w:w="144" w:type="dxa"/>
              <w:bottom w:w="72" w:type="dxa"/>
              <w:right w:w="144" w:type="dxa"/>
            </w:tcMar>
            <w:vAlign w:val="center"/>
          </w:tcPr>
          <w:p w14:paraId="0EEABAF3" w14:textId="77777777" w:rsidR="00F14BF3" w:rsidRPr="00971822" w:rsidRDefault="00F14BF3" w:rsidP="00F14BF3">
            <w:pPr>
              <w:spacing w:after="0" w:line="240" w:lineRule="auto"/>
              <w:jc w:val="center"/>
              <w:rPr>
                <w:rFonts w:eastAsia="SimSun" w:cs="Times New Roman"/>
                <w:b/>
                <w:bCs/>
                <w:sz w:val="16"/>
                <w:szCs w:val="16"/>
                <w:lang w:eastAsia="de-DE"/>
              </w:rPr>
            </w:pPr>
            <w:r>
              <w:rPr>
                <w:rFonts w:eastAsia="SimSun" w:cs="Times New Roman"/>
                <w:b/>
                <w:bCs/>
                <w:sz w:val="16"/>
                <w:szCs w:val="16"/>
                <w:lang w:eastAsia="de-DE"/>
              </w:rPr>
              <w:t>19,3</w:t>
            </w:r>
          </w:p>
        </w:tc>
      </w:tr>
      <w:tr w:rsidR="00F14BF3" w:rsidRPr="00BC5DCC" w14:paraId="3AACEEA8" w14:textId="77777777" w:rsidTr="00351A0E">
        <w:trPr>
          <w:trHeight w:val="20"/>
          <w:jc w:val="center"/>
        </w:trPr>
        <w:tc>
          <w:tcPr>
            <w:tcW w:w="711" w:type="dxa"/>
            <w:tcBorders>
              <w:top w:val="single" w:sz="4" w:space="0" w:color="000000"/>
              <w:left w:val="single" w:sz="8" w:space="0" w:color="000000"/>
              <w:bottom w:val="single" w:sz="4" w:space="0" w:color="000000"/>
              <w:right w:val="single" w:sz="4" w:space="0" w:color="000000"/>
            </w:tcBorders>
            <w:shd w:val="clear" w:color="auto" w:fill="FFFFFF"/>
            <w:vAlign w:val="center"/>
          </w:tcPr>
          <w:p w14:paraId="0E438CE9" w14:textId="77777777" w:rsidR="00F14BF3"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9</w:t>
            </w:r>
          </w:p>
          <w:p w14:paraId="50817121" w14:textId="77777777" w:rsidR="00066733" w:rsidRDefault="0006673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PEA 10</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28" w:type="dxa"/>
              <w:left w:w="37" w:type="dxa"/>
              <w:bottom w:w="28" w:type="dxa"/>
              <w:right w:w="37" w:type="dxa"/>
            </w:tcMar>
            <w:vAlign w:val="center"/>
          </w:tcPr>
          <w:p w14:paraId="10DDD875" w14:textId="77777777" w:rsidR="00F14BF3" w:rsidRPr="00971822"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2T EtAc : 1T DCM</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tcPr>
          <w:p w14:paraId="29C5AF56" w14:textId="77777777" w:rsidR="00F14BF3"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Doppelemulsion</w:t>
            </w:r>
            <w:r w:rsidR="00D75AC7">
              <w:rPr>
                <w:rFonts w:eastAsia="SimSun" w:cs="Times New Roman"/>
                <w:sz w:val="16"/>
                <w:szCs w:val="16"/>
                <w:lang w:eastAsia="de-DE"/>
              </w:rPr>
              <w:t xml:space="preserve"> /</w:t>
            </w:r>
          </w:p>
          <w:p w14:paraId="1FE43DE0" w14:textId="77777777" w:rsidR="00F14BF3" w:rsidRPr="00971822" w:rsidRDefault="00F14BF3" w:rsidP="00066733">
            <w:pPr>
              <w:spacing w:after="0" w:line="240" w:lineRule="auto"/>
              <w:jc w:val="center"/>
              <w:rPr>
                <w:rFonts w:eastAsia="SimSun" w:cs="Times New Roman"/>
                <w:sz w:val="16"/>
                <w:szCs w:val="16"/>
                <w:lang w:eastAsia="de-DE"/>
              </w:rPr>
            </w:pPr>
            <w:r>
              <w:rPr>
                <w:rFonts w:eastAsia="SimSun" w:cs="Times New Roman"/>
                <w:sz w:val="16"/>
                <w:szCs w:val="16"/>
                <w:lang w:eastAsia="de-DE"/>
              </w:rPr>
              <w:t>Wasser pH 7,0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tcPr>
          <w:p w14:paraId="122686BB" w14:textId="77777777" w:rsidR="00F14BF3" w:rsidRPr="00971822" w:rsidRDefault="00F14BF3"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0,8</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tcPr>
          <w:p w14:paraId="6B0B6AEE"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489 nm / 0,25</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72" w:type="dxa"/>
              <w:left w:w="144" w:type="dxa"/>
              <w:bottom w:w="72" w:type="dxa"/>
              <w:right w:w="144" w:type="dxa"/>
            </w:tcMar>
            <w:vAlign w:val="center"/>
          </w:tcPr>
          <w:p w14:paraId="301212BD" w14:textId="77777777" w:rsidR="00F14BF3" w:rsidRPr="00971822" w:rsidRDefault="00D75AC7"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607 nm / 0,326</w:t>
            </w:r>
          </w:p>
        </w:tc>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65B440" w14:textId="77777777" w:rsidR="00F14BF3" w:rsidRPr="00971822" w:rsidRDefault="00D75AC7" w:rsidP="00F14BF3">
            <w:pPr>
              <w:spacing w:after="0" w:line="240" w:lineRule="auto"/>
              <w:jc w:val="center"/>
              <w:rPr>
                <w:rFonts w:cs="Times New Roman"/>
                <w:sz w:val="16"/>
                <w:szCs w:val="16"/>
              </w:rPr>
            </w:pPr>
            <w:r>
              <w:rPr>
                <w:rFonts w:cs="Times New Roman"/>
                <w:sz w:val="16"/>
                <w:szCs w:val="16"/>
              </w:rPr>
              <w:t>1,7</w:t>
            </w:r>
          </w:p>
        </w:tc>
        <w:tc>
          <w:tcPr>
            <w:tcW w:w="1134" w:type="dxa"/>
            <w:tcBorders>
              <w:top w:val="single" w:sz="4" w:space="0" w:color="000000"/>
              <w:left w:val="single" w:sz="4" w:space="0" w:color="000000"/>
              <w:bottom w:val="single" w:sz="4" w:space="0" w:color="000000"/>
              <w:right w:val="single" w:sz="8" w:space="0" w:color="000000"/>
            </w:tcBorders>
            <w:shd w:val="clear" w:color="auto" w:fill="FFFFFF"/>
            <w:tcMar>
              <w:top w:w="72" w:type="dxa"/>
              <w:left w:w="144" w:type="dxa"/>
              <w:bottom w:w="72" w:type="dxa"/>
              <w:right w:w="144" w:type="dxa"/>
            </w:tcMar>
            <w:vAlign w:val="center"/>
          </w:tcPr>
          <w:p w14:paraId="18C0E20E" w14:textId="77777777" w:rsidR="00F14BF3" w:rsidRPr="00971822" w:rsidRDefault="00D75AC7" w:rsidP="00F14BF3">
            <w:pPr>
              <w:spacing w:after="0" w:line="240" w:lineRule="auto"/>
              <w:jc w:val="center"/>
              <w:rPr>
                <w:rFonts w:eastAsia="SimSun" w:cs="Times New Roman"/>
                <w:b/>
                <w:bCs/>
                <w:sz w:val="16"/>
                <w:szCs w:val="16"/>
                <w:lang w:eastAsia="de-DE"/>
              </w:rPr>
            </w:pPr>
            <w:r>
              <w:rPr>
                <w:rFonts w:eastAsia="SimSun" w:cs="Times New Roman"/>
                <w:b/>
                <w:bCs/>
                <w:sz w:val="16"/>
                <w:szCs w:val="16"/>
                <w:lang w:eastAsia="de-DE"/>
              </w:rPr>
              <w:t>11,8</w:t>
            </w:r>
          </w:p>
        </w:tc>
      </w:tr>
      <w:tr w:rsidR="00137F91" w:rsidRPr="00BC5DCC" w14:paraId="7635618D" w14:textId="77777777" w:rsidTr="00351A0E">
        <w:trPr>
          <w:trHeight w:val="20"/>
          <w:jc w:val="center"/>
        </w:trPr>
        <w:tc>
          <w:tcPr>
            <w:tcW w:w="711" w:type="dxa"/>
            <w:tcBorders>
              <w:top w:val="single" w:sz="4" w:space="0" w:color="000000"/>
              <w:left w:val="single" w:sz="8" w:space="0" w:color="000000"/>
              <w:bottom w:val="single" w:sz="8" w:space="0" w:color="000000"/>
              <w:right w:val="single" w:sz="4" w:space="0" w:color="000000"/>
            </w:tcBorders>
            <w:shd w:val="clear" w:color="auto" w:fill="FFFFFF"/>
            <w:vAlign w:val="center"/>
          </w:tcPr>
          <w:p w14:paraId="174C6605" w14:textId="77777777" w:rsidR="00137F91" w:rsidRDefault="00137F91"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10</w:t>
            </w:r>
          </w:p>
          <w:p w14:paraId="68F29020" w14:textId="77777777" w:rsidR="00137F91" w:rsidRDefault="00137F91"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PEA 10</w:t>
            </w:r>
          </w:p>
        </w:tc>
        <w:tc>
          <w:tcPr>
            <w:tcW w:w="993" w:type="dxa"/>
            <w:tcBorders>
              <w:top w:val="single" w:sz="4" w:space="0" w:color="000000"/>
              <w:left w:val="single" w:sz="4" w:space="0" w:color="000000"/>
              <w:bottom w:val="single" w:sz="8" w:space="0" w:color="000000"/>
              <w:right w:val="single" w:sz="4" w:space="0" w:color="000000"/>
            </w:tcBorders>
            <w:shd w:val="clear" w:color="auto" w:fill="FFFFFF"/>
            <w:tcMar>
              <w:top w:w="28" w:type="dxa"/>
              <w:left w:w="37" w:type="dxa"/>
              <w:bottom w:w="28" w:type="dxa"/>
              <w:right w:w="37" w:type="dxa"/>
            </w:tcMar>
            <w:vAlign w:val="center"/>
          </w:tcPr>
          <w:p w14:paraId="3C901250" w14:textId="77777777" w:rsidR="00137F91" w:rsidRDefault="00137F91"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2T EtAc : 1T DCM</w:t>
            </w:r>
          </w:p>
        </w:tc>
        <w:tc>
          <w:tcPr>
            <w:tcW w:w="1559" w:type="dxa"/>
            <w:tcBorders>
              <w:top w:val="single" w:sz="4" w:space="0" w:color="000000"/>
              <w:left w:val="single" w:sz="4" w:space="0" w:color="000000"/>
              <w:bottom w:val="single" w:sz="8" w:space="0" w:color="000000"/>
              <w:right w:val="single" w:sz="4" w:space="0" w:color="000000"/>
            </w:tcBorders>
            <w:shd w:val="clear" w:color="auto" w:fill="FFFFFF"/>
            <w:tcMar>
              <w:top w:w="72" w:type="dxa"/>
              <w:left w:w="144" w:type="dxa"/>
              <w:bottom w:w="72" w:type="dxa"/>
              <w:right w:w="144" w:type="dxa"/>
            </w:tcMar>
            <w:vAlign w:val="center"/>
          </w:tcPr>
          <w:p w14:paraId="7E1B561C" w14:textId="77777777" w:rsidR="00137F91" w:rsidRDefault="00137F91" w:rsidP="00137F91">
            <w:pPr>
              <w:spacing w:after="0" w:line="240" w:lineRule="auto"/>
              <w:jc w:val="center"/>
              <w:rPr>
                <w:rFonts w:eastAsia="SimSun" w:cs="Times New Roman"/>
                <w:sz w:val="16"/>
                <w:szCs w:val="16"/>
                <w:lang w:eastAsia="de-DE"/>
              </w:rPr>
            </w:pPr>
            <w:r>
              <w:rPr>
                <w:rFonts w:eastAsia="SimSun" w:cs="Times New Roman"/>
                <w:sz w:val="16"/>
                <w:szCs w:val="16"/>
                <w:lang w:eastAsia="de-DE"/>
              </w:rPr>
              <w:t>Doppelemulsion /</w:t>
            </w:r>
          </w:p>
          <w:p w14:paraId="79C36236" w14:textId="77777777" w:rsidR="00137F91" w:rsidRDefault="00137F91" w:rsidP="00137F91">
            <w:pPr>
              <w:spacing w:after="0" w:line="240" w:lineRule="auto"/>
              <w:jc w:val="center"/>
              <w:rPr>
                <w:rFonts w:eastAsia="SimSun" w:cs="Times New Roman"/>
                <w:sz w:val="16"/>
                <w:szCs w:val="16"/>
                <w:lang w:eastAsia="de-DE"/>
              </w:rPr>
            </w:pPr>
            <w:r>
              <w:rPr>
                <w:rFonts w:eastAsia="SimSun" w:cs="Times New Roman"/>
                <w:sz w:val="16"/>
                <w:szCs w:val="16"/>
                <w:lang w:eastAsia="de-DE"/>
              </w:rPr>
              <w:t>Wasser pH 7,0</w:t>
            </w:r>
          </w:p>
        </w:tc>
        <w:tc>
          <w:tcPr>
            <w:tcW w:w="850" w:type="dxa"/>
            <w:tcBorders>
              <w:top w:val="single" w:sz="4" w:space="0" w:color="000000"/>
              <w:left w:val="single" w:sz="4" w:space="0" w:color="000000"/>
              <w:bottom w:val="single" w:sz="8" w:space="0" w:color="000000"/>
              <w:right w:val="single" w:sz="4" w:space="0" w:color="000000"/>
            </w:tcBorders>
            <w:shd w:val="clear" w:color="auto" w:fill="FFFFFF"/>
            <w:tcMar>
              <w:top w:w="72" w:type="dxa"/>
              <w:left w:w="144" w:type="dxa"/>
              <w:bottom w:w="72" w:type="dxa"/>
              <w:right w:w="144" w:type="dxa"/>
            </w:tcMar>
            <w:vAlign w:val="center"/>
          </w:tcPr>
          <w:p w14:paraId="579B9D23" w14:textId="77777777" w:rsidR="00137F91" w:rsidRDefault="00137F91"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0,8</w:t>
            </w:r>
          </w:p>
        </w:tc>
        <w:tc>
          <w:tcPr>
            <w:tcW w:w="1560" w:type="dxa"/>
            <w:tcBorders>
              <w:top w:val="single" w:sz="4" w:space="0" w:color="000000"/>
              <w:left w:val="single" w:sz="4" w:space="0" w:color="000000"/>
              <w:bottom w:val="single" w:sz="8" w:space="0" w:color="000000"/>
              <w:right w:val="single" w:sz="4" w:space="0" w:color="000000"/>
            </w:tcBorders>
            <w:shd w:val="clear" w:color="auto" w:fill="FFFFFF"/>
            <w:tcMar>
              <w:top w:w="72" w:type="dxa"/>
              <w:left w:w="144" w:type="dxa"/>
              <w:bottom w:w="72" w:type="dxa"/>
              <w:right w:w="144" w:type="dxa"/>
            </w:tcMar>
            <w:vAlign w:val="center"/>
          </w:tcPr>
          <w:p w14:paraId="07E83ABC" w14:textId="77777777" w:rsidR="00137F91" w:rsidRDefault="00137F91"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457 nm /</w:t>
            </w:r>
            <w:r w:rsidR="00A42702">
              <w:rPr>
                <w:rFonts w:eastAsia="SimSun" w:cs="Times New Roman"/>
                <w:sz w:val="16"/>
                <w:szCs w:val="16"/>
                <w:lang w:eastAsia="de-DE"/>
              </w:rPr>
              <w:t xml:space="preserve"> 0,126</w:t>
            </w:r>
          </w:p>
        </w:tc>
        <w:tc>
          <w:tcPr>
            <w:tcW w:w="1701" w:type="dxa"/>
            <w:tcBorders>
              <w:top w:val="single" w:sz="4" w:space="0" w:color="000000"/>
              <w:left w:val="single" w:sz="4" w:space="0" w:color="000000"/>
              <w:bottom w:val="single" w:sz="8" w:space="0" w:color="000000"/>
              <w:right w:val="single" w:sz="4" w:space="0" w:color="000000"/>
            </w:tcBorders>
            <w:shd w:val="clear" w:color="auto" w:fill="FFFFFF"/>
            <w:tcMar>
              <w:top w:w="72" w:type="dxa"/>
              <w:left w:w="144" w:type="dxa"/>
              <w:bottom w:w="72" w:type="dxa"/>
              <w:right w:w="144" w:type="dxa"/>
            </w:tcMar>
            <w:vAlign w:val="center"/>
          </w:tcPr>
          <w:p w14:paraId="7321EACD" w14:textId="77777777" w:rsidR="00137F91" w:rsidRDefault="00137F91" w:rsidP="00F14BF3">
            <w:pPr>
              <w:spacing w:after="0" w:line="240" w:lineRule="auto"/>
              <w:jc w:val="center"/>
              <w:rPr>
                <w:rFonts w:eastAsia="SimSun" w:cs="Times New Roman"/>
                <w:sz w:val="16"/>
                <w:szCs w:val="16"/>
                <w:lang w:eastAsia="de-DE"/>
              </w:rPr>
            </w:pPr>
            <w:r>
              <w:rPr>
                <w:rFonts w:eastAsia="SimSun" w:cs="Times New Roman"/>
                <w:sz w:val="16"/>
                <w:szCs w:val="16"/>
                <w:lang w:eastAsia="de-DE"/>
              </w:rPr>
              <w:t>509 nm /</w:t>
            </w:r>
            <w:r w:rsidR="00A42702">
              <w:rPr>
                <w:rFonts w:eastAsia="SimSun" w:cs="Times New Roman"/>
                <w:sz w:val="16"/>
                <w:szCs w:val="16"/>
                <w:lang w:eastAsia="de-DE"/>
              </w:rPr>
              <w:t xml:space="preserve"> 0,259</w:t>
            </w:r>
          </w:p>
        </w:tc>
        <w:tc>
          <w:tcPr>
            <w:tcW w:w="567" w:type="dxa"/>
            <w:tcBorders>
              <w:top w:val="single" w:sz="4" w:space="0" w:color="000000"/>
              <w:left w:val="single" w:sz="4" w:space="0" w:color="000000"/>
              <w:bottom w:val="single" w:sz="8" w:space="0" w:color="000000"/>
              <w:right w:val="single" w:sz="4" w:space="0" w:color="000000"/>
            </w:tcBorders>
            <w:shd w:val="clear" w:color="auto" w:fill="FFFFFF"/>
            <w:vAlign w:val="center"/>
          </w:tcPr>
          <w:p w14:paraId="7739B6A0" w14:textId="77777777" w:rsidR="00137F91" w:rsidRDefault="00A66EAC" w:rsidP="00F14BF3">
            <w:pPr>
              <w:spacing w:after="0" w:line="240" w:lineRule="auto"/>
              <w:jc w:val="center"/>
              <w:rPr>
                <w:rFonts w:cs="Times New Roman"/>
                <w:sz w:val="16"/>
                <w:szCs w:val="16"/>
              </w:rPr>
            </w:pPr>
            <w:r>
              <w:rPr>
                <w:rFonts w:cs="Times New Roman"/>
                <w:sz w:val="16"/>
                <w:szCs w:val="16"/>
              </w:rPr>
              <w:t>0,9</w:t>
            </w:r>
          </w:p>
        </w:tc>
        <w:tc>
          <w:tcPr>
            <w:tcW w:w="1134" w:type="dxa"/>
            <w:tcBorders>
              <w:top w:val="single" w:sz="4" w:space="0" w:color="000000"/>
              <w:left w:val="single" w:sz="4"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C201793" w14:textId="77777777" w:rsidR="00137F91" w:rsidRDefault="00A66EAC" w:rsidP="00F14BF3">
            <w:pPr>
              <w:spacing w:after="0" w:line="240" w:lineRule="auto"/>
              <w:jc w:val="center"/>
              <w:rPr>
                <w:rFonts w:eastAsia="SimSun" w:cs="Times New Roman"/>
                <w:b/>
                <w:bCs/>
                <w:sz w:val="16"/>
                <w:szCs w:val="16"/>
                <w:lang w:eastAsia="de-DE"/>
              </w:rPr>
            </w:pPr>
            <w:r>
              <w:rPr>
                <w:rFonts w:eastAsia="SimSun" w:cs="Times New Roman"/>
                <w:b/>
                <w:bCs/>
                <w:sz w:val="16"/>
                <w:szCs w:val="16"/>
                <w:lang w:eastAsia="de-DE"/>
              </w:rPr>
              <w:t>13,0</w:t>
            </w:r>
          </w:p>
        </w:tc>
      </w:tr>
    </w:tbl>
    <w:p w14:paraId="78EC67DD" w14:textId="77777777" w:rsidR="0086092F" w:rsidRDefault="0086092F" w:rsidP="00CD2FA1">
      <w:pPr>
        <w:rPr>
          <w:color w:val="000000" w:themeColor="text1"/>
        </w:rPr>
      </w:pPr>
    </w:p>
    <w:p w14:paraId="20597D0D" w14:textId="77777777" w:rsidR="00EF0F66" w:rsidRDefault="00E4177E" w:rsidP="00CD2FA1">
      <w:pPr>
        <w:rPr>
          <w:color w:val="000000" w:themeColor="text1"/>
        </w:rPr>
      </w:pPr>
      <w:r>
        <w:rPr>
          <w:color w:val="000000" w:themeColor="text1"/>
        </w:rPr>
        <w:t>Da die verwendeten Cystein PEA Polymere im Gegensatz zur Gruppe der Asparaginsäure PEA Polymere untereinander nur sehr geringfügige Unterschiede in ihrer chemischen Zusammensetzung aufwiesen</w:t>
      </w:r>
      <w:r w:rsidR="00A34A19">
        <w:rPr>
          <w:color w:val="000000" w:themeColor="text1"/>
        </w:rPr>
        <w:t xml:space="preserve"> (vgl.</w:t>
      </w:r>
      <w:r w:rsidR="00040E17">
        <w:rPr>
          <w:color w:val="000000" w:themeColor="text1"/>
        </w:rPr>
        <w:t xml:space="preserve"> </w:t>
      </w:r>
      <w:r w:rsidR="00D16240">
        <w:rPr>
          <w:color w:val="000000" w:themeColor="text1"/>
        </w:rPr>
        <w:fldChar w:fldCharType="begin"/>
      </w:r>
      <w:r w:rsidR="00040E17">
        <w:rPr>
          <w:color w:val="000000" w:themeColor="text1"/>
        </w:rPr>
        <w:instrText xml:space="preserve"> REF _Ref272015502 \h </w:instrText>
      </w:r>
      <w:r w:rsidR="00D16240">
        <w:rPr>
          <w:color w:val="000000" w:themeColor="text1"/>
        </w:rPr>
      </w:r>
      <w:r w:rsidR="00D16240">
        <w:rPr>
          <w:color w:val="000000" w:themeColor="text1"/>
        </w:rPr>
        <w:fldChar w:fldCharType="separate"/>
      </w:r>
      <w:r w:rsidR="00711AB8" w:rsidRPr="00661CFB">
        <w:t xml:space="preserve">Tabelle </w:t>
      </w:r>
      <w:r w:rsidR="00711AB8">
        <w:rPr>
          <w:noProof/>
        </w:rPr>
        <w:t>6</w:t>
      </w:r>
      <w:r w:rsidR="00D16240">
        <w:rPr>
          <w:color w:val="000000" w:themeColor="text1"/>
        </w:rPr>
        <w:fldChar w:fldCharType="end"/>
      </w:r>
      <w:r w:rsidR="001D4B18">
        <w:rPr>
          <w:color w:val="000000" w:themeColor="text1"/>
        </w:rPr>
        <w:t xml:space="preserve"> auf S.</w:t>
      </w:r>
      <w:r w:rsidR="00A34A19">
        <w:rPr>
          <w:color w:val="000000" w:themeColor="text1"/>
        </w:rPr>
        <w:t xml:space="preserve"> </w:t>
      </w:r>
      <w:r w:rsidR="00D16240">
        <w:rPr>
          <w:color w:val="000000" w:themeColor="text1"/>
        </w:rPr>
        <w:fldChar w:fldCharType="begin"/>
      </w:r>
      <w:r w:rsidR="00A34A19">
        <w:rPr>
          <w:color w:val="000000" w:themeColor="text1"/>
        </w:rPr>
        <w:instrText xml:space="preserve"> PAGEREF _Ref282708548 \h </w:instrText>
      </w:r>
      <w:r w:rsidR="00D16240">
        <w:rPr>
          <w:color w:val="000000" w:themeColor="text1"/>
        </w:rPr>
      </w:r>
      <w:r w:rsidR="00D16240">
        <w:rPr>
          <w:color w:val="000000" w:themeColor="text1"/>
        </w:rPr>
        <w:fldChar w:fldCharType="separate"/>
      </w:r>
      <w:r w:rsidR="00711AB8">
        <w:rPr>
          <w:noProof/>
          <w:color w:val="000000" w:themeColor="text1"/>
        </w:rPr>
        <w:t>46</w:t>
      </w:r>
      <w:r w:rsidR="00D16240">
        <w:rPr>
          <w:color w:val="000000" w:themeColor="text1"/>
        </w:rPr>
        <w:fldChar w:fldCharType="end"/>
      </w:r>
      <w:r w:rsidR="00040E17">
        <w:rPr>
          <w:color w:val="000000" w:themeColor="text1"/>
        </w:rPr>
        <w:t>)</w:t>
      </w:r>
      <w:r>
        <w:rPr>
          <w:color w:val="000000" w:themeColor="text1"/>
        </w:rPr>
        <w:t xml:space="preserve">, sind die zum Teil deutlichen Unterschiede in der Verkapselungseffizienz vor allem auf Variationen des Herstellungsverfahrens zurückzuführen. Im Wesentlichen können die Versuche aus </w:t>
      </w:r>
      <w:r w:rsidR="00D16240">
        <w:rPr>
          <w:color w:val="000000" w:themeColor="text1"/>
        </w:rPr>
        <w:fldChar w:fldCharType="begin"/>
      </w:r>
      <w:r>
        <w:rPr>
          <w:color w:val="000000" w:themeColor="text1"/>
        </w:rPr>
        <w:instrText xml:space="preserve"> REF _Ref274163655 \h </w:instrText>
      </w:r>
      <w:r w:rsidR="00D16240">
        <w:rPr>
          <w:color w:val="000000" w:themeColor="text1"/>
        </w:rPr>
      </w:r>
      <w:r w:rsidR="00D16240">
        <w:rPr>
          <w:color w:val="000000" w:themeColor="text1"/>
        </w:rPr>
        <w:fldChar w:fldCharType="separate"/>
      </w:r>
      <w:r w:rsidR="00711AB8" w:rsidRPr="00F14BF3">
        <w:t xml:space="preserve">Tabelle </w:t>
      </w:r>
      <w:r w:rsidR="00711AB8">
        <w:rPr>
          <w:noProof/>
        </w:rPr>
        <w:lastRenderedPageBreak/>
        <w:t>23</w:t>
      </w:r>
      <w:r w:rsidR="00D16240">
        <w:rPr>
          <w:color w:val="000000" w:themeColor="text1"/>
        </w:rPr>
        <w:fldChar w:fldCharType="end"/>
      </w:r>
      <w:r w:rsidR="00040E17">
        <w:rPr>
          <w:color w:val="000000" w:themeColor="text1"/>
        </w:rPr>
        <w:t xml:space="preserve"> zu zwei Vari</w:t>
      </w:r>
      <w:r w:rsidR="00CA68B6">
        <w:rPr>
          <w:color w:val="000000" w:themeColor="text1"/>
        </w:rPr>
        <w:t>anten zusammengefasst werden: 1.</w:t>
      </w:r>
      <w:r>
        <w:rPr>
          <w:color w:val="000000" w:themeColor="text1"/>
        </w:rPr>
        <w:t xml:space="preserve"> Verwendung von reinem</w:t>
      </w:r>
      <w:r w:rsidR="00040E17">
        <w:rPr>
          <w:color w:val="000000" w:themeColor="text1"/>
        </w:rPr>
        <w:t xml:space="preserve"> DCM als Lösungsmittel (Versuche 2-6)</w:t>
      </w:r>
      <w:r>
        <w:rPr>
          <w:color w:val="000000" w:themeColor="text1"/>
        </w:rPr>
        <w:t xml:space="preserve"> und</w:t>
      </w:r>
      <w:r w:rsidR="00CA68B6">
        <w:rPr>
          <w:color w:val="000000" w:themeColor="text1"/>
        </w:rPr>
        <w:t xml:space="preserve"> 2.</w:t>
      </w:r>
      <w:r w:rsidR="00040E17">
        <w:rPr>
          <w:color w:val="000000" w:themeColor="text1"/>
        </w:rPr>
        <w:t xml:space="preserve"> Verwendung von Mischungen aus Ethylacetat und DCM (Versuche 8-10). </w:t>
      </w:r>
      <w:r w:rsidR="00392547">
        <w:rPr>
          <w:color w:val="000000" w:themeColor="text1"/>
        </w:rPr>
        <w:t>Dabei stellt Variante 2 die bezüglich der Partikelmorphologie optimierte Methode dar.</w:t>
      </w:r>
    </w:p>
    <w:p w14:paraId="241F27A1" w14:textId="77777777" w:rsidR="00EC45D3" w:rsidRDefault="00040E17" w:rsidP="00CD2FA1">
      <w:pPr>
        <w:rPr>
          <w:color w:val="000000" w:themeColor="text1"/>
        </w:rPr>
      </w:pPr>
      <w:r>
        <w:rPr>
          <w:color w:val="000000" w:themeColor="text1"/>
        </w:rPr>
        <w:t xml:space="preserve">Die Verkapselungseffizienz betrug bei Variante 1 durchschnittlich 27,9% </w:t>
      </w:r>
      <w:r>
        <w:rPr>
          <w:color w:val="000000" w:themeColor="text1"/>
        </w:rPr>
        <w:sym w:font="Symbol" w:char="F0B1"/>
      </w:r>
      <w:r>
        <w:rPr>
          <w:color w:val="000000" w:themeColor="text1"/>
        </w:rPr>
        <w:t xml:space="preserve">10,7% (n=4) und bei Variante 2 durchschnittlich 14,7% </w:t>
      </w:r>
      <w:r>
        <w:rPr>
          <w:color w:val="000000" w:themeColor="text1"/>
        </w:rPr>
        <w:sym w:font="Symbol" w:char="F0B1"/>
      </w:r>
      <w:r w:rsidR="00CE7D06">
        <w:rPr>
          <w:color w:val="000000" w:themeColor="text1"/>
        </w:rPr>
        <w:t>3,3% (n=3).</w:t>
      </w:r>
    </w:p>
    <w:p w14:paraId="5A3FFF0A" w14:textId="77777777" w:rsidR="00EF0F66" w:rsidRDefault="00EC45D3" w:rsidP="00CD2FA1">
      <w:pPr>
        <w:rPr>
          <w:color w:val="000000" w:themeColor="text1"/>
        </w:rPr>
      </w:pPr>
      <w:r>
        <w:rPr>
          <w:color w:val="000000" w:themeColor="text1"/>
        </w:rPr>
        <w:t xml:space="preserve">Bei Variante 1 betrug der durchschnittliche Beladungsgrad 3,3% </w:t>
      </w:r>
      <w:r>
        <w:rPr>
          <w:color w:val="000000" w:themeColor="text1"/>
        </w:rPr>
        <w:sym w:font="Symbol" w:char="F0B1"/>
      </w:r>
      <w:r>
        <w:rPr>
          <w:color w:val="000000" w:themeColor="text1"/>
        </w:rPr>
        <w:t>1,1% (n=4) und bei Variante 2 durchschnittlich 1,5% </w:t>
      </w:r>
      <w:r>
        <w:rPr>
          <w:color w:val="000000" w:themeColor="text1"/>
        </w:rPr>
        <w:sym w:font="Symbol" w:char="F0B1"/>
      </w:r>
      <w:r>
        <w:rPr>
          <w:color w:val="000000" w:themeColor="text1"/>
        </w:rPr>
        <w:t>0,4% (n=3).</w:t>
      </w:r>
    </w:p>
    <w:p w14:paraId="6427FB45" w14:textId="77777777" w:rsidR="0010442C" w:rsidRDefault="00040E17" w:rsidP="00CD2FA1">
      <w:pPr>
        <w:rPr>
          <w:color w:val="000000" w:themeColor="text1"/>
        </w:rPr>
      </w:pPr>
      <w:r>
        <w:rPr>
          <w:color w:val="000000" w:themeColor="text1"/>
        </w:rPr>
        <w:t>Innerhalb der Ergebnisse für</w:t>
      </w:r>
      <w:r w:rsidR="00290F01">
        <w:rPr>
          <w:color w:val="000000" w:themeColor="text1"/>
        </w:rPr>
        <w:t xml:space="preserve"> Variante 1 fällt auf, dass </w:t>
      </w:r>
      <w:r>
        <w:rPr>
          <w:color w:val="000000" w:themeColor="text1"/>
        </w:rPr>
        <w:t>Verkapselungseffizienz</w:t>
      </w:r>
      <w:r w:rsidR="00290F01">
        <w:rPr>
          <w:color w:val="000000" w:themeColor="text1"/>
        </w:rPr>
        <w:t xml:space="preserve"> und Beladungsgrad</w:t>
      </w:r>
      <w:r>
        <w:rPr>
          <w:color w:val="000000" w:themeColor="text1"/>
        </w:rPr>
        <w:t xml:space="preserve"> mit stei</w:t>
      </w:r>
      <w:r w:rsidR="00290F01">
        <w:rPr>
          <w:color w:val="000000" w:themeColor="text1"/>
        </w:rPr>
        <w:t>gender PVA Konzentration zunehmen</w:t>
      </w:r>
      <w:r>
        <w:rPr>
          <w:color w:val="000000" w:themeColor="text1"/>
        </w:rPr>
        <w:t>. Be</w:t>
      </w:r>
      <w:r w:rsidR="00290F01">
        <w:rPr>
          <w:color w:val="000000" w:themeColor="text1"/>
        </w:rPr>
        <w:t xml:space="preserve">i Versuch Nr. 3 wurde mit einer PVA Konzentration von 1,5% </w:t>
      </w:r>
      <w:r>
        <w:rPr>
          <w:color w:val="000000" w:themeColor="text1"/>
        </w:rPr>
        <w:t xml:space="preserve">eine besonders hohe Verkapselungseffizienz von 43,9% erzielt. </w:t>
      </w:r>
      <w:r w:rsidR="00290F01">
        <w:rPr>
          <w:color w:val="000000" w:themeColor="text1"/>
        </w:rPr>
        <w:t>Eine mögliche Erklärung hierfür ist, dass ein höherer Anteil des amphiphilen Sta</w:t>
      </w:r>
      <w:r w:rsidR="00EF0F66">
        <w:rPr>
          <w:color w:val="000000" w:themeColor="text1"/>
        </w:rPr>
        <w:t xml:space="preserve">bilisators PVA in den Partikeln </w:t>
      </w:r>
      <w:r w:rsidR="001F5F60">
        <w:rPr>
          <w:color w:val="000000" w:themeColor="text1"/>
        </w:rPr>
        <w:t>diese</w:t>
      </w:r>
      <w:r w:rsidR="00515F61">
        <w:rPr>
          <w:color w:val="000000" w:themeColor="text1"/>
        </w:rPr>
        <w:t xml:space="preserve"> insgesamt hydrophiler macht, wodurch </w:t>
      </w:r>
      <w:r w:rsidR="00EF0F66">
        <w:rPr>
          <w:color w:val="000000" w:themeColor="text1"/>
        </w:rPr>
        <w:t>die Affinität zu</w:t>
      </w:r>
      <w:r w:rsidR="00290F01">
        <w:rPr>
          <w:color w:val="000000" w:themeColor="text1"/>
        </w:rPr>
        <w:t xml:space="preserve"> Desmopressin </w:t>
      </w:r>
      <w:r w:rsidR="00EF0F66">
        <w:rPr>
          <w:color w:val="000000" w:themeColor="text1"/>
        </w:rPr>
        <w:t>erhöht</w:t>
      </w:r>
      <w:r w:rsidR="00515F61">
        <w:rPr>
          <w:color w:val="000000" w:themeColor="text1"/>
        </w:rPr>
        <w:t xml:space="preserve"> wird</w:t>
      </w:r>
      <w:r w:rsidR="00EF0F66">
        <w:rPr>
          <w:color w:val="000000" w:themeColor="text1"/>
        </w:rPr>
        <w:t>.</w:t>
      </w:r>
      <w:r w:rsidR="0076264D">
        <w:rPr>
          <w:color w:val="000000" w:themeColor="text1"/>
        </w:rPr>
        <w:t xml:space="preserve"> Dies wiederum führt zu einem höheren Beladungsgrad und steigert die Verkapselungseffizienz.</w:t>
      </w:r>
      <w:r w:rsidR="00EF0F66">
        <w:rPr>
          <w:color w:val="000000" w:themeColor="text1"/>
        </w:rPr>
        <w:t xml:space="preserve"> Aufgrund unzureichender Materialmengen konnte bei Variante 2 der Einfluss der PVA Konzentration auf die Verkapselungseffizienz nicht</w:t>
      </w:r>
      <w:r w:rsidR="00515F61">
        <w:rPr>
          <w:color w:val="000000" w:themeColor="text1"/>
        </w:rPr>
        <w:t xml:space="preserve"> näher</w:t>
      </w:r>
      <w:r w:rsidR="00EF0F66">
        <w:rPr>
          <w:color w:val="000000" w:themeColor="text1"/>
        </w:rPr>
        <w:t xml:space="preserve"> untersucht werden.</w:t>
      </w:r>
    </w:p>
    <w:p w14:paraId="6CDF81B2" w14:textId="77777777" w:rsidR="00EF0F66" w:rsidRPr="005F7C8B" w:rsidRDefault="00EF0F66" w:rsidP="00CD2FA1">
      <w:pPr>
        <w:rPr>
          <w:color w:val="000000" w:themeColor="text1"/>
        </w:rPr>
      </w:pPr>
      <w:r>
        <w:rPr>
          <w:color w:val="000000" w:themeColor="text1"/>
        </w:rPr>
        <w:t xml:space="preserve">Beim Vergleich der Ergebnisse </w:t>
      </w:r>
      <w:r w:rsidR="00392547">
        <w:rPr>
          <w:color w:val="000000" w:themeColor="text1"/>
        </w:rPr>
        <w:t>der beiden Varianten fällt auf, dass die mittlere Partikelgröße bei Varia</w:t>
      </w:r>
      <w:r w:rsidR="001F5F60">
        <w:rPr>
          <w:color w:val="000000" w:themeColor="text1"/>
        </w:rPr>
        <w:t>nte 1 mit einem hohen Anteil an</w:t>
      </w:r>
      <w:r w:rsidR="00392547">
        <w:rPr>
          <w:color w:val="000000" w:themeColor="text1"/>
        </w:rPr>
        <w:t xml:space="preserve"> Mikropartikeln</w:t>
      </w:r>
      <w:r w:rsidR="001F5F60">
        <w:rPr>
          <w:color w:val="000000" w:themeColor="text1"/>
        </w:rPr>
        <w:t xml:space="preserve"> mit einer Größe zwischen</w:t>
      </w:r>
      <w:r w:rsidR="00392547">
        <w:rPr>
          <w:color w:val="000000" w:themeColor="text1"/>
        </w:rPr>
        <w:t xml:space="preserve"> 1.500 und 3.300 nm stets deutlich größer ist als bei Variante 2. Bekanntlich können größere Partikel tendenziell höher mit Wirkstoff beladen werden als kleine Partikel. Das Ziel der Partikelformulierung war jedoch Nanopartikel mit einer maximalen Größe von 500 nm herzustellen. Aus diesem Grund scheidet Variante 1 trotz höherer Verkapselungseffizienz aus und Varian</w:t>
      </w:r>
      <w:r w:rsidR="00CE7D06">
        <w:rPr>
          <w:color w:val="000000" w:themeColor="text1"/>
        </w:rPr>
        <w:t>te 2 wird insgesamt als optimierte</w:t>
      </w:r>
      <w:r w:rsidR="00392547">
        <w:rPr>
          <w:color w:val="000000" w:themeColor="text1"/>
        </w:rPr>
        <w:t xml:space="preserve"> Herstellungsmethode für die Formulierung von Desmopressin Nanopartikeln aus Cystein PEA Polymer betrachtet.</w:t>
      </w:r>
    </w:p>
    <w:p w14:paraId="557F7EA0" w14:textId="77777777" w:rsidR="00E730FC" w:rsidRDefault="00EA19E8" w:rsidP="00E730FC">
      <w:pPr>
        <w:pStyle w:val="berschrift4"/>
      </w:pPr>
      <w:bookmarkStart w:id="217" w:name="_Toc294380243"/>
      <w:r>
        <w:t>Zusammenfassung</w:t>
      </w:r>
      <w:r w:rsidR="00E730FC">
        <w:t xml:space="preserve"> der Mikroverkapselung mit PEA</w:t>
      </w:r>
      <w:r w:rsidR="0097517C">
        <w:t xml:space="preserve"> Polymeren</w:t>
      </w:r>
      <w:bookmarkEnd w:id="217"/>
    </w:p>
    <w:p w14:paraId="1729AECC" w14:textId="77777777" w:rsidR="00D365B4" w:rsidRDefault="00D365B4" w:rsidP="00E730FC">
      <w:r>
        <w:t>Durch Verwendung der neuen PEA Polymere zur Verkapselung von Desmopressin in Nanopartikel sollte d</w:t>
      </w:r>
      <w:r w:rsidR="00C3219C">
        <w:t>ie Verkapselungseffizienz der</w:t>
      </w:r>
      <w:r>
        <w:t xml:space="preserve"> Doppelemulsionsmethode erhöht werden.</w:t>
      </w:r>
    </w:p>
    <w:p w14:paraId="35238673" w14:textId="77777777" w:rsidR="00D365B4" w:rsidRDefault="00C3219C" w:rsidP="00E730FC">
      <w:r>
        <w:t>Die im Zuge der Evaluation der Doppelemulsionsmethode gewonnenen Erkenntnisse hinsichtlich einer kontrollierten Herstellung von Nanopart</w:t>
      </w:r>
      <w:r w:rsidR="00CE7D06">
        <w:t>ikeln aus PLGA konnten nicht für</w:t>
      </w:r>
      <w:r>
        <w:t xml:space="preserve"> die PEA Polymere angewendet werden. Daher</w:t>
      </w:r>
      <w:r w:rsidR="00D365B4">
        <w:t xml:space="preserve"> </w:t>
      </w:r>
      <w:r>
        <w:t>wurden die Herstellungsmethoden (Doppelemulsion, Aufreinigung, Trocknung)</w:t>
      </w:r>
      <w:r w:rsidR="00D365B4">
        <w:t xml:space="preserve"> </w:t>
      </w:r>
      <w:r>
        <w:t xml:space="preserve">zunächst </w:t>
      </w:r>
      <w:r w:rsidR="00D365B4">
        <w:t>anhand von Placeboversuchen für die neuen Polymere</w:t>
      </w:r>
      <w:r>
        <w:t xml:space="preserve"> angepasst und optimiert. Letztendlich gelang es</w:t>
      </w:r>
      <w:r w:rsidR="00D365B4">
        <w:t xml:space="preserve"> </w:t>
      </w:r>
      <w:r>
        <w:t xml:space="preserve">lagerstabile und </w:t>
      </w:r>
      <w:r>
        <w:lastRenderedPageBreak/>
        <w:t xml:space="preserve">redispergierbare </w:t>
      </w:r>
      <w:r w:rsidR="00D365B4">
        <w:t xml:space="preserve">Polymernanopartikel sowohl aus Asparaginsäure PEA als auch aus Cystein PEA </w:t>
      </w:r>
      <w:r>
        <w:t>in trockener Form herzustellen</w:t>
      </w:r>
      <w:r w:rsidR="00D365B4">
        <w:t>.</w:t>
      </w:r>
    </w:p>
    <w:p w14:paraId="2EE9C86A" w14:textId="77777777" w:rsidR="00383BFE" w:rsidRDefault="00C3219C" w:rsidP="00E730FC">
      <w:r>
        <w:t>Anschließend wurde mit</w:t>
      </w:r>
      <w:r w:rsidR="00D365B4">
        <w:t xml:space="preserve"> Verkaps</w:t>
      </w:r>
      <w:r>
        <w:t>elungsversuchen gezeig</w:t>
      </w:r>
      <w:r w:rsidR="005D5C21">
        <w:t>t, dass durch die Verwendung der</w:t>
      </w:r>
      <w:r>
        <w:t xml:space="preserve"> PEA Polymere an Stelle von</w:t>
      </w:r>
      <w:r w:rsidR="00515F61">
        <w:t xml:space="preserve"> PLGA</w:t>
      </w:r>
      <w:r w:rsidR="008355CA">
        <w:t xml:space="preserve"> eine teils deutlich</w:t>
      </w:r>
      <w:r w:rsidR="0010442C">
        <w:t xml:space="preserve"> höhere Verkapselungseffizienz </w:t>
      </w:r>
      <w:r w:rsidR="008355CA">
        <w:t>für das Modellpeptid Desmopressin</w:t>
      </w:r>
      <w:r w:rsidR="001F5F60">
        <w:t xml:space="preserve"> erzielt werden konnte.</w:t>
      </w:r>
    </w:p>
    <w:p w14:paraId="59BA4DCB" w14:textId="77777777" w:rsidR="00283B79" w:rsidRDefault="00E730FC" w:rsidP="00E730FC">
      <w:r w:rsidRPr="00E730FC">
        <w:t>Die durchschnittliche Verkapselungseffizienz von Desmopressin in Nanopartikel aus Resomer</w:t>
      </w:r>
      <w:r w:rsidR="001D367F">
        <w:rPr>
          <w:vertAlign w:val="superscript"/>
        </w:rPr>
        <w:sym w:font="Symbol" w:char="F0D2"/>
      </w:r>
      <w:r w:rsidR="00283B79">
        <w:t> RG 503 H betrug</w:t>
      </w:r>
      <w:r w:rsidRPr="00E730FC">
        <w:t xml:space="preserve"> 7,47% (</w:t>
      </w:r>
      <w:r w:rsidRPr="00E730FC">
        <w:sym w:font="Symbol" w:char="F0B1"/>
      </w:r>
      <w:r w:rsidRPr="00E730FC">
        <w:t xml:space="preserve">1,72%). </w:t>
      </w:r>
      <w:r w:rsidR="00283B79">
        <w:t>Durch Verwendung von Asparaginsäure PEA wurde die Verkapselungseffizienz</w:t>
      </w:r>
      <w:r w:rsidR="00EC45D3">
        <w:t xml:space="preserve"> im Vergleich zum PLGA</w:t>
      </w:r>
      <w:r w:rsidR="00283B79">
        <w:t xml:space="preserve"> um 66% auf 12,4% (</w:t>
      </w:r>
      <w:r w:rsidR="00283B79">
        <w:sym w:font="Symbol" w:char="F0B1"/>
      </w:r>
      <w:r w:rsidR="00C42FCA">
        <w:t>2,9%) gesteigert. Mit</w:t>
      </w:r>
      <w:r w:rsidR="001F5F60">
        <w:t>hilfe</w:t>
      </w:r>
      <w:r w:rsidR="00C42FCA">
        <w:t xml:space="preserve"> der Methode, die bezüglich der</w:t>
      </w:r>
      <w:r w:rsidR="00283B79">
        <w:t xml:space="preserve"> Verkapse</w:t>
      </w:r>
      <w:r w:rsidR="00C42FCA">
        <w:t>lungseffizienz optimale Ergebnisse zeigte,</w:t>
      </w:r>
      <w:r w:rsidR="00283B79">
        <w:t xml:space="preserve"> wurde für Cystein PEA eine Steigerung um 273% auf 27,9% (</w:t>
      </w:r>
      <w:r w:rsidR="00283B79">
        <w:sym w:font="Symbol" w:char="F0B1"/>
      </w:r>
      <w:r w:rsidR="00283B79">
        <w:t>10,7%) erzielt.</w:t>
      </w:r>
      <w:r w:rsidR="00EC45D3">
        <w:t xml:space="preserve"> Die hinsichtlich der Partikelmorphologie optimierte Methode mit Cystein PEA ermöglichte eine Steigerung der Verkapselungseffizienz um 97% auf </w:t>
      </w:r>
      <w:r w:rsidR="00EC45D3">
        <w:rPr>
          <w:color w:val="000000" w:themeColor="text1"/>
        </w:rPr>
        <w:t>14,7% (</w:t>
      </w:r>
      <w:r w:rsidR="00EC45D3">
        <w:rPr>
          <w:color w:val="000000" w:themeColor="text1"/>
        </w:rPr>
        <w:sym w:font="Symbol" w:char="F0B1"/>
      </w:r>
      <w:r w:rsidR="00EC45D3">
        <w:rPr>
          <w:color w:val="000000" w:themeColor="text1"/>
        </w:rPr>
        <w:t xml:space="preserve">3,3%). </w:t>
      </w:r>
    </w:p>
    <w:p w14:paraId="5B4742EE" w14:textId="77777777" w:rsidR="00E730FC" w:rsidRDefault="00EC45D3" w:rsidP="00E730FC">
      <w:r>
        <w:t>Auch der Beladungsgrad der Partikel konnte mit de</w:t>
      </w:r>
      <w:r w:rsidR="00C42FCA">
        <w:t>n PEA Polymeren im Vergleich zu</w:t>
      </w:r>
      <w:r w:rsidR="002161BE">
        <w:t xml:space="preserve"> PLGA </w:t>
      </w:r>
      <w:r>
        <w:t xml:space="preserve">erhöht werden. </w:t>
      </w:r>
      <w:r w:rsidR="00E730FC" w:rsidRPr="00E730FC">
        <w:t>Der Be</w:t>
      </w:r>
      <w:r w:rsidR="00283B79">
        <w:t xml:space="preserve">ladungsgrad der Partikel </w:t>
      </w:r>
      <w:r>
        <w:t xml:space="preserve">aus </w:t>
      </w:r>
      <w:r w:rsidRPr="00E730FC">
        <w:t>Resomer</w:t>
      </w:r>
      <w:r>
        <w:rPr>
          <w:vertAlign w:val="superscript"/>
        </w:rPr>
        <w:sym w:font="Symbol" w:char="F0D2"/>
      </w:r>
      <w:r>
        <w:t xml:space="preserve"> RG 503 H betrug </w:t>
      </w:r>
      <w:r w:rsidR="00E730FC" w:rsidRPr="00E730FC">
        <w:t>durchschnittlich 0,84% (</w:t>
      </w:r>
      <w:r w:rsidR="00E730FC" w:rsidRPr="00E730FC">
        <w:sym w:font="Symbol" w:char="F0B1"/>
      </w:r>
      <w:r w:rsidR="00E730FC" w:rsidRPr="00E730FC">
        <w:t>0,22%)</w:t>
      </w:r>
      <w:r w:rsidR="00283B79">
        <w:t xml:space="preserve">. </w:t>
      </w:r>
      <w:r w:rsidR="00C42FCA">
        <w:t>Die Asparaginsäure PEA Partikel waren zu 4,09% (</w:t>
      </w:r>
      <w:r w:rsidR="00C42FCA">
        <w:sym w:font="Symbol" w:char="F0B1"/>
      </w:r>
      <w:r w:rsidR="00C42FCA">
        <w:t xml:space="preserve">3,24%) mit Desmopressin beladen und die </w:t>
      </w:r>
      <w:r w:rsidR="000D393C">
        <w:t xml:space="preserve">Cystein PEA Partikel </w:t>
      </w:r>
      <w:r w:rsidR="002161BE">
        <w:rPr>
          <w:color w:val="000000" w:themeColor="text1"/>
        </w:rPr>
        <w:t xml:space="preserve">bei Methodenvariante 1 </w:t>
      </w:r>
      <w:r w:rsidR="000D393C">
        <w:t xml:space="preserve">zu </w:t>
      </w:r>
      <w:r w:rsidR="000D393C">
        <w:rPr>
          <w:color w:val="000000" w:themeColor="text1"/>
        </w:rPr>
        <w:t>3,3% (</w:t>
      </w:r>
      <w:r w:rsidR="000D393C">
        <w:rPr>
          <w:color w:val="000000" w:themeColor="text1"/>
        </w:rPr>
        <w:sym w:font="Symbol" w:char="F0B1"/>
      </w:r>
      <w:r w:rsidR="000D393C">
        <w:rPr>
          <w:color w:val="000000" w:themeColor="text1"/>
        </w:rPr>
        <w:t xml:space="preserve">1,1%) und </w:t>
      </w:r>
      <w:r w:rsidR="002161BE">
        <w:rPr>
          <w:color w:val="000000" w:themeColor="text1"/>
        </w:rPr>
        <w:t xml:space="preserve">bei Variante 2 </w:t>
      </w:r>
      <w:r w:rsidR="000D393C">
        <w:rPr>
          <w:color w:val="000000" w:themeColor="text1"/>
        </w:rPr>
        <w:t>zu 1,5% (</w:t>
      </w:r>
      <w:r w:rsidR="000D393C">
        <w:rPr>
          <w:color w:val="000000" w:themeColor="text1"/>
        </w:rPr>
        <w:sym w:font="Symbol" w:char="F0B1"/>
      </w:r>
      <w:r w:rsidR="000D393C">
        <w:rPr>
          <w:color w:val="000000" w:themeColor="text1"/>
        </w:rPr>
        <w:t>0,4%).</w:t>
      </w:r>
    </w:p>
    <w:p w14:paraId="57DF8AA9" w14:textId="77777777" w:rsidR="00392547" w:rsidRPr="00E730FC" w:rsidRDefault="002161BE" w:rsidP="00E730FC">
      <w:r>
        <w:t>Basierend auf den</w:t>
      </w:r>
      <w:r w:rsidR="000D393C">
        <w:t xml:space="preserve"> Ergebnissen </w:t>
      </w:r>
      <w:r>
        <w:t>der Herstellungsvariante 1</w:t>
      </w:r>
      <w:r w:rsidR="000D393C">
        <w:t xml:space="preserve"> </w:t>
      </w:r>
      <w:r>
        <w:t xml:space="preserve">für Cystein PEA Partikel ist </w:t>
      </w:r>
      <w:r w:rsidR="000D393C">
        <w:t>davon auszugehen, dass durch Erhöhung der PVA Konzentration auch bei der optimiert</w:t>
      </w:r>
      <w:r>
        <w:t xml:space="preserve">en Herstellungsvariante 2 die Verkapselungseffizienz </w:t>
      </w:r>
      <w:r w:rsidR="000D393C">
        <w:t>für Desmopressin</w:t>
      </w:r>
      <w:r w:rsidR="00C3219C">
        <w:t xml:space="preserve"> weiter</w:t>
      </w:r>
      <w:r w:rsidR="000D393C">
        <w:t xml:space="preserve"> gesteiger</w:t>
      </w:r>
      <w:r>
        <w:t>t werden kann. Um diese Annahme zu bestätigen, müssten jedoch im Rahmen anschließender Arbeiten weitere Versuche durchgeführt werden.</w:t>
      </w:r>
    </w:p>
    <w:p w14:paraId="35D76C4F" w14:textId="77777777" w:rsidR="001B2E0E" w:rsidRDefault="005218F7" w:rsidP="005218F7">
      <w:pPr>
        <w:pStyle w:val="berschrift3"/>
      </w:pPr>
      <w:bookmarkStart w:id="218" w:name="_Toc294380244"/>
      <w:r>
        <w:t>Charakterisierung der</w:t>
      </w:r>
      <w:r w:rsidR="003B37C5" w:rsidRPr="00C0344D">
        <w:t xml:space="preserve"> Polyesteramid Partikel</w:t>
      </w:r>
      <w:bookmarkEnd w:id="218"/>
    </w:p>
    <w:p w14:paraId="2462D04B" w14:textId="77777777" w:rsidR="00A963EA" w:rsidRPr="00BC0C36" w:rsidRDefault="00A963EA" w:rsidP="00A963EA">
      <w:r>
        <w:t>Im folgenden Abschnitt erfolgt die pharmazeutisch</w:t>
      </w:r>
      <w:r w:rsidR="00413E09">
        <w:t>e</w:t>
      </w:r>
      <w:r>
        <w:t xml:space="preserve"> und biopharmazeutisch</w:t>
      </w:r>
      <w:r w:rsidR="00413E09">
        <w:t>e</w:t>
      </w:r>
      <w:r>
        <w:t xml:space="preserve"> Charakterisierung de</w:t>
      </w:r>
      <w:r w:rsidR="00564C7B">
        <w:t>r nanopartik</w:t>
      </w:r>
      <w:r w:rsidR="00413E09">
        <w:t>ulären PEA Formulierungen mit Desmopressin</w:t>
      </w:r>
      <w:r>
        <w:t>.</w:t>
      </w:r>
      <w:r w:rsidR="00206D30">
        <w:t xml:space="preserve"> Die </w:t>
      </w:r>
      <w:r w:rsidR="00690288">
        <w:t>Ergebnisse der</w:t>
      </w:r>
      <w:r w:rsidR="00BC0C36">
        <w:t xml:space="preserve"> </w:t>
      </w:r>
      <w:r w:rsidR="00BC0C36">
        <w:rPr>
          <w:i/>
        </w:rPr>
        <w:t>in vitro</w:t>
      </w:r>
      <w:r w:rsidR="001F5F60">
        <w:t>-</w:t>
      </w:r>
      <w:r w:rsidR="00690288">
        <w:t>Resorptionsversuche</w:t>
      </w:r>
      <w:r w:rsidR="00413E09">
        <w:t xml:space="preserve"> und der</w:t>
      </w:r>
      <w:r w:rsidR="00BC0C36">
        <w:t xml:space="preserve"> </w:t>
      </w:r>
      <w:r w:rsidR="00BC0C36">
        <w:rPr>
          <w:i/>
        </w:rPr>
        <w:t>in vivo</w:t>
      </w:r>
      <w:r w:rsidR="001F5F60">
        <w:t>-</w:t>
      </w:r>
      <w:r w:rsidR="00BC0C36">
        <w:t xml:space="preserve">Bioverfügbarkeitsstudien werden in Kapitel </w:t>
      </w:r>
      <w:r w:rsidR="00D16240">
        <w:fldChar w:fldCharType="begin"/>
      </w:r>
      <w:r w:rsidR="00BC0C36">
        <w:instrText xml:space="preserve"> REF _Ref274320829 \n \h </w:instrText>
      </w:r>
      <w:r w:rsidR="00D16240">
        <w:fldChar w:fldCharType="separate"/>
      </w:r>
      <w:r w:rsidR="00711AB8">
        <w:t>4.7</w:t>
      </w:r>
      <w:r w:rsidR="00D16240">
        <w:fldChar w:fldCharType="end"/>
      </w:r>
      <w:r w:rsidR="00413E09">
        <w:t xml:space="preserve"> vorgestellt</w:t>
      </w:r>
      <w:r w:rsidR="00BC0C36">
        <w:t>.</w:t>
      </w:r>
    </w:p>
    <w:p w14:paraId="7DDD8C8F" w14:textId="77777777" w:rsidR="003B37C5" w:rsidRDefault="003B37C5" w:rsidP="00ED4563">
      <w:pPr>
        <w:pStyle w:val="berschrift4"/>
      </w:pPr>
      <w:bookmarkStart w:id="219" w:name="_Toc294380245"/>
      <w:r>
        <w:t>Rasterelektronenmikroskopie</w:t>
      </w:r>
      <w:bookmarkEnd w:id="219"/>
    </w:p>
    <w:p w14:paraId="37663672" w14:textId="77777777" w:rsidR="00BC0C36" w:rsidRDefault="00BC0C36" w:rsidP="00BC0C36">
      <w:r>
        <w:t>Anhand von REM Aufnahmen erfolgte eine morphologische Charakterisierung der PEA Partikel. Außerdem wurden die Aufnahmen zur Plausibilitätsüberprüfung der DLS Messungen herangezogen.</w:t>
      </w:r>
      <w:r w:rsidR="00914DF2">
        <w:t xml:space="preserve"> </w:t>
      </w:r>
      <w:r w:rsidR="00206D30">
        <w:t xml:space="preserve">In </w:t>
      </w:r>
      <w:r w:rsidR="00D16240">
        <w:fldChar w:fldCharType="begin"/>
      </w:r>
      <w:r w:rsidR="00206D30">
        <w:instrText xml:space="preserve"> REF _Ref274321103 \h </w:instrText>
      </w:r>
      <w:r w:rsidR="00D16240">
        <w:fldChar w:fldCharType="separate"/>
      </w:r>
      <w:r w:rsidR="00711AB8" w:rsidRPr="00EB5534">
        <w:t xml:space="preserve">Abbildung </w:t>
      </w:r>
      <w:r w:rsidR="00711AB8">
        <w:rPr>
          <w:noProof/>
        </w:rPr>
        <w:t>22</w:t>
      </w:r>
      <w:r w:rsidR="00D16240">
        <w:fldChar w:fldCharType="end"/>
      </w:r>
      <w:r w:rsidR="00206D30">
        <w:t xml:space="preserve"> sind e</w:t>
      </w:r>
      <w:r>
        <w:t xml:space="preserve">inige Aufnahmen von </w:t>
      </w:r>
      <w:r w:rsidR="00BE5EEC">
        <w:t xml:space="preserve">gefriergetrockneten </w:t>
      </w:r>
      <w:r>
        <w:t>As</w:t>
      </w:r>
      <w:r w:rsidR="00206D30">
        <w:t xml:space="preserve">paraginsäure PEA Partikeln </w:t>
      </w:r>
      <w:r>
        <w:t>zu sehen.</w:t>
      </w:r>
    </w:p>
    <w:p w14:paraId="67438DDA" w14:textId="77777777" w:rsidR="001D367F" w:rsidRPr="00BC0C36" w:rsidRDefault="001D367F" w:rsidP="001D367F">
      <w:pPr>
        <w:spacing w:after="0"/>
      </w:pPr>
    </w:p>
    <w:p w14:paraId="25A5C741" w14:textId="77777777" w:rsidR="00787CE4" w:rsidRDefault="00787CE4" w:rsidP="004A4539">
      <w:pPr>
        <w:spacing w:after="40" w:line="240" w:lineRule="auto"/>
        <w:jc w:val="center"/>
      </w:pPr>
      <w:r w:rsidRPr="00787CE4">
        <w:rPr>
          <w:noProof/>
          <w:lang w:eastAsia="de-DE"/>
        </w:rPr>
        <w:drawing>
          <wp:inline distT="0" distB="0" distL="0" distR="0" wp14:anchorId="14E9CCEA" wp14:editId="6866FA8E">
            <wp:extent cx="2730353" cy="2046560"/>
            <wp:effectExtent l="25400" t="25400" r="13335" b="36830"/>
            <wp:docPr id="317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1" name="Picture 8"/>
                    <pic:cNvPicPr>
                      <a:picLocks noChangeAspect="1" noChangeArrowheads="1"/>
                    </pic:cNvPicPr>
                  </pic:nvPicPr>
                  <pic:blipFill>
                    <a:blip r:embed="rId45">
                      <a:lum bright="12000" contrast="6000"/>
                      <a:extLst>
                        <a:ext uri="{28A0092B-C50C-407E-A947-70E740481C1C}">
                          <a14:useLocalDpi xmlns:a14="http://schemas.microsoft.com/office/drawing/2010/main" val="0"/>
                        </a:ext>
                      </a:extLst>
                    </a:blip>
                    <a:srcRect/>
                    <a:stretch>
                      <a:fillRect/>
                    </a:stretch>
                  </pic:blipFill>
                  <pic:spPr bwMode="auto">
                    <a:xfrm>
                      <a:off x="0" y="0"/>
                      <a:ext cx="2731060" cy="2047090"/>
                    </a:xfrm>
                    <a:prstGeom prst="rect">
                      <a:avLst/>
                    </a:prstGeom>
                    <a:noFill/>
                    <a:ln w="6350">
                      <a:solidFill>
                        <a:schemeClr val="tx1"/>
                      </a:solidFill>
                    </a:ln>
                    <a:effectLst/>
                    <a:extLst/>
                  </pic:spPr>
                </pic:pic>
              </a:graphicData>
            </a:graphic>
          </wp:inline>
        </w:drawing>
      </w:r>
      <w:r w:rsidR="00F37E1A">
        <w:t xml:space="preserve">  </w:t>
      </w:r>
      <w:r w:rsidR="00115E18">
        <w:t xml:space="preserve">  </w:t>
      </w:r>
      <w:r w:rsidR="00F37E1A">
        <w:t xml:space="preserve"> </w:t>
      </w:r>
      <w:r w:rsidRPr="00787CE4">
        <w:rPr>
          <w:noProof/>
          <w:lang w:eastAsia="de-DE"/>
        </w:rPr>
        <w:drawing>
          <wp:inline distT="0" distB="0" distL="0" distR="0" wp14:anchorId="51A719B6" wp14:editId="12924C30">
            <wp:extent cx="2753213" cy="2063697"/>
            <wp:effectExtent l="25400" t="25400" r="15875" b="19685"/>
            <wp:docPr id="317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2" name="Picture 9"/>
                    <pic:cNvPicPr>
                      <a:picLocks noChangeAspect="1" noChangeArrowheads="1"/>
                    </pic:cNvPicPr>
                  </pic:nvPicPr>
                  <pic:blipFill>
                    <a:blip r:embed="rId46">
                      <a:lum bright="18000" contrast="12000"/>
                      <a:extLst>
                        <a:ext uri="{28A0092B-C50C-407E-A947-70E740481C1C}">
                          <a14:useLocalDpi xmlns:a14="http://schemas.microsoft.com/office/drawing/2010/main" val="0"/>
                        </a:ext>
                      </a:extLst>
                    </a:blip>
                    <a:srcRect/>
                    <a:stretch>
                      <a:fillRect/>
                    </a:stretch>
                  </pic:blipFill>
                  <pic:spPr bwMode="auto">
                    <a:xfrm>
                      <a:off x="0" y="0"/>
                      <a:ext cx="2755236" cy="2065213"/>
                    </a:xfrm>
                    <a:prstGeom prst="rect">
                      <a:avLst/>
                    </a:prstGeom>
                    <a:noFill/>
                    <a:ln w="6350">
                      <a:solidFill>
                        <a:schemeClr val="tx1"/>
                      </a:solidFill>
                    </a:ln>
                    <a:effectLst/>
                    <a:extLst/>
                  </pic:spPr>
                </pic:pic>
              </a:graphicData>
            </a:graphic>
          </wp:inline>
        </w:drawing>
      </w:r>
    </w:p>
    <w:p w14:paraId="63D9C108" w14:textId="77777777" w:rsidR="00115E18" w:rsidRPr="00115E18" w:rsidRDefault="00115E18" w:rsidP="00115E18">
      <w:pPr>
        <w:spacing w:after="120"/>
      </w:pPr>
      <w:r>
        <w:tab/>
      </w:r>
      <w:r>
        <w:tab/>
      </w:r>
      <w:r>
        <w:tab/>
        <w:t>(A</w:t>
      </w:r>
      <w:r>
        <w:rPr>
          <w:vertAlign w:val="subscript"/>
        </w:rPr>
        <w:t>1</w:t>
      </w:r>
      <w:r>
        <w:t>)</w:t>
      </w:r>
      <w:r>
        <w:tab/>
      </w:r>
      <w:r>
        <w:tab/>
      </w:r>
      <w:r>
        <w:tab/>
      </w:r>
      <w:r>
        <w:tab/>
      </w:r>
      <w:r>
        <w:tab/>
      </w:r>
      <w:r>
        <w:tab/>
        <w:t xml:space="preserve">     (A</w:t>
      </w:r>
      <w:r>
        <w:rPr>
          <w:vertAlign w:val="subscript"/>
        </w:rPr>
        <w:t>2</w:t>
      </w:r>
      <w:r>
        <w:t>)</w:t>
      </w:r>
    </w:p>
    <w:p w14:paraId="33CF477E" w14:textId="77777777" w:rsidR="00F37E1A" w:rsidRDefault="00F37E1A" w:rsidP="004A4539">
      <w:pPr>
        <w:spacing w:after="40" w:line="240" w:lineRule="auto"/>
        <w:jc w:val="center"/>
      </w:pPr>
      <w:r>
        <w:rPr>
          <w:noProof/>
          <w:color w:val="FF0000"/>
          <w:lang w:eastAsia="de-DE"/>
        </w:rPr>
        <w:drawing>
          <wp:inline distT="0" distB="0" distL="0" distR="0" wp14:anchorId="11818496" wp14:editId="30C83C58">
            <wp:extent cx="2728595" cy="2046448"/>
            <wp:effectExtent l="25400" t="25400" r="14605" b="36830"/>
            <wp:docPr id="1750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5780.tif"/>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31962" cy="2048973"/>
                    </a:xfrm>
                    <a:prstGeom prst="rect">
                      <a:avLst/>
                    </a:prstGeom>
                    <a:ln w="6350">
                      <a:solidFill>
                        <a:schemeClr val="tx1"/>
                      </a:solidFill>
                    </a:ln>
                  </pic:spPr>
                </pic:pic>
              </a:graphicData>
            </a:graphic>
          </wp:inline>
        </w:drawing>
      </w:r>
      <w:r>
        <w:t xml:space="preserve"> </w:t>
      </w:r>
      <w:r w:rsidR="00115E18">
        <w:t xml:space="preserve">   </w:t>
      </w:r>
      <w:r>
        <w:t xml:space="preserve"> </w:t>
      </w:r>
      <w:r>
        <w:rPr>
          <w:noProof/>
          <w:color w:val="FF0000"/>
          <w:lang w:eastAsia="de-DE"/>
        </w:rPr>
        <w:drawing>
          <wp:inline distT="0" distB="0" distL="0" distR="0" wp14:anchorId="0CBFCB3F" wp14:editId="34E4EA1B">
            <wp:extent cx="2732400" cy="2049303"/>
            <wp:effectExtent l="25400" t="25400" r="36830" b="33655"/>
            <wp:docPr id="17508"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5784.tif"/>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32400" cy="2049303"/>
                    </a:xfrm>
                    <a:prstGeom prst="rect">
                      <a:avLst/>
                    </a:prstGeom>
                    <a:ln w="6350">
                      <a:solidFill>
                        <a:schemeClr val="tx1"/>
                      </a:solidFill>
                    </a:ln>
                  </pic:spPr>
                </pic:pic>
              </a:graphicData>
            </a:graphic>
          </wp:inline>
        </w:drawing>
      </w:r>
    </w:p>
    <w:p w14:paraId="31F682B8" w14:textId="77777777" w:rsidR="00115E18" w:rsidRDefault="00115E18" w:rsidP="00EB5534">
      <w:pPr>
        <w:spacing w:after="120"/>
      </w:pPr>
      <w:r>
        <w:tab/>
      </w:r>
      <w:r>
        <w:tab/>
      </w:r>
      <w:r>
        <w:tab/>
        <w:t>(B</w:t>
      </w:r>
      <w:r>
        <w:rPr>
          <w:vertAlign w:val="subscript"/>
        </w:rPr>
        <w:t>1</w:t>
      </w:r>
      <w:r>
        <w:t>)</w:t>
      </w:r>
      <w:r>
        <w:tab/>
      </w:r>
      <w:r>
        <w:tab/>
      </w:r>
      <w:r>
        <w:tab/>
      </w:r>
      <w:r>
        <w:tab/>
      </w:r>
      <w:r>
        <w:tab/>
      </w:r>
      <w:r>
        <w:tab/>
        <w:t xml:space="preserve">     (B</w:t>
      </w:r>
      <w:r>
        <w:rPr>
          <w:vertAlign w:val="subscript"/>
        </w:rPr>
        <w:t>2</w:t>
      </w:r>
      <w:r>
        <w:t>)</w:t>
      </w:r>
    </w:p>
    <w:p w14:paraId="59018D6E" w14:textId="77777777" w:rsidR="00115E18" w:rsidRDefault="00EB5534" w:rsidP="003D6D5A">
      <w:pPr>
        <w:pStyle w:val="Beschriftung"/>
        <w:ind w:firstLine="0"/>
        <w:rPr>
          <w:b w:val="0"/>
        </w:rPr>
      </w:pPr>
      <w:bookmarkStart w:id="220" w:name="_Ref274321103"/>
      <w:r w:rsidRPr="00EB5534">
        <w:t xml:space="preserve">Abbildung </w:t>
      </w:r>
      <w:fldSimple w:instr=" SEQ Abbildung \* ARABIC ">
        <w:r w:rsidR="00711AB8">
          <w:rPr>
            <w:noProof/>
          </w:rPr>
          <w:t>22</w:t>
        </w:r>
      </w:fldSimple>
      <w:bookmarkEnd w:id="220"/>
      <w:r>
        <w:t xml:space="preserve"> </w:t>
      </w:r>
      <w:r w:rsidRPr="001D367F">
        <w:rPr>
          <w:b w:val="0"/>
        </w:rPr>
        <w:t xml:space="preserve">REM Aufnahmen von gefriergetrockneten Nanopartikeln aus Asparaginsäure PEA; </w:t>
      </w:r>
      <w:r w:rsidR="00B91A6A" w:rsidRPr="001D367F">
        <w:rPr>
          <w:b w:val="0"/>
        </w:rPr>
        <w:t>Probe A: Placebopartikel aus PEA 01, Versuch Nr. 1 in</w:t>
      </w:r>
      <w:r w:rsidR="00B91A6A" w:rsidRPr="003375F3">
        <w:rPr>
          <w:b w:val="0"/>
        </w:rPr>
        <w:t xml:space="preserve"> </w:t>
      </w:r>
      <w:r w:rsidR="00057BAF">
        <w:fldChar w:fldCharType="begin"/>
      </w:r>
      <w:r w:rsidR="00057BAF">
        <w:instrText xml:space="preserve"> REF _Ref274161710 \h  \* MERGEFORMAT </w:instrText>
      </w:r>
      <w:r w:rsidR="00057BAF">
        <w:fldChar w:fldCharType="separate"/>
      </w:r>
      <w:r w:rsidR="00711AB8" w:rsidRPr="00711AB8">
        <w:rPr>
          <w:b w:val="0"/>
        </w:rPr>
        <w:t xml:space="preserve">Tabelle </w:t>
      </w:r>
      <w:r w:rsidR="00711AB8" w:rsidRPr="00711AB8">
        <w:rPr>
          <w:b w:val="0"/>
          <w:noProof/>
        </w:rPr>
        <w:t>22</w:t>
      </w:r>
      <w:r w:rsidR="00057BAF">
        <w:fldChar w:fldCharType="end"/>
      </w:r>
      <w:r w:rsidR="00D13632">
        <w:rPr>
          <w:b w:val="0"/>
        </w:rPr>
        <w:t>; Probe B: Desmopressin-</w:t>
      </w:r>
      <w:r w:rsidR="00B91A6A" w:rsidRPr="001D367F">
        <w:rPr>
          <w:b w:val="0"/>
        </w:rPr>
        <w:t xml:space="preserve">beladene Partikel aus PEA 06, Versuch Nr. </w:t>
      </w:r>
      <w:r w:rsidR="000460FB" w:rsidRPr="001D367F">
        <w:rPr>
          <w:b w:val="0"/>
        </w:rPr>
        <w:t>10 in</w:t>
      </w:r>
      <w:r w:rsidR="00B91A6A" w:rsidRPr="001D367F">
        <w:rPr>
          <w:b w:val="0"/>
        </w:rPr>
        <w:t xml:space="preserve"> </w:t>
      </w:r>
      <w:r w:rsidR="0008041E">
        <w:rPr>
          <w:b w:val="0"/>
        </w:rPr>
        <w:t xml:space="preserve">     </w:t>
      </w:r>
      <w:r w:rsidR="00057BAF">
        <w:fldChar w:fldCharType="begin"/>
      </w:r>
      <w:r w:rsidR="00057BAF">
        <w:instrText xml:space="preserve"> REF _Ref274161710 \h  \* MERGEFORMAT </w:instrText>
      </w:r>
      <w:r w:rsidR="00057BAF">
        <w:fldChar w:fldCharType="separate"/>
      </w:r>
      <w:r w:rsidR="00711AB8" w:rsidRPr="00711AB8">
        <w:rPr>
          <w:b w:val="0"/>
        </w:rPr>
        <w:t xml:space="preserve">Tabelle </w:t>
      </w:r>
      <w:r w:rsidR="00711AB8" w:rsidRPr="00711AB8">
        <w:rPr>
          <w:b w:val="0"/>
          <w:noProof/>
        </w:rPr>
        <w:t>22</w:t>
      </w:r>
      <w:r w:rsidR="00057BAF">
        <w:fldChar w:fldCharType="end"/>
      </w:r>
      <w:r w:rsidR="001F5F60">
        <w:rPr>
          <w:b w:val="0"/>
        </w:rPr>
        <w:t>.</w:t>
      </w:r>
    </w:p>
    <w:p w14:paraId="2B9BA4D5" w14:textId="77777777" w:rsidR="00B91A6A" w:rsidRDefault="00B91A6A" w:rsidP="00612D73">
      <w:pPr>
        <w:spacing w:after="0"/>
      </w:pPr>
    </w:p>
    <w:p w14:paraId="0D0F3A20" w14:textId="77777777" w:rsidR="003266CF" w:rsidRDefault="00B73B2B" w:rsidP="00B91A6A">
      <w:r>
        <w:t xml:space="preserve">Die Aufnahmen beider Proben in </w:t>
      </w:r>
      <w:r w:rsidR="00D16240">
        <w:fldChar w:fldCharType="begin"/>
      </w:r>
      <w:r>
        <w:instrText xml:space="preserve"> REF _Ref274321103 \h </w:instrText>
      </w:r>
      <w:r w:rsidR="00D16240">
        <w:fldChar w:fldCharType="separate"/>
      </w:r>
      <w:r w:rsidR="00711AB8" w:rsidRPr="00EB5534">
        <w:t xml:space="preserve">Abbildung </w:t>
      </w:r>
      <w:r w:rsidR="00711AB8">
        <w:rPr>
          <w:noProof/>
        </w:rPr>
        <w:t>22</w:t>
      </w:r>
      <w:r w:rsidR="00D16240">
        <w:fldChar w:fldCharType="end"/>
      </w:r>
      <w:r>
        <w:t xml:space="preserve"> zeigen sphärische und teilweise uneinheitlich geformte Partikel. In Probe A sind die Partikel makroskopisch als Plättchen angeordnet (A</w:t>
      </w:r>
      <w:r>
        <w:rPr>
          <w:vertAlign w:val="subscript"/>
        </w:rPr>
        <w:t>1</w:t>
      </w:r>
      <w:r w:rsidR="00EC7A5C">
        <w:t>) und in Probe B lagern sie sich zu kugelförmigen</w:t>
      </w:r>
      <w:r>
        <w:t xml:space="preserve"> Agglomerat</w:t>
      </w:r>
      <w:r w:rsidR="00EC7A5C">
        <w:t>en zusammen</w:t>
      </w:r>
      <w:r>
        <w:t xml:space="preserve"> (B</w:t>
      </w:r>
      <w:r>
        <w:rPr>
          <w:vertAlign w:val="subscript"/>
        </w:rPr>
        <w:t>1</w:t>
      </w:r>
      <w:r>
        <w:t xml:space="preserve">). </w:t>
      </w:r>
      <w:r w:rsidR="00C561FC">
        <w:t>In Probe A besteht das gesamte zu sehende Ma</w:t>
      </w:r>
      <w:r w:rsidR="007607E3">
        <w:t>terial aus Partikeln, die einen</w:t>
      </w:r>
      <w:r w:rsidR="004752D7">
        <w:t xml:space="preserve"> </w:t>
      </w:r>
      <w:r w:rsidR="00C561FC">
        <w:t xml:space="preserve">Durchmesser zwischen 100 nm und 300 nm aufweisen. </w:t>
      </w:r>
      <w:r w:rsidR="003335EA">
        <w:t>Die Partike</w:t>
      </w:r>
      <w:r w:rsidR="007607E3">
        <w:t>l in Probe B erscheinen in de</w:t>
      </w:r>
      <w:r w:rsidR="00EC7A5C">
        <w:t>r Gesamtübersicht in etwa ähnlich</w:t>
      </w:r>
      <w:r w:rsidR="007607E3">
        <w:t xml:space="preserve"> groß wie die Partikel aus Probe A, sie haben einen Durchmesser zwischen 150 nm und 300</w:t>
      </w:r>
      <w:r w:rsidR="003335EA">
        <w:t xml:space="preserve"> nm. </w:t>
      </w:r>
      <w:r w:rsidR="007607E3">
        <w:t xml:space="preserve">Die DLS Messung ergab für Probe A einen mittleren Partikeldurchmesser von 246 nm (Versuch Nr. 1 in </w:t>
      </w:r>
      <w:r w:rsidR="00D16240">
        <w:fldChar w:fldCharType="begin"/>
      </w:r>
      <w:r w:rsidR="007607E3">
        <w:instrText xml:space="preserve"> REF _Ref274161710 \h </w:instrText>
      </w:r>
      <w:r w:rsidR="00D16240">
        <w:fldChar w:fldCharType="separate"/>
      </w:r>
      <w:r w:rsidR="00711AB8" w:rsidRPr="00CD2FA1">
        <w:t xml:space="preserve">Tabelle </w:t>
      </w:r>
      <w:r w:rsidR="00711AB8">
        <w:rPr>
          <w:noProof/>
        </w:rPr>
        <w:t>22</w:t>
      </w:r>
      <w:r w:rsidR="00D16240">
        <w:fldChar w:fldCharType="end"/>
      </w:r>
      <w:r w:rsidR="007607E3">
        <w:t xml:space="preserve">) und für Probe B von 244 nm (Versuch Nr. 10 in </w:t>
      </w:r>
      <w:r w:rsidR="00D16240">
        <w:fldChar w:fldCharType="begin"/>
      </w:r>
      <w:r w:rsidR="007607E3">
        <w:instrText xml:space="preserve"> REF _Ref274161710 \h </w:instrText>
      </w:r>
      <w:r w:rsidR="00D16240">
        <w:fldChar w:fldCharType="separate"/>
      </w:r>
      <w:r w:rsidR="00711AB8" w:rsidRPr="00CD2FA1">
        <w:t xml:space="preserve">Tabelle </w:t>
      </w:r>
      <w:r w:rsidR="00711AB8">
        <w:rPr>
          <w:noProof/>
        </w:rPr>
        <w:t>22</w:t>
      </w:r>
      <w:r w:rsidR="00D16240">
        <w:fldChar w:fldCharType="end"/>
      </w:r>
      <w:r w:rsidR="007607E3">
        <w:t>). Die Beoba</w:t>
      </w:r>
      <w:r w:rsidR="00EC7A5C">
        <w:t>chtungen der REM Analyse stehen mit den Ergebnissen der</w:t>
      </w:r>
      <w:r w:rsidR="007607E3">
        <w:t xml:space="preserve"> DLS </w:t>
      </w:r>
      <w:r w:rsidR="00EC7A5C">
        <w:t>Partikelgrößenmessungen</w:t>
      </w:r>
      <w:r w:rsidR="008145B1">
        <w:t xml:space="preserve"> sehr gut</w:t>
      </w:r>
      <w:r w:rsidR="001F5F60">
        <w:t xml:space="preserve"> in</w:t>
      </w:r>
      <w:r w:rsidR="00EC7A5C">
        <w:t xml:space="preserve"> Einklang</w:t>
      </w:r>
      <w:r w:rsidR="00BE5EEC">
        <w:t xml:space="preserve">. </w:t>
      </w:r>
    </w:p>
    <w:p w14:paraId="1C35A0B0" w14:textId="77777777" w:rsidR="003266CF" w:rsidRDefault="003335EA" w:rsidP="00B91A6A">
      <w:r>
        <w:t>Probe B enthält auch Bereiche mit st</w:t>
      </w:r>
      <w:r w:rsidR="00BE5EEC">
        <w:t xml:space="preserve">ärker aggregierten </w:t>
      </w:r>
      <w:r>
        <w:t xml:space="preserve">Partikeln und geringe Mengen an nicht partikulär geformtem Material. </w:t>
      </w:r>
      <w:r w:rsidR="007607E3">
        <w:t>Eine mögliche Erklärung hierfür könnte sein, das</w:t>
      </w:r>
      <w:r w:rsidR="00CB56D9">
        <w:t>s Probe B im Gegensatz zu Probe </w:t>
      </w:r>
      <w:r w:rsidR="007607E3">
        <w:t>A den</w:t>
      </w:r>
      <w:r w:rsidR="00BE5EEC">
        <w:t xml:space="preserve"> Wirkstoff Desmopressin enthält, der auch an der Außenseite der </w:t>
      </w:r>
      <w:r w:rsidR="00BE5EEC">
        <w:lastRenderedPageBreak/>
        <w:t xml:space="preserve">Partikel </w:t>
      </w:r>
      <w:r w:rsidR="00EC7A5C">
        <w:t>an</w:t>
      </w:r>
      <w:r w:rsidR="00B00EFC">
        <w:t>haftet und ein</w:t>
      </w:r>
      <w:r w:rsidR="002555F3">
        <w:t>e</w:t>
      </w:r>
      <w:r w:rsidR="00B00EFC">
        <w:t xml:space="preserve"> Art</w:t>
      </w:r>
      <w:r w:rsidR="00BE5EEC">
        <w:t xml:space="preserve"> „Kit“ </w:t>
      </w:r>
      <w:r w:rsidR="00413E09">
        <w:t xml:space="preserve">zwischen den Partikeln </w:t>
      </w:r>
      <w:r w:rsidR="00BE5EEC">
        <w:t>bildet.</w:t>
      </w:r>
      <w:r w:rsidR="007607E3">
        <w:t xml:space="preserve"> </w:t>
      </w:r>
      <w:r w:rsidR="0020196D">
        <w:t xml:space="preserve">Im Zusammenhang mit Untersuchungen zur Schmelzextrusion wurde </w:t>
      </w:r>
      <w:r w:rsidR="003266CF">
        <w:t>zudem beobac</w:t>
      </w:r>
      <w:r w:rsidR="002555F3">
        <w:t>htet, dass neben den häufig verwendeten klassischen Weichmachern</w:t>
      </w:r>
      <w:r w:rsidR="003266CF">
        <w:t xml:space="preserve"> auch</w:t>
      </w:r>
      <w:r w:rsidR="0020196D">
        <w:t xml:space="preserve"> Wirkstoffe die Glasübergangstemperatur von Polymeren herabsetz</w:t>
      </w:r>
      <w:r w:rsidR="003266CF">
        <w:t>en</w:t>
      </w:r>
      <w:r w:rsidR="0020196D">
        <w:t xml:space="preserve"> können</w:t>
      </w:r>
      <w:r w:rsidR="003266CF">
        <w:t xml:space="preserve"> und </w:t>
      </w:r>
      <w:r w:rsidR="004C059B">
        <w:t>auf diese Weise</w:t>
      </w:r>
      <w:r w:rsidR="003266CF">
        <w:t xml:space="preserve"> ebenfalls als Weichmacher wirken</w:t>
      </w:r>
      <w:r w:rsidR="0020196D">
        <w:rPr>
          <w:rStyle w:val="Endnotenzeichen"/>
        </w:rPr>
        <w:endnoteReference w:id="139"/>
      </w:r>
      <w:r w:rsidR="0020196D">
        <w:t xml:space="preserve">. </w:t>
      </w:r>
      <w:r w:rsidR="003266CF">
        <w:t>Es ist anzunehmen, dass dies</w:t>
      </w:r>
      <w:r w:rsidR="00B00EFC">
        <w:t xml:space="preserve"> auch für Desmo</w:t>
      </w:r>
      <w:r w:rsidR="003266CF">
        <w:t>pressin zutrifft, wodurch die</w:t>
      </w:r>
      <w:r w:rsidR="00B00EFC">
        <w:t xml:space="preserve"> </w:t>
      </w:r>
      <w:r w:rsidR="003266CF">
        <w:t>stärkere Verfilmung</w:t>
      </w:r>
      <w:r w:rsidR="00B00EFC">
        <w:t xml:space="preserve"> der wirkstoffhaltige</w:t>
      </w:r>
      <w:r w:rsidR="003266CF">
        <w:t>n Probe zu erklären wäre.</w:t>
      </w:r>
    </w:p>
    <w:p w14:paraId="50624937" w14:textId="77777777" w:rsidR="00E93E0F" w:rsidRDefault="003335EA" w:rsidP="00B91A6A">
      <w:r>
        <w:t>In beiden Pro</w:t>
      </w:r>
      <w:r w:rsidR="00985214">
        <w:t>ben liegen die Partikel sehr dicht anein</w:t>
      </w:r>
      <w:r w:rsidR="00C77B10">
        <w:t>enader und scheinen teilweise mit</w:t>
      </w:r>
      <w:r w:rsidR="00985214">
        <w:t>einander verschmolzen zu sein. D</w:t>
      </w:r>
      <w:r>
        <w:t>ie DLS Messung</w:t>
      </w:r>
      <w:r w:rsidR="007607E3">
        <w:t>en</w:t>
      </w:r>
      <w:r>
        <w:t xml:space="preserve"> der redispergierten Proben zeigte</w:t>
      </w:r>
      <w:r w:rsidR="007607E3">
        <w:t>n</w:t>
      </w:r>
      <w:r>
        <w:t xml:space="preserve"> jedoch jeweils, dass sich die Partikel weitgehend </w:t>
      </w:r>
      <w:r w:rsidR="00985214">
        <w:t>vereinzelt redispergieren ließen</w:t>
      </w:r>
      <w:r w:rsidR="007607E3">
        <w:t>.</w:t>
      </w:r>
      <w:r w:rsidR="00985214">
        <w:t xml:space="preserve"> Es is</w:t>
      </w:r>
      <w:r w:rsidR="00A63566">
        <w:t>t naheliegend, dass die starke Agglomeration der Partikel</w:t>
      </w:r>
      <w:r w:rsidR="00985214">
        <w:t xml:space="preserve"> im Zuge der Probenaufbereitung für die REM Analyse mit Vakuumtrocknung und Goldbeschichtung </w:t>
      </w:r>
      <w:r w:rsidR="00A63566">
        <w:t>verursacht wurde.</w:t>
      </w:r>
    </w:p>
    <w:p w14:paraId="659FB58B" w14:textId="77777777" w:rsidR="00612D73" w:rsidRDefault="0072508C" w:rsidP="00B91A6A">
      <w:r>
        <w:t xml:space="preserve">Die Partikelgrößenverteilung erscheint in der Übersicht weitgehend einheitlich. Diese Beobachtung steht mit den sehr niedrigen per DLS gemessenen PDIs von 0,023 für </w:t>
      </w:r>
      <w:r w:rsidR="001F5F60">
        <w:t>Probe A und 0,035 für Probe B in</w:t>
      </w:r>
      <w:r>
        <w:t xml:space="preserve"> Einklang.</w:t>
      </w:r>
    </w:p>
    <w:p w14:paraId="3B048B49" w14:textId="77777777" w:rsidR="00BE5EEC" w:rsidRDefault="00BE5EEC" w:rsidP="0072508C">
      <w:pPr>
        <w:spacing w:after="0"/>
      </w:pPr>
    </w:p>
    <w:p w14:paraId="386037AD" w14:textId="77777777" w:rsidR="00BE5EEC" w:rsidRDefault="00D16240" w:rsidP="00B91A6A">
      <w:r>
        <w:fldChar w:fldCharType="begin"/>
      </w:r>
      <w:r w:rsidR="00BE5EEC">
        <w:instrText xml:space="preserve"> REF _Ref274321107 \h </w:instrText>
      </w:r>
      <w:r>
        <w:fldChar w:fldCharType="separate"/>
      </w:r>
      <w:r w:rsidR="00711AB8" w:rsidRPr="00B91A6A">
        <w:t xml:space="preserve">Abbildung </w:t>
      </w:r>
      <w:r w:rsidR="00711AB8">
        <w:rPr>
          <w:noProof/>
        </w:rPr>
        <w:t>23</w:t>
      </w:r>
      <w:r>
        <w:fldChar w:fldCharType="end"/>
      </w:r>
      <w:r w:rsidR="00BE5EEC">
        <w:t xml:space="preserve"> zeigt Aufn</w:t>
      </w:r>
      <w:r w:rsidR="000564D5">
        <w:t>ahmen von Cystein PEA Partikeln. Diese Aufnahmen wurden mit einer Probe der Partikelsuspension</w:t>
      </w:r>
      <w:r w:rsidR="00BE5EEC">
        <w:t xml:space="preserve"> </w:t>
      </w:r>
      <w:r w:rsidR="000564D5">
        <w:t xml:space="preserve">direkt nach der Herstellung und Aufreinigung der Partikel erstellt. Die Suspension wurde 1:5 mit destilliertem Wasser verdünnt </w:t>
      </w:r>
      <w:r w:rsidR="00BE5EEC">
        <w:t>und</w:t>
      </w:r>
      <w:r w:rsidR="000564D5">
        <w:t xml:space="preserve"> direkt auf einen</w:t>
      </w:r>
      <w:r w:rsidR="00BE5EEC">
        <w:t xml:space="preserve"> RE</w:t>
      </w:r>
      <w:r w:rsidR="0072508C">
        <w:t>M Probenträger</w:t>
      </w:r>
      <w:r w:rsidR="000564D5">
        <w:t xml:space="preserve"> aufgetragen</w:t>
      </w:r>
      <w:r w:rsidR="0072508C">
        <w:t>.</w:t>
      </w:r>
      <w:r w:rsidR="000564D5">
        <w:t xml:space="preserve"> Nach dem Eintrocknen der Probe im Vakuum und der Bedampfu</w:t>
      </w:r>
      <w:r w:rsidR="006D0B16">
        <w:t>ng mit Gold wurde die Analyse durchgeführt</w:t>
      </w:r>
      <w:r w:rsidR="000564D5">
        <w:t>.</w:t>
      </w:r>
      <w:r w:rsidR="0072508C">
        <w:t xml:space="preserve"> Eine direkte Aufnahme des gefriergetrockneten Pulvers war </w:t>
      </w:r>
      <w:r w:rsidR="006D0B16">
        <w:t xml:space="preserve">mit Cystein PEA </w:t>
      </w:r>
      <w:r w:rsidR="0072508C">
        <w:t>nicht erfolgreich, da die Partikel im Zug</w:t>
      </w:r>
      <w:r w:rsidR="006D0B16">
        <w:t>e der Probenaufbereitung für die</w:t>
      </w:r>
      <w:r w:rsidR="0072508C">
        <w:t xml:space="preserve"> REM Analyse vollständig ineinander verschmolzen</w:t>
      </w:r>
      <w:r w:rsidR="000564D5">
        <w:t xml:space="preserve"> waren</w:t>
      </w:r>
      <w:r w:rsidR="0072508C">
        <w:t xml:space="preserve"> und einen Film bildeten.</w:t>
      </w:r>
    </w:p>
    <w:p w14:paraId="5E44BE9D" w14:textId="77777777" w:rsidR="001D367F" w:rsidRPr="00B73B2B" w:rsidRDefault="001D367F" w:rsidP="001D367F">
      <w:pPr>
        <w:spacing w:after="0"/>
      </w:pPr>
    </w:p>
    <w:p w14:paraId="0E5173EA" w14:textId="77777777" w:rsidR="00B91A6A" w:rsidRDefault="00B91A6A" w:rsidP="00B91A6A">
      <w:pPr>
        <w:spacing w:after="0"/>
      </w:pPr>
      <w:r>
        <w:rPr>
          <w:noProof/>
          <w:color w:val="FF0000"/>
          <w:lang w:eastAsia="de-DE"/>
        </w:rPr>
        <w:drawing>
          <wp:inline distT="0" distB="0" distL="0" distR="0" wp14:anchorId="4CF5ECD1" wp14:editId="118AF40E">
            <wp:extent cx="2714527" cy="2036992"/>
            <wp:effectExtent l="25400" t="25400" r="29210" b="20955"/>
            <wp:docPr id="1751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19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2716208" cy="2038253"/>
                    </a:xfrm>
                    <a:prstGeom prst="rect">
                      <a:avLst/>
                    </a:prstGeom>
                    <a:noFill/>
                    <a:ln w="6350">
                      <a:solidFill>
                        <a:schemeClr val="tx1"/>
                      </a:solidFill>
                    </a:ln>
                  </pic:spPr>
                </pic:pic>
              </a:graphicData>
            </a:graphic>
          </wp:inline>
        </w:drawing>
      </w:r>
      <w:r>
        <w:t xml:space="preserve">  </w:t>
      </w:r>
      <w:r>
        <w:rPr>
          <w:noProof/>
          <w:color w:val="FF0000"/>
          <w:lang w:eastAsia="de-DE"/>
        </w:rPr>
        <w:drawing>
          <wp:inline distT="0" distB="0" distL="0" distR="0" wp14:anchorId="1AC186AB" wp14:editId="0D580FD6">
            <wp:extent cx="2730353" cy="2044858"/>
            <wp:effectExtent l="25400" t="25400" r="13335" b="12700"/>
            <wp:docPr id="1751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BEBA8EAE-BF5A-486C-A8C5-ECC9F3942E4B}">
                          <a14:imgProps xmlns:a14="http://schemas.microsoft.com/office/drawing/2010/main">
                            <a14:imgLayer r:embed="rId52">
                              <a14:imgEffect>
                                <a14:brightnessContrast bright="20000" contrast="8000"/>
                              </a14:imgEffect>
                            </a14:imgLayer>
                          </a14:imgProps>
                        </a:ext>
                        <a:ext uri="{28A0092B-C50C-407E-A947-70E740481C1C}">
                          <a14:useLocalDpi xmlns:a14="http://schemas.microsoft.com/office/drawing/2010/main" val="0"/>
                        </a:ext>
                      </a:extLst>
                    </a:blip>
                    <a:srcRect/>
                    <a:stretch>
                      <a:fillRect/>
                    </a:stretch>
                  </pic:blipFill>
                  <pic:spPr bwMode="auto">
                    <a:xfrm>
                      <a:off x="0" y="0"/>
                      <a:ext cx="2730983" cy="2045330"/>
                    </a:xfrm>
                    <a:prstGeom prst="rect">
                      <a:avLst/>
                    </a:prstGeom>
                    <a:noFill/>
                    <a:ln w="6350">
                      <a:solidFill>
                        <a:schemeClr val="tx1"/>
                      </a:solidFill>
                    </a:ln>
                  </pic:spPr>
                </pic:pic>
              </a:graphicData>
            </a:graphic>
          </wp:inline>
        </w:drawing>
      </w:r>
    </w:p>
    <w:p w14:paraId="65D89A8B" w14:textId="77777777" w:rsidR="00B91A6A" w:rsidRDefault="00B91A6A" w:rsidP="003D6D5A">
      <w:pPr>
        <w:pStyle w:val="Beschriftung"/>
        <w:ind w:firstLine="0"/>
        <w:rPr>
          <w:b w:val="0"/>
        </w:rPr>
      </w:pPr>
      <w:bookmarkStart w:id="221" w:name="_Ref274321107"/>
      <w:r w:rsidRPr="00B91A6A">
        <w:t xml:space="preserve">Abbildung </w:t>
      </w:r>
      <w:fldSimple w:instr=" SEQ Abbildung \* ARABIC ">
        <w:r w:rsidR="00711AB8">
          <w:rPr>
            <w:noProof/>
          </w:rPr>
          <w:t>23</w:t>
        </w:r>
      </w:fldSimple>
      <w:bookmarkEnd w:id="221"/>
      <w:r>
        <w:t xml:space="preserve"> </w:t>
      </w:r>
      <w:r>
        <w:rPr>
          <w:b w:val="0"/>
        </w:rPr>
        <w:t xml:space="preserve">REM Aufnahmen von gefriergetrockneten </w:t>
      </w:r>
      <w:r w:rsidR="00D13632">
        <w:rPr>
          <w:b w:val="0"/>
        </w:rPr>
        <w:t>mit D</w:t>
      </w:r>
      <w:r w:rsidR="00C267E3">
        <w:rPr>
          <w:b w:val="0"/>
        </w:rPr>
        <w:t xml:space="preserve">esmopressin </w:t>
      </w:r>
      <w:r w:rsidR="000460FB">
        <w:rPr>
          <w:b w:val="0"/>
        </w:rPr>
        <w:t xml:space="preserve">beladenen </w:t>
      </w:r>
      <w:r>
        <w:rPr>
          <w:b w:val="0"/>
        </w:rPr>
        <w:t>Nanopartikeln aus Cystein PEA</w:t>
      </w:r>
      <w:r w:rsidR="00741973">
        <w:rPr>
          <w:b w:val="0"/>
        </w:rPr>
        <w:t xml:space="preserve">, Versuch Nr. 8 in </w:t>
      </w:r>
      <w:r w:rsidR="00057BAF">
        <w:fldChar w:fldCharType="begin"/>
      </w:r>
      <w:r w:rsidR="00057BAF">
        <w:instrText xml:space="preserve"> REF _Ref274163655 \h  \* MERGEFORMAT </w:instrText>
      </w:r>
      <w:r w:rsidR="00057BAF">
        <w:fldChar w:fldCharType="separate"/>
      </w:r>
      <w:r w:rsidR="00711AB8" w:rsidRPr="00711AB8">
        <w:rPr>
          <w:b w:val="0"/>
        </w:rPr>
        <w:t xml:space="preserve">Tabelle </w:t>
      </w:r>
      <w:r w:rsidR="00711AB8" w:rsidRPr="00711AB8">
        <w:rPr>
          <w:b w:val="0"/>
          <w:noProof/>
        </w:rPr>
        <w:t>23</w:t>
      </w:r>
      <w:r w:rsidR="00057BAF">
        <w:fldChar w:fldCharType="end"/>
      </w:r>
      <w:r w:rsidR="00741973">
        <w:rPr>
          <w:b w:val="0"/>
        </w:rPr>
        <w:t>, verwendetes Polymer: PEA 09</w:t>
      </w:r>
      <w:r w:rsidR="00D13632">
        <w:rPr>
          <w:b w:val="0"/>
        </w:rPr>
        <w:t>.</w:t>
      </w:r>
    </w:p>
    <w:p w14:paraId="41ADABB9" w14:textId="77777777" w:rsidR="000564D5" w:rsidRDefault="000564D5" w:rsidP="000564D5">
      <w:pPr>
        <w:spacing w:after="0"/>
      </w:pPr>
    </w:p>
    <w:p w14:paraId="3EA1C142" w14:textId="77777777" w:rsidR="000564D5" w:rsidRPr="000564D5" w:rsidRDefault="006D0B16" w:rsidP="000564D5">
      <w:r>
        <w:lastRenderedPageBreak/>
        <w:t xml:space="preserve">Die Übersichtsaufnahme in </w:t>
      </w:r>
      <w:r w:rsidR="00D16240">
        <w:fldChar w:fldCharType="begin"/>
      </w:r>
      <w:r>
        <w:instrText xml:space="preserve"> REF _Ref274321107 \h </w:instrText>
      </w:r>
      <w:r w:rsidR="00D16240">
        <w:fldChar w:fldCharType="separate"/>
      </w:r>
      <w:r w:rsidR="00711AB8" w:rsidRPr="00B91A6A">
        <w:t xml:space="preserve">Abbildung </w:t>
      </w:r>
      <w:r w:rsidR="00711AB8">
        <w:rPr>
          <w:noProof/>
        </w:rPr>
        <w:t>23</w:t>
      </w:r>
      <w:r w:rsidR="00D16240">
        <w:fldChar w:fldCharType="end"/>
      </w:r>
      <w:r>
        <w:t xml:space="preserve"> links zeigt weitgehend vereinzelte und nicht agglomerierte sphärische Partikel mit einer relativ breiten Partikelgrößenverteilung. Anhand beider Aufnahmen können Partikel mit ungefähren Durchme</w:t>
      </w:r>
      <w:r w:rsidR="00CB56D9">
        <w:t>ssern zwischen 100 nm und 600 nm</w:t>
      </w:r>
      <w:r>
        <w:t xml:space="preserve"> identifiziert werden. </w:t>
      </w:r>
      <w:r w:rsidR="00CB56D9">
        <w:t>Außerdem finden sich einige wenige Bruchstücke mit einer Größe zwischen 1 µm und 2</w:t>
      </w:r>
      <w:r w:rsidR="00D16C5C">
        <w:t xml:space="preserve"> µm. Die DLS Messung der Probe (Versuch Nr. 8 in </w:t>
      </w:r>
      <w:r w:rsidR="00D16240">
        <w:fldChar w:fldCharType="begin"/>
      </w:r>
      <w:r w:rsidR="00D16C5C">
        <w:instrText xml:space="preserve"> REF _Ref274163655 \h </w:instrText>
      </w:r>
      <w:r w:rsidR="00D16240">
        <w:fldChar w:fldCharType="separate"/>
      </w:r>
      <w:r w:rsidR="00711AB8" w:rsidRPr="00F14BF3">
        <w:t xml:space="preserve">Tabelle </w:t>
      </w:r>
      <w:r w:rsidR="00711AB8">
        <w:rPr>
          <w:noProof/>
        </w:rPr>
        <w:t>23</w:t>
      </w:r>
      <w:r w:rsidR="00D16240">
        <w:fldChar w:fldCharType="end"/>
      </w:r>
      <w:r w:rsidR="00D16C5C">
        <w:t>) ergab 392 nm mit einem PDI von 0,150. Die</w:t>
      </w:r>
      <w:r w:rsidR="001F5F60">
        <w:t>se Ergebnisse stehen sehr gut in</w:t>
      </w:r>
      <w:r w:rsidR="00D16C5C">
        <w:t xml:space="preserve"> Einklang mit den Beobachtungen der REM Analytik. Vergleicht man die Aufnahmen der Cystein PEA Partikel mit denen der Asparaginsäure PEA Partikel, so ist die breitere Partikelgrößenverteilung der Cystein PEA Partikel, die sich auch in der DLS </w:t>
      </w:r>
      <w:r w:rsidR="00846E62">
        <w:t>Messung wiederspiegelt,</w:t>
      </w:r>
      <w:r w:rsidR="00D16C5C">
        <w:t xml:space="preserve"> zu erkennen.</w:t>
      </w:r>
    </w:p>
    <w:p w14:paraId="5E7FCDC7" w14:textId="77777777" w:rsidR="003B37C5" w:rsidRDefault="00996F38" w:rsidP="00ED4563">
      <w:pPr>
        <w:pStyle w:val="berschrift4"/>
      </w:pPr>
      <w:bookmarkStart w:id="222" w:name="_Toc294380246"/>
      <w:r>
        <w:t>I</w:t>
      </w:r>
      <w:r w:rsidR="00DC7462">
        <w:t>n vitro-</w:t>
      </w:r>
      <w:r w:rsidR="003B37C5" w:rsidRPr="00C0344D">
        <w:t>Freisetzung des Modellwirkstoffes</w:t>
      </w:r>
      <w:r w:rsidR="00674061">
        <w:t xml:space="preserve"> aus PEA Partikeln</w:t>
      </w:r>
      <w:bookmarkEnd w:id="222"/>
    </w:p>
    <w:p w14:paraId="68062C19" w14:textId="77777777" w:rsidR="008B018C" w:rsidRPr="008B018C" w:rsidRDefault="008B018C" w:rsidP="008B018C">
      <w:pPr>
        <w:pStyle w:val="berschrift5"/>
        <w:spacing w:after="240"/>
        <w:rPr>
          <w:color w:val="auto"/>
        </w:rPr>
      </w:pPr>
      <w:bookmarkStart w:id="223" w:name="_Toc294380247"/>
      <w:r w:rsidRPr="008B018C">
        <w:rPr>
          <w:color w:val="auto"/>
        </w:rPr>
        <w:t>Formulierungen mit Asparaginsäure PEA</w:t>
      </w:r>
      <w:bookmarkEnd w:id="223"/>
    </w:p>
    <w:p w14:paraId="4FD6AEFF" w14:textId="77777777" w:rsidR="004236B1" w:rsidRPr="004236B1" w:rsidRDefault="004236B1" w:rsidP="004236B1">
      <w:r w:rsidRPr="004236B1">
        <w:t>Die Wirkstofffreisetzung aus u</w:t>
      </w:r>
      <w:r w:rsidR="001F5F60">
        <w:t xml:space="preserve">nterschiedlichen Asparaginsäure </w:t>
      </w:r>
      <w:r w:rsidRPr="004236B1">
        <w:t>PEA Partikelformulierungen wurde jeweils in zwei verschie</w:t>
      </w:r>
      <w:r>
        <w:t>denen wässrigen Medien getestet (0,1 molare</w:t>
      </w:r>
      <w:r w:rsidRPr="004236B1">
        <w:t xml:space="preserve"> Salzsäure und Phosphat-Pufferlösung pH 7,2</w:t>
      </w:r>
      <w:r>
        <w:t xml:space="preserve"> nach Ph</w:t>
      </w:r>
      <w:r w:rsidR="001F5F60">
        <w:t>.</w:t>
      </w:r>
      <w:r>
        <w:t>Eur</w:t>
      </w:r>
      <w:r w:rsidR="001F5F60">
        <w:t>.</w:t>
      </w:r>
      <w:r w:rsidRPr="004236B1">
        <w:t>).</w:t>
      </w:r>
    </w:p>
    <w:p w14:paraId="7A044666" w14:textId="77777777" w:rsidR="004236B1" w:rsidRPr="004236B1" w:rsidRDefault="004236B1" w:rsidP="004236B1">
      <w:r w:rsidRPr="004236B1">
        <w:t xml:space="preserve">Ergebnisse </w:t>
      </w:r>
      <w:r w:rsidR="008B018C">
        <w:t xml:space="preserve">der </w:t>
      </w:r>
      <w:r w:rsidRPr="004236B1">
        <w:t xml:space="preserve">Freisetzung </w:t>
      </w:r>
      <w:r w:rsidR="008B018C">
        <w:t xml:space="preserve">in </w:t>
      </w:r>
      <w:r w:rsidRPr="004236B1">
        <w:t>Phosphatpuffer pH 7,2:</w:t>
      </w:r>
    </w:p>
    <w:p w14:paraId="110DA820" w14:textId="77777777" w:rsidR="004236B1" w:rsidRPr="004236B1" w:rsidRDefault="004236B1" w:rsidP="004236B1">
      <w:pPr>
        <w:ind w:left="3540" w:firstLine="708"/>
      </w:pPr>
      <w:r w:rsidRPr="004236B1">
        <w:rPr>
          <w:b/>
          <w:bCs/>
        </w:rPr>
        <w:t>10 min</w:t>
      </w:r>
      <w:r w:rsidRPr="004236B1">
        <w:rPr>
          <w:b/>
          <w:bCs/>
        </w:rPr>
        <w:tab/>
      </w:r>
      <w:r w:rsidRPr="004236B1">
        <w:rPr>
          <w:b/>
          <w:bCs/>
        </w:rPr>
        <w:tab/>
        <w:t>5 Stunden</w:t>
      </w:r>
    </w:p>
    <w:p w14:paraId="53F78AD9" w14:textId="77777777" w:rsidR="004236B1" w:rsidRPr="004236B1" w:rsidRDefault="004236B1" w:rsidP="004236B1">
      <w:r w:rsidRPr="004236B1">
        <w:t>Formulierung 1 (PEA 01, 106 nm):</w:t>
      </w:r>
      <w:r w:rsidRPr="004236B1">
        <w:tab/>
      </w:r>
      <w:r w:rsidRPr="004236B1">
        <w:tab/>
        <w:t>80.7%</w:t>
      </w:r>
      <w:r w:rsidRPr="004236B1">
        <w:tab/>
      </w:r>
      <w:r w:rsidRPr="004236B1">
        <w:tab/>
        <w:t xml:space="preserve">92.4% </w:t>
      </w:r>
    </w:p>
    <w:p w14:paraId="5A967BA6" w14:textId="77777777" w:rsidR="004236B1" w:rsidRPr="004236B1" w:rsidRDefault="004236B1" w:rsidP="004236B1">
      <w:r w:rsidRPr="004236B1">
        <w:t>Formulierung 2 (PEA 04, 114 nm):</w:t>
      </w:r>
      <w:r w:rsidRPr="004236B1">
        <w:tab/>
      </w:r>
      <w:r w:rsidRPr="004236B1">
        <w:tab/>
        <w:t>20.0%</w:t>
      </w:r>
      <w:r w:rsidRPr="004236B1">
        <w:tab/>
      </w:r>
      <w:r w:rsidRPr="004236B1">
        <w:tab/>
        <w:t>24.0%</w:t>
      </w:r>
    </w:p>
    <w:p w14:paraId="5A1280D2" w14:textId="77777777" w:rsidR="004236B1" w:rsidRPr="004236B1" w:rsidRDefault="004236B1" w:rsidP="004236B1">
      <w:r w:rsidRPr="004236B1">
        <w:t>Formulierung 3 (PEA 05, 263 nm):</w:t>
      </w:r>
      <w:r w:rsidRPr="004236B1">
        <w:tab/>
      </w:r>
      <w:r w:rsidRPr="004236B1">
        <w:tab/>
        <w:t>59.3%</w:t>
      </w:r>
      <w:r w:rsidRPr="004236B1">
        <w:tab/>
      </w:r>
      <w:r w:rsidRPr="004236B1">
        <w:tab/>
        <w:t>60.5%</w:t>
      </w:r>
    </w:p>
    <w:p w14:paraId="12E4D940" w14:textId="77777777" w:rsidR="004236B1" w:rsidRPr="004236B1" w:rsidRDefault="004236B1" w:rsidP="004236B1"/>
    <w:p w14:paraId="706F215F" w14:textId="77777777" w:rsidR="004236B1" w:rsidRPr="004236B1" w:rsidRDefault="004236B1" w:rsidP="004236B1">
      <w:r w:rsidRPr="004236B1">
        <w:t xml:space="preserve">In 0,1 molarer Salzsäure wurde bei allen drei Formulierungen nach fünf Stunden nicht mehr als 1% des </w:t>
      </w:r>
      <w:r w:rsidR="008B018C">
        <w:t>verkapselten Wirkstoffanteils</w:t>
      </w:r>
      <w:r w:rsidRPr="004236B1">
        <w:t xml:space="preserve"> freigesetzt. Parallel wurde die Stabilität des Wirkstoffes in den beiden Medien bei gleichen Versuchsbedingungen per HPLC überprüft und bestätigt.</w:t>
      </w:r>
    </w:p>
    <w:p w14:paraId="72603165" w14:textId="77777777" w:rsidR="0093213B" w:rsidRDefault="004236B1" w:rsidP="004236B1">
      <w:r w:rsidRPr="004236B1">
        <w:t xml:space="preserve">Als Ergebnis </w:t>
      </w:r>
      <w:r w:rsidR="008B018C">
        <w:t xml:space="preserve">für Asparaginsäure PEA </w:t>
      </w:r>
      <w:r w:rsidRPr="004236B1">
        <w:t>kann festgehalten werden, dass die Freisetzung des</w:t>
      </w:r>
      <w:r w:rsidR="00925A9B">
        <w:t xml:space="preserve"> Wirkstoff</w:t>
      </w:r>
      <w:r w:rsidR="008B018C">
        <w:t>s Desmopressin aus den</w:t>
      </w:r>
      <w:r w:rsidRPr="004236B1">
        <w:t xml:space="preserve"> Partikeln pH-abhängig er</w:t>
      </w:r>
      <w:r w:rsidR="008B018C">
        <w:t>folgt. Bei einem magensauren pH-</w:t>
      </w:r>
      <w:r w:rsidRPr="004236B1">
        <w:t>Wert erfolgt</w:t>
      </w:r>
      <w:r w:rsidR="00D87014">
        <w:t>e</w:t>
      </w:r>
      <w:r w:rsidRPr="004236B1">
        <w:t xml:space="preserve"> </w:t>
      </w:r>
      <w:r w:rsidR="008B018C">
        <w:t xml:space="preserve">nahezu </w:t>
      </w:r>
      <w:r w:rsidRPr="004236B1">
        <w:t>keine Freisetzung, während be</w:t>
      </w:r>
      <w:r w:rsidR="00561E48">
        <w:t>i einem pH-</w:t>
      </w:r>
      <w:r w:rsidR="00D87014">
        <w:t>Wert</w:t>
      </w:r>
      <w:r w:rsidR="00561E48">
        <w:t xml:space="preserve"> von 7,2</w:t>
      </w:r>
      <w:r w:rsidR="00D87014">
        <w:t xml:space="preserve"> die Freisetzung sehr schnell ablief</w:t>
      </w:r>
      <w:r w:rsidRPr="004236B1">
        <w:t>. Außerdem wurde festgestellt, dass der Wirkstoff aus dem relativ gesehen lipophilsten PEA 01 Polymer bereits innerhalb von wenigen Stunden nah</w:t>
      </w:r>
      <w:r w:rsidR="00D87014">
        <w:t>ezu vollständig freigesetzt wurde</w:t>
      </w:r>
      <w:r w:rsidRPr="004236B1">
        <w:t>, während die Freigabe aus dem am wenigsten lipophilen PEA 04 nach schneller Freisetzung von 20% (</w:t>
      </w:r>
      <w:r w:rsidRPr="00D87014">
        <w:rPr>
          <w:i/>
        </w:rPr>
        <w:t>burst release</w:t>
      </w:r>
      <w:r w:rsidRPr="004236B1">
        <w:t>) n</w:t>
      </w:r>
      <w:r w:rsidR="00D87014">
        <w:t>ur noch sehr langsam ablief</w:t>
      </w:r>
      <w:r w:rsidRPr="004236B1">
        <w:t xml:space="preserve"> und na</w:t>
      </w:r>
      <w:r w:rsidR="008B018C">
        <w:t>ch 5 Stunden erst 24% erreicht</w:t>
      </w:r>
      <w:r w:rsidR="00D87014">
        <w:t>e. Der h</w:t>
      </w:r>
      <w:r w:rsidR="008B018C">
        <w:t xml:space="preserve">ydrophile Wirkstoff Desmopressin ist aufgrund der höheren </w:t>
      </w:r>
      <w:r w:rsidR="008B018C">
        <w:lastRenderedPageBreak/>
        <w:t>Affinität zum relativ gesehen hydrophilsten PEA Polymer stärker in den Partikeln gebunden und wird daher langsamer freigesetzt</w:t>
      </w:r>
      <w:r w:rsidR="00D87014">
        <w:t xml:space="preserve"> als aus den Formulierungen mit den Polymeren mit stärker lipophilen Eigenschaften.</w:t>
      </w:r>
      <w:r w:rsidR="0093213B">
        <w:t xml:space="preserve"> </w:t>
      </w:r>
    </w:p>
    <w:p w14:paraId="6F53E181" w14:textId="77777777" w:rsidR="002F5E0F" w:rsidRDefault="0093213B" w:rsidP="004236B1">
      <w:r>
        <w:t>Es kann allerdings lediglich der geringere</w:t>
      </w:r>
      <w:r w:rsidR="00925A9B">
        <w:t xml:space="preserve"> enthaltene</w:t>
      </w:r>
      <w:r>
        <w:t xml:space="preserve"> Wirkstoffanteil vor der Magensäure geschützt werden, der auch in das Polymer eingekapselt wurde.</w:t>
      </w:r>
    </w:p>
    <w:p w14:paraId="7FFF0EC4" w14:textId="77777777" w:rsidR="008B018C" w:rsidRDefault="008B018C" w:rsidP="004236B1"/>
    <w:p w14:paraId="76E66D9C" w14:textId="77777777" w:rsidR="008B018C" w:rsidRDefault="008B018C" w:rsidP="00314496">
      <w:pPr>
        <w:pStyle w:val="berschrift5"/>
        <w:spacing w:after="240"/>
        <w:rPr>
          <w:color w:val="auto"/>
        </w:rPr>
      </w:pPr>
      <w:bookmarkStart w:id="224" w:name="_Toc294380248"/>
      <w:r w:rsidRPr="008B018C">
        <w:rPr>
          <w:color w:val="auto"/>
        </w:rPr>
        <w:t>Formulierungen mit Cystein PEA</w:t>
      </w:r>
      <w:r w:rsidR="00672938">
        <w:rPr>
          <w:color w:val="auto"/>
        </w:rPr>
        <w:t xml:space="preserve"> und PLGA</w:t>
      </w:r>
      <w:bookmarkEnd w:id="224"/>
    </w:p>
    <w:p w14:paraId="0107F5FB" w14:textId="77777777" w:rsidR="008B018C" w:rsidRDefault="00314496" w:rsidP="00F76CF3">
      <w:r>
        <w:t xml:space="preserve">Da für Cystein PEA </w:t>
      </w:r>
      <w:r w:rsidR="001F5F60">
        <w:t>im Gegensatz zum Asparaginsäure-</w:t>
      </w:r>
      <w:r>
        <w:t>Typ aufgrund der chemischen Polymerstruktur keine pH-abhängige Freisetzung zu erwarten</w:t>
      </w:r>
      <w:r w:rsidR="008F79B1">
        <w:t xml:space="preserve"> war, wurde der Test lediglich in</w:t>
      </w:r>
      <w:r>
        <w:t xml:space="preserve"> wässrigem Phosphatpuffer mit eine</w:t>
      </w:r>
      <w:r w:rsidR="008F79B1">
        <w:t>m pH-Wert von 6,8 durchgeführt.</w:t>
      </w:r>
    </w:p>
    <w:p w14:paraId="29745ED9" w14:textId="77777777" w:rsidR="008F79B1" w:rsidRDefault="004F4D4F" w:rsidP="00B07294">
      <w:r>
        <w:t>Untersucht wurden drei unterschiedl</w:t>
      </w:r>
      <w:r w:rsidR="00534412">
        <w:t>iche Chargen von Desmopressin Formulierungen</w:t>
      </w:r>
      <w:r>
        <w:t xml:space="preserve"> mit Cystein PEA (Nr. 6, 8 und 10 in </w:t>
      </w:r>
      <w:r w:rsidR="00D16240">
        <w:fldChar w:fldCharType="begin"/>
      </w:r>
      <w:r>
        <w:instrText xml:space="preserve"> REF _Ref274163655 \h </w:instrText>
      </w:r>
      <w:r w:rsidR="00D16240">
        <w:fldChar w:fldCharType="separate"/>
      </w:r>
      <w:r w:rsidR="00711AB8" w:rsidRPr="00F14BF3">
        <w:t xml:space="preserve">Tabelle </w:t>
      </w:r>
      <w:r w:rsidR="00711AB8">
        <w:rPr>
          <w:noProof/>
        </w:rPr>
        <w:t>23</w:t>
      </w:r>
      <w:r w:rsidR="00D16240">
        <w:fldChar w:fldCharType="end"/>
      </w:r>
      <w:r>
        <w:t xml:space="preserve"> auf S. </w:t>
      </w:r>
      <w:r w:rsidR="00D16240">
        <w:fldChar w:fldCharType="begin"/>
      </w:r>
      <w:r>
        <w:instrText xml:space="preserve"> PAGEREF _Ref278815405 \h </w:instrText>
      </w:r>
      <w:r w:rsidR="00D16240">
        <w:fldChar w:fldCharType="separate"/>
      </w:r>
      <w:r w:rsidR="00711AB8">
        <w:rPr>
          <w:noProof/>
        </w:rPr>
        <w:t>105</w:t>
      </w:r>
      <w:r w:rsidR="00D16240">
        <w:fldChar w:fldCharType="end"/>
      </w:r>
      <w:r>
        <w:t xml:space="preserve">). </w:t>
      </w:r>
      <w:r w:rsidR="00534412">
        <w:t>Da die Freisetzungsprofile aller drei Formulierungen sehr ähnlich waren, die mittlere Standardabweichung</w:t>
      </w:r>
      <w:r w:rsidR="00B07294">
        <w:t xml:space="preserve"> des freigesetzten Anteiles</w:t>
      </w:r>
      <w:r w:rsidR="00534412">
        <w:t xml:space="preserve"> betrug </w:t>
      </w:r>
      <w:r w:rsidR="00534412">
        <w:sym w:font="Symbol" w:char="F0B1"/>
      </w:r>
      <w:r w:rsidR="00534412">
        <w:t xml:space="preserve">4,8%, wurden die Daten gemittelt und </w:t>
      </w:r>
      <w:r w:rsidR="00B07294">
        <w:t xml:space="preserve">in </w:t>
      </w:r>
      <w:r w:rsidR="00D16240">
        <w:fldChar w:fldCharType="begin"/>
      </w:r>
      <w:r w:rsidR="00B07294">
        <w:instrText xml:space="preserve"> REF _Ref278816514 \h </w:instrText>
      </w:r>
      <w:r w:rsidR="00D16240">
        <w:fldChar w:fldCharType="separate"/>
      </w:r>
      <w:r w:rsidR="00711AB8" w:rsidRPr="00D54D59">
        <w:t xml:space="preserve">Abbildung </w:t>
      </w:r>
      <w:r w:rsidR="00711AB8">
        <w:rPr>
          <w:noProof/>
        </w:rPr>
        <w:t>24</w:t>
      </w:r>
      <w:r w:rsidR="00D16240">
        <w:fldChar w:fldCharType="end"/>
      </w:r>
      <w:r w:rsidR="00B07294">
        <w:t xml:space="preserve"> in einer Darstellung zusammengefasst.</w:t>
      </w:r>
    </w:p>
    <w:p w14:paraId="70677B4E" w14:textId="77777777" w:rsidR="001539E5" w:rsidRPr="008B018C" w:rsidRDefault="00B07294" w:rsidP="001539E5">
      <w:pPr>
        <w:spacing w:after="240"/>
      </w:pPr>
      <w:r>
        <w:t>Analog zum Freisetzungstest der Cystein PEA Formulierungen wurde die Freisetzung von Desmopressin aus PLGA</w:t>
      </w:r>
      <w:r w:rsidR="000B0D4A">
        <w:t xml:space="preserve"> (Resomer</w:t>
      </w:r>
      <w:r w:rsidR="000B0D4A">
        <w:rPr>
          <w:vertAlign w:val="superscript"/>
        </w:rPr>
        <w:sym w:font="Symbol" w:char="F0D2"/>
      </w:r>
      <w:r w:rsidR="000B0D4A">
        <w:t xml:space="preserve"> RG 503 H)</w:t>
      </w:r>
      <w:r>
        <w:t xml:space="preserve"> Partikeln untersucht und ebenfalls in </w:t>
      </w:r>
      <w:r w:rsidR="00D16240">
        <w:fldChar w:fldCharType="begin"/>
      </w:r>
      <w:r>
        <w:instrText xml:space="preserve"> REF _Ref278816514 \h </w:instrText>
      </w:r>
      <w:r w:rsidR="00D16240">
        <w:fldChar w:fldCharType="separate"/>
      </w:r>
      <w:r w:rsidR="00711AB8" w:rsidRPr="00D54D59">
        <w:t xml:space="preserve">Abbildung </w:t>
      </w:r>
      <w:r w:rsidR="00711AB8">
        <w:rPr>
          <w:noProof/>
        </w:rPr>
        <w:t>24</w:t>
      </w:r>
      <w:r w:rsidR="00D16240">
        <w:fldChar w:fldCharType="end"/>
      </w:r>
      <w:r>
        <w:t xml:space="preserve"> grafisch aufgetragen.</w:t>
      </w:r>
    </w:p>
    <w:p w14:paraId="4CF247D3" w14:textId="77777777" w:rsidR="00601D45" w:rsidRDefault="00601D45" w:rsidP="00B07294">
      <w:pPr>
        <w:spacing w:after="0"/>
        <w:jc w:val="center"/>
      </w:pPr>
      <w:r>
        <w:rPr>
          <w:noProof/>
          <w:lang w:eastAsia="de-DE"/>
        </w:rPr>
        <w:drawing>
          <wp:inline distT="0" distB="0" distL="0" distR="0" wp14:anchorId="066443B0" wp14:editId="4F855A3A">
            <wp:extent cx="5484495" cy="3229610"/>
            <wp:effectExtent l="0" t="0" r="1905" b="0"/>
            <wp:docPr id="17519" name="Diagramm 175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5BA3BDA" w14:textId="77777777" w:rsidR="008F79B1" w:rsidRPr="0093213B" w:rsidRDefault="00D54D59" w:rsidP="003D6D5A">
      <w:pPr>
        <w:pStyle w:val="Beschriftung"/>
        <w:ind w:firstLine="0"/>
        <w:rPr>
          <w:b w:val="0"/>
        </w:rPr>
      </w:pPr>
      <w:bookmarkStart w:id="225" w:name="_Ref278816514"/>
      <w:r w:rsidRPr="00D54D59">
        <w:t xml:space="preserve">Abbildung </w:t>
      </w:r>
      <w:fldSimple w:instr=" SEQ Abbildung \* ARABIC ">
        <w:r w:rsidR="00711AB8">
          <w:rPr>
            <w:noProof/>
          </w:rPr>
          <w:t>24</w:t>
        </w:r>
      </w:fldSimple>
      <w:bookmarkEnd w:id="225"/>
      <w:r>
        <w:t xml:space="preserve"> </w:t>
      </w:r>
      <w:r w:rsidR="00D115D6">
        <w:rPr>
          <w:b w:val="0"/>
        </w:rPr>
        <w:t>Freisetzung von Desmopressin aus PEA Cystein und PLGA Partikelformulierungen;</w:t>
      </w:r>
      <w:r w:rsidR="004236B1">
        <w:rPr>
          <w:b w:val="0"/>
        </w:rPr>
        <w:t xml:space="preserve"> kumulativ pro Zeit aufgetragen;</w:t>
      </w:r>
      <w:r w:rsidR="00D115D6">
        <w:rPr>
          <w:b w:val="0"/>
        </w:rPr>
        <w:t xml:space="preserve"> Freisetzungsmedium: Phosphatpuffer pH 6,8 nach Ph</w:t>
      </w:r>
      <w:r w:rsidR="001F5F60">
        <w:rPr>
          <w:b w:val="0"/>
        </w:rPr>
        <w:t>.</w:t>
      </w:r>
      <w:r w:rsidR="00D115D6">
        <w:rPr>
          <w:b w:val="0"/>
        </w:rPr>
        <w:t>Eur</w:t>
      </w:r>
      <w:r w:rsidR="001F5F60">
        <w:rPr>
          <w:b w:val="0"/>
        </w:rPr>
        <w:t>.</w:t>
      </w:r>
      <w:r w:rsidR="00D115D6">
        <w:rPr>
          <w:b w:val="0"/>
        </w:rPr>
        <w:t>; rote Kurve: Freisetzung aus PLGA Partikeln, blaue Kurve: Freisetzung aus PEA Cystein Partikeln</w:t>
      </w:r>
      <w:r w:rsidR="004236B1">
        <w:rPr>
          <w:b w:val="0"/>
        </w:rPr>
        <w:t>;</w:t>
      </w:r>
      <w:r w:rsidR="005557CB">
        <w:rPr>
          <w:b w:val="0"/>
        </w:rPr>
        <w:t xml:space="preserve"> 100% entsprechen dem gesamten Wirkstoffgehalt der Formulierungen</w:t>
      </w:r>
      <w:r w:rsidR="004236B1">
        <w:rPr>
          <w:b w:val="0"/>
        </w:rPr>
        <w:t>;</w:t>
      </w:r>
      <w:r w:rsidR="005557CB">
        <w:rPr>
          <w:b w:val="0"/>
        </w:rPr>
        <w:t xml:space="preserve"> Proben wurden nach 5min, 30min, 3h, 5h, 20h und 48h entnommen.</w:t>
      </w:r>
    </w:p>
    <w:p w14:paraId="5496D7A3" w14:textId="77777777" w:rsidR="008F79B1" w:rsidRDefault="00E828F4" w:rsidP="008F79B1">
      <w:r>
        <w:lastRenderedPageBreak/>
        <w:t xml:space="preserve">Der bereits nach 5 min freigesetzte Wirkstoffanteil betrug bei PEA Cystein 69,4% und bei PLGA waren es 83,3%. Es liegt nahe, dass es sich hierbei um den Wirkstoffanteil handelt, der nicht in </w:t>
      </w:r>
      <w:r w:rsidR="0003615C">
        <w:t xml:space="preserve">die Polymere eingekapselt wurde. Bis zum Zeitpunkt von 5 Stunden wurden aus der </w:t>
      </w:r>
      <w:r w:rsidR="00270CB1">
        <w:t xml:space="preserve">Cystein </w:t>
      </w:r>
      <w:r w:rsidR="0003615C">
        <w:t>PEA Formulierung weitere 14,5% des e</w:t>
      </w:r>
      <w:r w:rsidR="00561E48">
        <w:t>nthaltenen Wirkstoffes retardiert</w:t>
      </w:r>
      <w:r w:rsidR="0003615C">
        <w:t xml:space="preserve"> freigesetzt. Bei PLGA waren es im gleichen Zeitraum lediglich 0,8%. Im Z</w:t>
      </w:r>
      <w:r w:rsidR="000B0D4A">
        <w:t>eitraum zwischen</w:t>
      </w:r>
      <w:r w:rsidR="0003615C">
        <w:t xml:space="preserve"> 5 Stunden und 20 Stunden wurden aus den PEA Partikeln lediglich noch weitere 5% Desmopressin freigese</w:t>
      </w:r>
      <w:r w:rsidR="00D87014">
        <w:t>tzt. Bei PLGA waren es im gleichen</w:t>
      </w:r>
      <w:r w:rsidR="0003615C">
        <w:t xml:space="preserve"> Zeitraum 1,2%.</w:t>
      </w:r>
    </w:p>
    <w:p w14:paraId="39DB5FF5" w14:textId="77777777" w:rsidR="00270CB1" w:rsidRDefault="00270CB1" w:rsidP="008F79B1">
      <w:r>
        <w:t>An den absoluten Werten gemessen liegt die Freisetzungskurve von Desmopressin aus PLGA insgesamt auf einem deutlich niedrigeren Niveau als die der PEA Formulierungen. Dies liegt daran, dass die Formulierung mit PLGA insges</w:t>
      </w:r>
      <w:r w:rsidR="00720A22">
        <w:t>amt weniger Desmopressin enthielt</w:t>
      </w:r>
      <w:r>
        <w:t xml:space="preserve"> als die Formulierungen mit PEA. Dieser Aspekt ist in </w:t>
      </w:r>
      <w:r w:rsidR="00D16240">
        <w:fldChar w:fldCharType="begin"/>
      </w:r>
      <w:r>
        <w:instrText xml:space="preserve"> REF _Ref278816514 \h </w:instrText>
      </w:r>
      <w:r w:rsidR="00D16240">
        <w:fldChar w:fldCharType="separate"/>
      </w:r>
      <w:r w:rsidR="00711AB8" w:rsidRPr="00D54D59">
        <w:t xml:space="preserve">Abbildung </w:t>
      </w:r>
      <w:r w:rsidR="00711AB8">
        <w:rPr>
          <w:noProof/>
        </w:rPr>
        <w:t>24</w:t>
      </w:r>
      <w:r w:rsidR="00D16240">
        <w:fldChar w:fldCharType="end"/>
      </w:r>
      <w:r>
        <w:t xml:space="preserve"> nicht ersichtlich.</w:t>
      </w:r>
    </w:p>
    <w:p w14:paraId="2FFD0861" w14:textId="77777777" w:rsidR="00270CB1" w:rsidRDefault="00D87014" w:rsidP="008F79B1">
      <w:r>
        <w:t xml:space="preserve">Zusammenfassend ist festzuhalten, dass der größte Anteil des </w:t>
      </w:r>
      <w:r w:rsidR="006505EF">
        <w:t xml:space="preserve">aus den Cystein PEA Nanopartikeln </w:t>
      </w:r>
      <w:r w:rsidR="00561E48">
        <w:t>insgesamt retardiert</w:t>
      </w:r>
      <w:r>
        <w:t xml:space="preserve"> freigesetzten Desmopressins nach 5 Stunden </w:t>
      </w:r>
      <w:r w:rsidR="00E745FD">
        <w:t>freigesetzt wurde. Der gesamte nach 48 Stunden aus</w:t>
      </w:r>
      <w:r w:rsidR="00561E48">
        <w:t xml:space="preserve"> Cystein PEA Partikeln retardiert</w:t>
      </w:r>
      <w:r w:rsidR="00E745FD">
        <w:t xml:space="preserve"> freigesetzt</w:t>
      </w:r>
      <w:r w:rsidR="00270CB1">
        <w:t>e Anteil betrug</w:t>
      </w:r>
      <w:r w:rsidR="00E745FD">
        <w:t xml:space="preserve"> 20,3% des in der trockenen Formulierung insgesamt enthaltenen Desmopressins.</w:t>
      </w:r>
      <w:r w:rsidR="00270CB1">
        <w:t xml:space="preserve"> </w:t>
      </w:r>
    </w:p>
    <w:p w14:paraId="19374AEE" w14:textId="77777777" w:rsidR="000B0D4A" w:rsidRDefault="006505EF" w:rsidP="008F79B1">
      <w:r>
        <w:t>Nach 48 Stunden wurden aus den</w:t>
      </w:r>
      <w:r w:rsidR="000B0D4A">
        <w:t xml:space="preserve"> Formulierung</w:t>
      </w:r>
      <w:r>
        <w:t>en</w:t>
      </w:r>
      <w:r w:rsidR="000B0D4A">
        <w:t xml:space="preserve"> mit Cystein PEA insgesamt 90,3% (</w:t>
      </w:r>
      <w:r w:rsidR="000B0D4A">
        <w:sym w:font="Symbol" w:char="F0B1"/>
      </w:r>
      <w:r w:rsidR="000B0D4A">
        <w:t xml:space="preserve">5,0%) und aus </w:t>
      </w:r>
      <w:r>
        <w:t>der Formulierung mit PLGA 85,7%</w:t>
      </w:r>
      <w:r w:rsidRPr="006505EF">
        <w:t xml:space="preserve"> </w:t>
      </w:r>
      <w:r>
        <w:t>Desmopressin freigesetzt.</w:t>
      </w:r>
    </w:p>
    <w:p w14:paraId="79425031" w14:textId="77777777" w:rsidR="00E745FD" w:rsidRDefault="00677E35" w:rsidP="008F79B1">
      <w:r>
        <w:t>Aus der</w:t>
      </w:r>
      <w:r w:rsidR="00E745FD">
        <w:t xml:space="preserve"> PLGA</w:t>
      </w:r>
      <w:r>
        <w:t xml:space="preserve"> Formulierung</w:t>
      </w:r>
      <w:r w:rsidR="00270CB1">
        <w:t xml:space="preserve"> wu</w:t>
      </w:r>
      <w:r>
        <w:t>rden</w:t>
      </w:r>
      <w:r w:rsidR="00E745FD">
        <w:t xml:space="preserve"> nach einem hohen </w:t>
      </w:r>
      <w:r w:rsidR="00E745FD">
        <w:rPr>
          <w:i/>
        </w:rPr>
        <w:t>burst release</w:t>
      </w:r>
      <w:r w:rsidR="00E745FD">
        <w:t xml:space="preserve"> keine weiteren nennenswerten Wirkstoffanteile freigesetzt. Die hohe Freisetzung</w:t>
      </w:r>
      <w:r>
        <w:t xml:space="preserve"> bereits</w:t>
      </w:r>
      <w:r w:rsidR="00E745FD">
        <w:t xml:space="preserve"> nach 5 Minuten erklärt sich dadurch, dass die Beladung der PLGA Partikel mit</w:t>
      </w:r>
      <w:r w:rsidR="00270CB1">
        <w:t xml:space="preserve"> Wirkstoff deutlich geringer war</w:t>
      </w:r>
      <w:r w:rsidR="00E745FD">
        <w:t xml:space="preserve"> als die der Cystein PEA Partikel. Daher macht der nicht verkapselte W</w:t>
      </w:r>
      <w:r w:rsidR="000B0D4A">
        <w:t>irkstoffanteil bei PLGA mehr vom gesamten Gehalt der Formulierung aus als bei Cystein PEA.</w:t>
      </w:r>
      <w:r w:rsidR="00E745FD">
        <w:t xml:space="preserve"> </w:t>
      </w:r>
      <w:r w:rsidR="000B0D4A">
        <w:t>Ein weiterer</w:t>
      </w:r>
      <w:r>
        <w:t xml:space="preserve"> Grund für die</w:t>
      </w:r>
      <w:r w:rsidR="000B0D4A">
        <w:t xml:space="preserve"> schnelle Freisetzung </w:t>
      </w:r>
      <w:r>
        <w:t xml:space="preserve">aus der Formulierung </w:t>
      </w:r>
      <w:r w:rsidR="000B0D4A">
        <w:t>ist die geringe Affinität des hydrophilen Desmo</w:t>
      </w:r>
      <w:r w:rsidR="00925A9B">
        <w:t>pressins mit dem eher hydrophoben</w:t>
      </w:r>
      <w:r w:rsidR="000B0D4A">
        <w:t xml:space="preserve"> PLGA.</w:t>
      </w:r>
      <w:r w:rsidR="00535B54">
        <w:t xml:space="preserve"> Hier stellt sich jedoch die Frage, weshalb trotz einer schnellen Freisetzung und geringen Affinität zwischen Desmopressin und Polymer insgesamt nach 48 Stunden lediglich 85,7% freigesetzt wurden.</w:t>
      </w:r>
      <w:r>
        <w:t xml:space="preserve"> </w:t>
      </w:r>
      <w:r w:rsidR="000F6861">
        <w:t>Da die Beladung der PLGA Partikel wie ber</w:t>
      </w:r>
      <w:r>
        <w:t>eits beschrieben sehr niedrig</w:t>
      </w:r>
      <w:r w:rsidR="000F6861">
        <w:t xml:space="preserve"> war, handelt es si</w:t>
      </w:r>
      <w:r w:rsidR="00535B54">
        <w:t>ch bei dem</w:t>
      </w:r>
      <w:r>
        <w:t xml:space="preserve"> nicht freigesetzten </w:t>
      </w:r>
      <w:r w:rsidR="000F6861">
        <w:t xml:space="preserve">Wirkstoffanteil von </w:t>
      </w:r>
      <w:r>
        <w:t>14,3%</w:t>
      </w:r>
      <w:r w:rsidR="000F6861">
        <w:t xml:space="preserve"> absolut gesehen lediglich um </w:t>
      </w:r>
      <w:r w:rsidR="00535B54">
        <w:t xml:space="preserve">ca. </w:t>
      </w:r>
      <w:r>
        <w:t xml:space="preserve">0,1 µg </w:t>
      </w:r>
      <w:r w:rsidR="00535B54">
        <w:t>Desmopressin pro 100 µg Polymer. Dies e</w:t>
      </w:r>
      <w:r w:rsidR="00AA18B4">
        <w:t xml:space="preserve">ntspricht im Freisetzungstest einer Menge von 20 µg Desmopressin in einem Volumen von 100 ml. Es ist naheliegend, dass diese </w:t>
      </w:r>
      <w:r>
        <w:t>geringe Wirkstoffmenge durch Absorption an Partikel- un</w:t>
      </w:r>
      <w:r w:rsidR="00535B54">
        <w:t>d Gefäßoberflächen aus dem Freisetzungsmedium entzogen wurde.</w:t>
      </w:r>
    </w:p>
    <w:p w14:paraId="000B6FCD" w14:textId="77777777" w:rsidR="000B0D4A" w:rsidRPr="00BE4E4B" w:rsidRDefault="00270CB1" w:rsidP="008F79B1">
      <w:r>
        <w:t>Verglichen mit PLGA eignet sich Cystein PEA erheblich bes</w:t>
      </w:r>
      <w:r w:rsidR="00A63566">
        <w:t>se</w:t>
      </w:r>
      <w:r w:rsidR="009A5D0E">
        <w:t>r zur kontrollierten</w:t>
      </w:r>
      <w:r>
        <w:t xml:space="preserve"> Freisetzung von Desmopressin aus Nanopartikeln. Da der größte Ant</w:t>
      </w:r>
      <w:r w:rsidR="00925A9B">
        <w:t>eil des verkapselten Wirkstoff</w:t>
      </w:r>
      <w:r w:rsidR="00990370">
        <w:t>s</w:t>
      </w:r>
      <w:r>
        <w:t xml:space="preserve"> aus Cystein PEA </w:t>
      </w:r>
      <w:r w:rsidR="00A63566">
        <w:t>innerhalb</w:t>
      </w:r>
      <w:r w:rsidR="009A5D0E">
        <w:t xml:space="preserve"> eines Zeitraumes</w:t>
      </w:r>
      <w:r w:rsidR="00A63566">
        <w:t xml:space="preserve"> von</w:t>
      </w:r>
      <w:r w:rsidR="00826E89">
        <w:t xml:space="preserve"> 5 bis 6 Stunden retardiert</w:t>
      </w:r>
      <w:r w:rsidR="00A63566">
        <w:t xml:space="preserve"> freigesetzt wird, ist </w:t>
      </w:r>
      <w:r w:rsidR="00990370">
        <w:lastRenderedPageBreak/>
        <w:t>eine orale</w:t>
      </w:r>
      <w:r w:rsidR="008F5418">
        <w:t xml:space="preserve"> A</w:t>
      </w:r>
      <w:r w:rsidR="009A5D0E">
        <w:t xml:space="preserve">nwendung der Formulierung </w:t>
      </w:r>
      <w:r w:rsidR="00827BB8">
        <w:t xml:space="preserve">auch dann </w:t>
      </w:r>
      <w:r w:rsidR="009A5D0E">
        <w:t>sin</w:t>
      </w:r>
      <w:r w:rsidR="00827BB8">
        <w:t xml:space="preserve">nvoll, falls die </w:t>
      </w:r>
      <w:r w:rsidR="00990370">
        <w:t>polymeren Arzneistoffträger</w:t>
      </w:r>
      <w:r w:rsidR="009A5D0E">
        <w:t xml:space="preserve"> nicht</w:t>
      </w:r>
      <w:r w:rsidR="00990370">
        <w:t xml:space="preserve"> in den</w:t>
      </w:r>
      <w:r w:rsidR="009A5D0E">
        <w:t xml:space="preserve"> systemischen Blutkreislauf auf</w:t>
      </w:r>
      <w:r w:rsidR="00827BB8">
        <w:t xml:space="preserve">genommen werden sollten und die Freisetzung des </w:t>
      </w:r>
      <w:r w:rsidR="009A5D0E">
        <w:t>Wirkstoff</w:t>
      </w:r>
      <w:r w:rsidR="00827BB8">
        <w:t>s</w:t>
      </w:r>
      <w:r w:rsidR="009A5D0E">
        <w:t xml:space="preserve"> auf d</w:t>
      </w:r>
      <w:r w:rsidR="00827BB8">
        <w:t>er apikalen Seite des Darmepithels erfolgen sollte</w:t>
      </w:r>
      <w:r w:rsidR="00BE4E4B">
        <w:t>. Basierend auf den im allgemeinen Teil dieser Arbeit zitierten Literaturdaten</w:t>
      </w:r>
      <w:r w:rsidR="00990370">
        <w:t xml:space="preserve"> ist zudem dav</w:t>
      </w:r>
      <w:r w:rsidR="00720A22">
        <w:t>on auszugehen, dass die Cystein-</w:t>
      </w:r>
      <w:r w:rsidR="00990370">
        <w:t>haltigen Po</w:t>
      </w:r>
      <w:r w:rsidR="008F5418">
        <w:t>lymernanopartikel aufgrund von</w:t>
      </w:r>
      <w:r w:rsidR="00990370">
        <w:t xml:space="preserve"> mukoadhäsiven Eigenschaften eine im Vergleich zu den üblichen 5 bis 6 Stunden verlängerte Dünn</w:t>
      </w:r>
      <w:r w:rsidR="00BE4E4B">
        <w:t>darmpassagezeit besitzen. B</w:t>
      </w:r>
      <w:r w:rsidR="008F5418">
        <w:t>ezüglich ihres Freisetzungsprof</w:t>
      </w:r>
      <w:r w:rsidR="00BE4E4B">
        <w:t>iles eignen sich</w:t>
      </w:r>
      <w:r w:rsidR="00990370">
        <w:t xml:space="preserve"> die</w:t>
      </w:r>
      <w:r w:rsidR="00BE4E4B">
        <w:t xml:space="preserve"> Cys</w:t>
      </w:r>
      <w:r w:rsidR="008F5418">
        <w:t>tein PEA Nanopartikel daher</w:t>
      </w:r>
      <w:r w:rsidR="00990370">
        <w:t xml:space="preserve"> herv</w:t>
      </w:r>
      <w:r w:rsidR="00BE4E4B">
        <w:t xml:space="preserve">orragend für eine perorale Applikation </w:t>
      </w:r>
      <w:r w:rsidR="00720A22">
        <w:t>von Desmopressin mit verlängerter</w:t>
      </w:r>
      <w:r w:rsidR="00BE4E4B">
        <w:t xml:space="preserve"> Wirkstofffreisetzung und einer insgesamt verbesserten Bioverf</w:t>
      </w:r>
      <w:r w:rsidR="006505EF">
        <w:t>ügbarkeit. Um abzuklären, ob der</w:t>
      </w:r>
      <w:r w:rsidR="00BE4E4B">
        <w:t xml:space="preserve"> Plasmaspiegel von Desmop</w:t>
      </w:r>
      <w:r w:rsidR="00720A22">
        <w:t>ressin nach peroraler Gabe der Partikel-formulierung</w:t>
      </w:r>
      <w:r w:rsidR="00BE4E4B">
        <w:t xml:space="preserve"> gegenübe</w:t>
      </w:r>
      <w:r w:rsidR="00720A22">
        <w:t>r der Gabe einer handelsüblichen Formulierung tatsächlich</w:t>
      </w:r>
      <w:r w:rsidR="00BE4E4B">
        <w:t xml:space="preserve"> länger</w:t>
      </w:r>
      <w:r w:rsidR="006505EF">
        <w:t xml:space="preserve"> aufrecht erhalten werden</w:t>
      </w:r>
      <w:r w:rsidR="00BE4E4B">
        <w:t xml:space="preserve"> und ob die Bioverfügbarkeit mithilfe der </w:t>
      </w:r>
      <w:r w:rsidR="00720A22">
        <w:t>Nanopartikel</w:t>
      </w:r>
      <w:r w:rsidR="00BE4E4B">
        <w:t xml:space="preserve"> </w:t>
      </w:r>
      <w:r w:rsidR="006505EF">
        <w:t>insgesamt verbessert werden kann</w:t>
      </w:r>
      <w:r w:rsidR="00BE4E4B">
        <w:t xml:space="preserve">, wurden </w:t>
      </w:r>
      <w:r w:rsidR="00BE4E4B">
        <w:rPr>
          <w:i/>
        </w:rPr>
        <w:t>in vivo</w:t>
      </w:r>
      <w:r w:rsidR="00720A22">
        <w:t>-</w:t>
      </w:r>
      <w:r w:rsidR="00BE4E4B">
        <w:t>Bioverfügbarkeitsstudien durchgeführt.</w:t>
      </w:r>
      <w:r w:rsidR="008F5418">
        <w:t xml:space="preserve"> Die Ergebnisse der </w:t>
      </w:r>
      <w:r w:rsidR="008F5418">
        <w:rPr>
          <w:i/>
        </w:rPr>
        <w:t>in vivo</w:t>
      </w:r>
      <w:r w:rsidR="00720A22">
        <w:t>-</w:t>
      </w:r>
      <w:r w:rsidR="008F5418">
        <w:t xml:space="preserve">Studien werden in Kapitel </w:t>
      </w:r>
      <w:r w:rsidR="00D16240">
        <w:fldChar w:fldCharType="begin"/>
      </w:r>
      <w:r w:rsidR="008F5418">
        <w:instrText xml:space="preserve"> REF _Ref278822163 \n \h </w:instrText>
      </w:r>
      <w:r w:rsidR="00D16240">
        <w:fldChar w:fldCharType="separate"/>
      </w:r>
      <w:r w:rsidR="00711AB8">
        <w:t>4.7.2</w:t>
      </w:r>
      <w:r w:rsidR="00D16240">
        <w:fldChar w:fldCharType="end"/>
      </w:r>
      <w:r w:rsidR="008F5418">
        <w:t xml:space="preserve"> beschrieben.</w:t>
      </w:r>
    </w:p>
    <w:p w14:paraId="51CCB2A9" w14:textId="77777777" w:rsidR="00742FF5" w:rsidRDefault="00742FF5" w:rsidP="00742FF5">
      <w:pPr>
        <w:pStyle w:val="berschrift4"/>
      </w:pPr>
      <w:bookmarkStart w:id="226" w:name="_Toc294380249"/>
      <w:r>
        <w:t>Chemischer Nachweis der Funktionalität der Cystein PEA Partikel</w:t>
      </w:r>
      <w:bookmarkEnd w:id="226"/>
    </w:p>
    <w:p w14:paraId="34EED729" w14:textId="77777777" w:rsidR="00742FF5" w:rsidRDefault="00742FF5" w:rsidP="00742FF5">
      <w:r>
        <w:t xml:space="preserve">Verantwortlich für die spezifische Funktionalität der Cystein PEA Polymere sind wie bereits erwähnt die mit Cystein ins Polymer eingebrachten Thiolgruppen. Zur Überprüfung, ob diese Funktionalität auch für die Partikelformulierungen gegeben ist, wurde ein qualitativer Nachweis für Thiolgruppen mit Ellmanns Reagenz entsprechend der in Kapitel </w:t>
      </w:r>
      <w:r w:rsidR="00D16240">
        <w:fldChar w:fldCharType="begin"/>
      </w:r>
      <w:r>
        <w:instrText xml:space="preserve"> REF _Ref272679469 \n \h </w:instrText>
      </w:r>
      <w:r w:rsidR="00D16240">
        <w:fldChar w:fldCharType="separate"/>
      </w:r>
      <w:r w:rsidR="00711AB8">
        <w:t>4.1.5</w:t>
      </w:r>
      <w:r w:rsidR="00D16240">
        <w:fldChar w:fldCharType="end"/>
      </w:r>
      <w:r>
        <w:t xml:space="preserve"> beschriebenen Methode durchgeführt.</w:t>
      </w:r>
    </w:p>
    <w:p w14:paraId="49C1183C" w14:textId="77777777" w:rsidR="00742FF5" w:rsidRDefault="00742FF5" w:rsidP="00742FF5">
      <w:r>
        <w:t>Beim Mischen der Partikellösung mit Ellmanns Reagenz erfolgte ein Farbumschlag von annähernd farblos zu intensiv gelb-orange (positiv auf reduzierende Gruppen). Bei der Negativkontrolle mit PLGA Partikeln hingegen wurde kein Farb</w:t>
      </w:r>
      <w:r w:rsidR="00561E48">
        <w:t>umschlag beobachtet (negativ auf</w:t>
      </w:r>
      <w:r>
        <w:t xml:space="preserve"> reduzierende Gruppen).</w:t>
      </w:r>
    </w:p>
    <w:p w14:paraId="0FCB958F" w14:textId="77777777" w:rsidR="00742FF5" w:rsidRPr="00742FF5" w:rsidRDefault="00742FF5" w:rsidP="00742FF5">
      <w:r>
        <w:t>Damit war der Nachweis für die Anwesenheit reduzierender Thiolgruppen</w:t>
      </w:r>
      <w:r w:rsidR="00720A22">
        <w:t xml:space="preserve"> auf der Partikeloberfläche</w:t>
      </w:r>
      <w:r>
        <w:t xml:space="preserve"> erbracht. Die Funktionalität der Nanopartikel aus Cystein PEA wurde somit chemisch bestätigt.</w:t>
      </w:r>
    </w:p>
    <w:p w14:paraId="103547AC" w14:textId="77777777" w:rsidR="00690288" w:rsidRDefault="00690288" w:rsidP="00690288">
      <w:pPr>
        <w:pStyle w:val="berschrift4"/>
      </w:pPr>
      <w:bookmarkStart w:id="227" w:name="_Toc294380250"/>
      <w:r>
        <w:t>In vitro-Toxizität PEA Polymere und Partikelformulierungen</w:t>
      </w:r>
      <w:bookmarkEnd w:id="227"/>
    </w:p>
    <w:p w14:paraId="670B5837" w14:textId="77777777" w:rsidR="0080310F" w:rsidRDefault="00E43B83" w:rsidP="00690288">
      <w:r>
        <w:t>Eine erste toxikologische</w:t>
      </w:r>
      <w:r w:rsidR="001C71B0">
        <w:t xml:space="preserve"> Beurteilung</w:t>
      </w:r>
      <w:r w:rsidR="0080310F">
        <w:t xml:space="preserve"> der neuen PEA Polymere</w:t>
      </w:r>
      <w:r w:rsidR="001C71B0">
        <w:t xml:space="preserve"> und de</w:t>
      </w:r>
      <w:r>
        <w:t xml:space="preserve">ren Partikelformulierungen </w:t>
      </w:r>
      <w:r w:rsidR="00124A30">
        <w:t>erfolgte durch Untersuchung des Einflusses der Proben auf</w:t>
      </w:r>
      <w:r w:rsidR="00F71178">
        <w:t xml:space="preserve"> die Viabilität kultivierter Cac</w:t>
      </w:r>
      <w:r w:rsidR="00124A30">
        <w:t>o-2 Zellen</w:t>
      </w:r>
      <w:r w:rsidR="001C71B0">
        <w:t>.</w:t>
      </w:r>
      <w:r w:rsidR="00124A30">
        <w:t xml:space="preserve"> Die zu testenden</w:t>
      </w:r>
      <w:r w:rsidR="0078496B">
        <w:t xml:space="preserve"> Polymerk</w:t>
      </w:r>
      <w:r w:rsidR="0042332E">
        <w:t>onzentration</w:t>
      </w:r>
      <w:r w:rsidR="00EA2978">
        <w:t>en</w:t>
      </w:r>
      <w:r w:rsidR="0078496B">
        <w:t xml:space="preserve"> ergaben sich aus dem durchschnittlichen Wirkstoffbeladung</w:t>
      </w:r>
      <w:r w:rsidR="00DE4562">
        <w:t>sgrad und einer üblichen</w:t>
      </w:r>
      <w:r w:rsidR="0078496B">
        <w:t xml:space="preserve"> </w:t>
      </w:r>
      <w:r w:rsidR="008B6A4B">
        <w:t xml:space="preserve">Desmopressin </w:t>
      </w:r>
      <w:r w:rsidR="0078496B">
        <w:t>Dosis</w:t>
      </w:r>
      <w:r w:rsidR="008B6A4B">
        <w:t xml:space="preserve"> unter der Annahme, dass im Darm ein Flüssigkeitsvolumen von 100</w:t>
      </w:r>
      <w:r w:rsidR="00DE4562">
        <w:t> </w:t>
      </w:r>
      <w:r w:rsidR="008B6A4B">
        <w:t>ml zur Auflösung des Arzneimittels zur Verfügung steht</w:t>
      </w:r>
      <w:r w:rsidR="0078496B">
        <w:t>.</w:t>
      </w:r>
      <w:r w:rsidR="006A49CC">
        <w:t xml:space="preserve"> Die Überlegungen haben ergeben, dass bei einer Gabe</w:t>
      </w:r>
      <w:r w:rsidR="00737449">
        <w:t xml:space="preserve"> von </w:t>
      </w:r>
      <w:r w:rsidR="00737449">
        <w:lastRenderedPageBreak/>
        <w:t>200 µg Desmopressin</w:t>
      </w:r>
      <w:r w:rsidR="006A49CC">
        <w:t xml:space="preserve"> eine maximale Polymerkonzentration von </w:t>
      </w:r>
      <w:r w:rsidR="00737449">
        <w:t>0,</w:t>
      </w:r>
      <w:r w:rsidR="008B6A4B">
        <w:t>2</w:t>
      </w:r>
      <w:r w:rsidR="0078496B">
        <w:t> mg/ml im Darm resultieren kann</w:t>
      </w:r>
      <w:r w:rsidR="00737449">
        <w:t>. Folgende Polymerkonzentrationen wurden</w:t>
      </w:r>
      <w:r w:rsidR="00EA2978">
        <w:t xml:space="preserve"> daher</w:t>
      </w:r>
      <w:r w:rsidR="00737449">
        <w:t xml:space="preserve"> getestet: 2 mg/ml</w:t>
      </w:r>
      <w:r w:rsidR="006B04D6">
        <w:t xml:space="preserve"> (1:1)</w:t>
      </w:r>
      <w:r w:rsidR="00737449">
        <w:t>, 1 mg/ml</w:t>
      </w:r>
      <w:r w:rsidR="006B04D6">
        <w:t xml:space="preserve"> (1:2)</w:t>
      </w:r>
      <w:r w:rsidR="00737449">
        <w:t>, 0,2 mg/ml</w:t>
      </w:r>
      <w:r w:rsidR="006B04D6">
        <w:t xml:space="preserve"> (1:10)</w:t>
      </w:r>
      <w:r w:rsidR="00737449">
        <w:t xml:space="preserve"> und 0,04 mg/ml</w:t>
      </w:r>
      <w:r w:rsidR="006B04D6">
        <w:t xml:space="preserve"> (1:50)</w:t>
      </w:r>
      <w:r w:rsidR="00737449">
        <w:t>.</w:t>
      </w:r>
      <w:r w:rsidR="00F108D5">
        <w:t xml:space="preserve"> Die Konzentrationsangabe der Partikelformulierung bezieht </w:t>
      </w:r>
      <w:r w:rsidR="00685F91">
        <w:t xml:space="preserve">sich immer auf die aufgereinigten Polymerpartikel </w:t>
      </w:r>
      <w:r w:rsidR="00F108D5">
        <w:t>und nicht auf die gesamte Einwaage der Formulierung</w:t>
      </w:r>
      <w:r w:rsidR="00685F91">
        <w:t xml:space="preserve"> inklusive Zuckeralkohole</w:t>
      </w:r>
      <w:r w:rsidR="00F108D5">
        <w:t>.</w:t>
      </w:r>
      <w:r w:rsidR="00737449">
        <w:t xml:space="preserve"> Um den Einfluss von Desmopressin zu testen, wurde auch reines Desmopressin mit einer maximalen Konzentration von 30 µg/ml </w:t>
      </w:r>
      <w:r w:rsidR="00EB30E4">
        <w:t>und in den gleichen Verdünnungen wie die Polymerproben</w:t>
      </w:r>
      <w:r w:rsidR="00515F4C">
        <w:t xml:space="preserve"> </w:t>
      </w:r>
      <w:r w:rsidR="00737449">
        <w:t>getestet.</w:t>
      </w:r>
    </w:p>
    <w:p w14:paraId="394421CE" w14:textId="77777777" w:rsidR="00690288" w:rsidRPr="00690288" w:rsidRDefault="00690288" w:rsidP="00690288">
      <w:r w:rsidRPr="00690288">
        <w:t>Di</w:t>
      </w:r>
      <w:r>
        <w:t>e Viabilität wurde berechnet, indem der Wert der</w:t>
      </w:r>
      <w:r w:rsidRPr="00690288">
        <w:t xml:space="preserve"> Negativkontrolle</w:t>
      </w:r>
      <w:r>
        <w:t xml:space="preserve"> auf 100% gesetzt wu</w:t>
      </w:r>
      <w:r w:rsidRPr="00690288">
        <w:t>rd</w:t>
      </w:r>
      <w:r>
        <w:t>e</w:t>
      </w:r>
      <w:r w:rsidRPr="00690288">
        <w:t xml:space="preserve"> und alle</w:t>
      </w:r>
      <w:r>
        <w:t xml:space="preserve"> anderen Werte darauf bezogen wu</w:t>
      </w:r>
      <w:r w:rsidRPr="00690288">
        <w:t>rden.</w:t>
      </w:r>
      <w:r>
        <w:t xml:space="preserve"> Von allen Werten wurden die jeweilig</w:t>
      </w:r>
      <w:r w:rsidR="0080310F">
        <w:t>en Hintergrundwerte</w:t>
      </w:r>
      <w:r w:rsidRPr="00690288">
        <w:t xml:space="preserve"> (Medium bzw. Po</w:t>
      </w:r>
      <w:r>
        <w:t>lymerlösung</w:t>
      </w:r>
      <w:r w:rsidR="0080310F">
        <w:t>) abgezogen</w:t>
      </w:r>
      <w:r>
        <w:t>.</w:t>
      </w:r>
    </w:p>
    <w:p w14:paraId="05D19DED" w14:textId="77777777" w:rsidR="00822940" w:rsidRDefault="00A32E79" w:rsidP="005C64A7">
      <w:pPr>
        <w:spacing w:after="0"/>
      </w:pPr>
      <w:r>
        <w:t>Die Ergebnisse de</w:t>
      </w:r>
      <w:r w:rsidR="0042332E">
        <w:t>s MTT-Assays mit Asparaginsäure PEA</w:t>
      </w:r>
      <w:r>
        <w:t xml:space="preserve"> sind in </w:t>
      </w:r>
      <w:r w:rsidR="00D16240">
        <w:fldChar w:fldCharType="begin"/>
      </w:r>
      <w:r w:rsidR="0042332E">
        <w:instrText xml:space="preserve"> REF _Ref274689318 \h </w:instrText>
      </w:r>
      <w:r w:rsidR="00D16240">
        <w:fldChar w:fldCharType="separate"/>
      </w:r>
      <w:r w:rsidR="00711AB8" w:rsidRPr="00A32E79">
        <w:t xml:space="preserve">Abbildung </w:t>
      </w:r>
      <w:r w:rsidR="00711AB8">
        <w:rPr>
          <w:noProof/>
        </w:rPr>
        <w:t>25</w:t>
      </w:r>
      <w:r w:rsidR="00D16240">
        <w:fldChar w:fldCharType="end"/>
      </w:r>
      <w:r w:rsidR="0042332E">
        <w:t xml:space="preserve"> dargestellt.</w:t>
      </w:r>
    </w:p>
    <w:p w14:paraId="55A44884" w14:textId="77777777" w:rsidR="00A32E79" w:rsidRDefault="00737449" w:rsidP="00737449">
      <w:pPr>
        <w:spacing w:after="120"/>
      </w:pPr>
      <w:r>
        <w:rPr>
          <w:noProof/>
          <w:lang w:eastAsia="de-DE"/>
        </w:rPr>
        <w:drawing>
          <wp:inline distT="0" distB="0" distL="0" distR="0" wp14:anchorId="49E3521D" wp14:editId="30D203B8">
            <wp:extent cx="5760720" cy="3464560"/>
            <wp:effectExtent l="19050" t="0" r="0" b="0"/>
            <wp:docPr id="17521" name="Diagramm 175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A7ECB5E" w14:textId="77777777" w:rsidR="00A32E79" w:rsidRDefault="00A32E79" w:rsidP="003D6D5A">
      <w:pPr>
        <w:pStyle w:val="Beschriftung"/>
        <w:ind w:firstLine="0"/>
        <w:rPr>
          <w:b w:val="0"/>
        </w:rPr>
      </w:pPr>
      <w:bookmarkStart w:id="228" w:name="_Ref274689318"/>
      <w:r w:rsidRPr="00A32E79">
        <w:t xml:space="preserve">Abbildung </w:t>
      </w:r>
      <w:fldSimple w:instr=" SEQ Abbildung \* ARABIC ">
        <w:r w:rsidR="00711AB8">
          <w:rPr>
            <w:noProof/>
          </w:rPr>
          <w:t>25</w:t>
        </w:r>
      </w:fldSimple>
      <w:bookmarkEnd w:id="228"/>
      <w:r w:rsidRPr="00A32E79">
        <w:t xml:space="preserve"> </w:t>
      </w:r>
      <w:r w:rsidR="00381B4F">
        <w:rPr>
          <w:b w:val="0"/>
        </w:rPr>
        <w:t xml:space="preserve">Caco-2 Zellviabilität im MTT-Assay </w:t>
      </w:r>
      <w:r>
        <w:rPr>
          <w:b w:val="0"/>
        </w:rPr>
        <w:t xml:space="preserve">mit </w:t>
      </w:r>
      <w:r w:rsidR="007D6282">
        <w:rPr>
          <w:b w:val="0"/>
        </w:rPr>
        <w:t>einer wässrigen Lösung von Asparaginsäure PEA</w:t>
      </w:r>
      <w:r w:rsidR="00D13632">
        <w:rPr>
          <w:b w:val="0"/>
        </w:rPr>
        <w:t xml:space="preserve"> (PEA 04) und mit Desmopressin-</w:t>
      </w:r>
      <w:r w:rsidR="007D6282">
        <w:rPr>
          <w:b w:val="0"/>
        </w:rPr>
        <w:t>beladenen Partikeln</w:t>
      </w:r>
      <w:r w:rsidR="0042332E">
        <w:rPr>
          <w:b w:val="0"/>
        </w:rPr>
        <w:t xml:space="preserve"> aus PEA 04</w:t>
      </w:r>
      <w:r w:rsidR="00D13632">
        <w:rPr>
          <w:b w:val="0"/>
        </w:rPr>
        <w:t>.</w:t>
      </w:r>
    </w:p>
    <w:p w14:paraId="0D4C9FB5" w14:textId="77777777" w:rsidR="0042332E" w:rsidRDefault="0042332E" w:rsidP="0042332E"/>
    <w:p w14:paraId="4F978BF7" w14:textId="77777777" w:rsidR="0042332E" w:rsidRDefault="0042332E" w:rsidP="00DE4562">
      <w:pPr>
        <w:spacing w:after="120"/>
      </w:pPr>
      <w:r>
        <w:t>Mit den gleichen Proben wurde außerdem ein CellTiter-Glo Test durchgeführt. Die Erg</w:t>
      </w:r>
      <w:r w:rsidR="00EB30E4">
        <w:t>ebnisse des CellTiter-Glo Tests</w:t>
      </w:r>
      <w:r>
        <w:t xml:space="preserve"> sind in </w:t>
      </w:r>
      <w:r w:rsidR="00D16240">
        <w:fldChar w:fldCharType="begin"/>
      </w:r>
      <w:r w:rsidR="00737449">
        <w:instrText xml:space="preserve"> REF _Ref274690576 \h </w:instrText>
      </w:r>
      <w:r w:rsidR="00D16240">
        <w:fldChar w:fldCharType="separate"/>
      </w:r>
      <w:r w:rsidR="00711AB8" w:rsidRPr="0042332E">
        <w:t xml:space="preserve">Abbildung </w:t>
      </w:r>
      <w:r w:rsidR="00711AB8">
        <w:rPr>
          <w:noProof/>
        </w:rPr>
        <w:t>26</w:t>
      </w:r>
      <w:r w:rsidR="00D16240">
        <w:fldChar w:fldCharType="end"/>
      </w:r>
      <w:r w:rsidR="00737449">
        <w:t xml:space="preserve"> dargestellt.</w:t>
      </w:r>
    </w:p>
    <w:p w14:paraId="03E158D4" w14:textId="77777777" w:rsidR="0042332E" w:rsidRDefault="0042332E" w:rsidP="00737449">
      <w:pPr>
        <w:spacing w:after="120"/>
      </w:pPr>
      <w:r>
        <w:rPr>
          <w:noProof/>
          <w:lang w:eastAsia="de-DE"/>
        </w:rPr>
        <w:lastRenderedPageBreak/>
        <w:drawing>
          <wp:inline distT="0" distB="0" distL="0" distR="0" wp14:anchorId="03E573E0" wp14:editId="149B1D89">
            <wp:extent cx="5760720" cy="3418840"/>
            <wp:effectExtent l="19050" t="0" r="0" b="0"/>
            <wp:docPr id="17518" name="Diagramm 175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719652D" w14:textId="77777777" w:rsidR="0042332E" w:rsidRDefault="0042332E" w:rsidP="003D6D5A">
      <w:pPr>
        <w:pStyle w:val="Beschriftung"/>
        <w:ind w:firstLine="0"/>
        <w:rPr>
          <w:b w:val="0"/>
        </w:rPr>
      </w:pPr>
      <w:bookmarkStart w:id="229" w:name="_Ref274690576"/>
      <w:r w:rsidRPr="0042332E">
        <w:t xml:space="preserve">Abbildung </w:t>
      </w:r>
      <w:fldSimple w:instr=" SEQ Abbildung \* ARABIC ">
        <w:r w:rsidR="00711AB8">
          <w:rPr>
            <w:noProof/>
          </w:rPr>
          <w:t>26</w:t>
        </w:r>
      </w:fldSimple>
      <w:bookmarkEnd w:id="229"/>
      <w:r>
        <w:t xml:space="preserve"> </w:t>
      </w:r>
      <w:r w:rsidR="00381B4F">
        <w:rPr>
          <w:b w:val="0"/>
        </w:rPr>
        <w:t>Caco-2 Zellviabilität im</w:t>
      </w:r>
      <w:r>
        <w:rPr>
          <w:b w:val="0"/>
        </w:rPr>
        <w:t xml:space="preserve"> Cel</w:t>
      </w:r>
      <w:r w:rsidR="00381B4F">
        <w:rPr>
          <w:b w:val="0"/>
        </w:rPr>
        <w:t>lTiter-Glo Assay</w:t>
      </w:r>
      <w:r>
        <w:rPr>
          <w:b w:val="0"/>
        </w:rPr>
        <w:t xml:space="preserve"> mit</w:t>
      </w:r>
      <w:r w:rsidR="007D6282">
        <w:rPr>
          <w:b w:val="0"/>
        </w:rPr>
        <w:t xml:space="preserve"> einer wässrigen Lösung von Asparaginsäure PEA</w:t>
      </w:r>
      <w:r w:rsidR="00D13632">
        <w:rPr>
          <w:b w:val="0"/>
        </w:rPr>
        <w:t xml:space="preserve"> (PEA 04) und mit Desmopressin-</w:t>
      </w:r>
      <w:r w:rsidR="007D6282">
        <w:rPr>
          <w:b w:val="0"/>
        </w:rPr>
        <w:t xml:space="preserve">beladenen Partikeln </w:t>
      </w:r>
      <w:r>
        <w:rPr>
          <w:b w:val="0"/>
        </w:rPr>
        <w:t>aus PEA 04</w:t>
      </w:r>
      <w:r w:rsidR="00720A22">
        <w:rPr>
          <w:b w:val="0"/>
        </w:rPr>
        <w:t>.</w:t>
      </w:r>
    </w:p>
    <w:p w14:paraId="244B56FA" w14:textId="77777777" w:rsidR="00737449" w:rsidRDefault="00737449" w:rsidP="00737449"/>
    <w:p w14:paraId="79547063" w14:textId="77777777" w:rsidR="00EA2978" w:rsidRDefault="00EB30E4" w:rsidP="00737449">
      <w:r>
        <w:t>Ein Vergleich der beiden Diagramme zeigt schnell, dass die Ergebnisse</w:t>
      </w:r>
      <w:r w:rsidR="00D13173">
        <w:t xml:space="preserve"> des MTT Tests in </w:t>
      </w:r>
      <w:r w:rsidR="00D16240">
        <w:fldChar w:fldCharType="begin"/>
      </w:r>
      <w:r w:rsidR="00D13173">
        <w:instrText xml:space="preserve"> REF _Ref274689318 \h </w:instrText>
      </w:r>
      <w:r w:rsidR="00D16240">
        <w:fldChar w:fldCharType="separate"/>
      </w:r>
      <w:r w:rsidR="00711AB8" w:rsidRPr="00A32E79">
        <w:t xml:space="preserve">Abbildung </w:t>
      </w:r>
      <w:r w:rsidR="00711AB8">
        <w:rPr>
          <w:noProof/>
        </w:rPr>
        <w:t>25</w:t>
      </w:r>
      <w:r w:rsidR="00D16240">
        <w:fldChar w:fldCharType="end"/>
      </w:r>
      <w:r w:rsidR="00D13173">
        <w:t xml:space="preserve"> mit denen des CellTiter-Glo Tests in </w:t>
      </w:r>
      <w:r w:rsidR="00D16240">
        <w:fldChar w:fldCharType="begin"/>
      </w:r>
      <w:r w:rsidR="00D13173">
        <w:instrText xml:space="preserve"> REF _Ref274690576 \h </w:instrText>
      </w:r>
      <w:r w:rsidR="00D16240">
        <w:fldChar w:fldCharType="separate"/>
      </w:r>
      <w:r w:rsidR="00711AB8" w:rsidRPr="0042332E">
        <w:t xml:space="preserve">Abbildung </w:t>
      </w:r>
      <w:r w:rsidR="00711AB8">
        <w:rPr>
          <w:noProof/>
        </w:rPr>
        <w:t>26</w:t>
      </w:r>
      <w:r w:rsidR="00D16240">
        <w:fldChar w:fldCharType="end"/>
      </w:r>
      <w:r>
        <w:t xml:space="preserve"> sehr gut korrelieren und nahezu übereinstimmen</w:t>
      </w:r>
      <w:r w:rsidR="00D13173">
        <w:t>. Da jedoch beim CellTiter-Glo Test die Standardabweichung generell etwas geringer war, erfolgte die Auswertung der Date</w:t>
      </w:r>
      <w:r w:rsidR="00DE4562">
        <w:t>n vor</w:t>
      </w:r>
      <w:r w:rsidR="00720A22">
        <w:t>wiegend anhand dieses</w:t>
      </w:r>
      <w:r w:rsidR="00DE4562">
        <w:t xml:space="preserve"> Tests</w:t>
      </w:r>
      <w:r w:rsidR="00D13173">
        <w:t>.</w:t>
      </w:r>
    </w:p>
    <w:p w14:paraId="37686F51" w14:textId="77777777" w:rsidR="00D13173" w:rsidRPr="00EC409B" w:rsidRDefault="00AD3124" w:rsidP="00737449">
      <w:pPr>
        <w:rPr>
          <w:color w:val="FF0000"/>
        </w:rPr>
      </w:pPr>
      <w:r>
        <w:t>Von einer</w:t>
      </w:r>
      <w:r w:rsidR="00124A30">
        <w:t xml:space="preserve"> toxische</w:t>
      </w:r>
      <w:r>
        <w:t>n</w:t>
      </w:r>
      <w:r w:rsidR="00124A30">
        <w:t xml:space="preserve"> W</w:t>
      </w:r>
      <w:r>
        <w:t>irkung der getesteten Substanzen auf die Zellen wird erfahrungsgemäß dann gesprochen, wenn die Viabilität außerhalb des Bereiches von 80 bis 120% liegt</w:t>
      </w:r>
      <w:r w:rsidR="00124A30">
        <w:t>.</w:t>
      </w:r>
      <w:r>
        <w:t xml:space="preserve"> Liegt die Zellviablität im MTT und im CellTiter-Glo Test innerhalb dieses Bereiches ist</w:t>
      </w:r>
      <w:r w:rsidR="002C3E03">
        <w:t xml:space="preserve"> mit großer Wahrscheinlichkeit</w:t>
      </w:r>
      <w:r>
        <w:t xml:space="preserve"> nicht von ein</w:t>
      </w:r>
      <w:r w:rsidR="00F71178">
        <w:t>er zytotoxischen Wirkung auf Cac</w:t>
      </w:r>
      <w:r>
        <w:t>o-2 Zellen auszugehen.</w:t>
      </w:r>
    </w:p>
    <w:p w14:paraId="3C8338E3" w14:textId="77777777" w:rsidR="00D172DA" w:rsidRDefault="000D5DF2" w:rsidP="00737449">
      <w:r>
        <w:t>Bei den Partikelformulierungen wurde e</w:t>
      </w:r>
      <w:r w:rsidR="00E76F6F">
        <w:t>ine signifikante Unterschreitung de</w:t>
      </w:r>
      <w:r>
        <w:t xml:space="preserve">r 80%-Schwelle </w:t>
      </w:r>
      <w:r w:rsidR="00E76F6F">
        <w:t xml:space="preserve">nur bei den höchsten Konzentrationen </w:t>
      </w:r>
      <w:r w:rsidR="00DE4562">
        <w:t>von 2 </w:t>
      </w:r>
      <w:r w:rsidR="00E76F6F">
        <w:t xml:space="preserve">mg/ml beobachtet. </w:t>
      </w:r>
      <w:r w:rsidR="00515F4C">
        <w:t>Für die</w:t>
      </w:r>
      <w:r>
        <w:t xml:space="preserve"> wässrige</w:t>
      </w:r>
      <w:r w:rsidR="00515F4C">
        <w:t xml:space="preserve"> Lösung von Asparaginsäure PEA (PEA 04) sank die Viabilität bei 2 mg/ml auf 73% (</w:t>
      </w:r>
      <w:r w:rsidR="00515F4C">
        <w:sym w:font="Symbol" w:char="F0B1"/>
      </w:r>
      <w:r w:rsidR="00515F4C">
        <w:t>0,7%) und bei 1 mg/ml auf 77,5% (</w:t>
      </w:r>
      <w:r w:rsidR="00515F4C">
        <w:sym w:font="Symbol" w:char="F0B1"/>
      </w:r>
      <w:r w:rsidR="00515F4C">
        <w:t>3,6%) ab. Die weiteren Verdünnungen der Polyme</w:t>
      </w:r>
      <w:r w:rsidR="00EB30E4">
        <w:t xml:space="preserve">rlösung von 1:10 </w:t>
      </w:r>
      <w:r w:rsidR="00E43B83">
        <w:t>und 1:50 hatten</w:t>
      </w:r>
      <w:r w:rsidR="00FC40A9">
        <w:t xml:space="preserve"> keine</w:t>
      </w:r>
      <w:r w:rsidR="00E43B83">
        <w:t>n</w:t>
      </w:r>
      <w:r w:rsidR="00FC40A9">
        <w:t xml:space="preserve"> signifikante</w:t>
      </w:r>
      <w:r w:rsidR="00E43B83">
        <w:t>n Einfluss auf die</w:t>
      </w:r>
      <w:r w:rsidR="00FC40A9">
        <w:t xml:space="preserve"> Viabilität.</w:t>
      </w:r>
    </w:p>
    <w:p w14:paraId="112A3ABA" w14:textId="77777777" w:rsidR="00515F4C" w:rsidRDefault="00515F4C" w:rsidP="00737449">
      <w:r>
        <w:t>Die Ergebnisse der Partikelformulierung</w:t>
      </w:r>
      <w:r w:rsidR="00F108D5">
        <w:t xml:space="preserve"> mit Desmopressin</w:t>
      </w:r>
      <w:r>
        <w:t xml:space="preserve"> aus dem gleichen PEA 04 waren </w:t>
      </w:r>
      <w:r w:rsidR="00EB30E4">
        <w:t xml:space="preserve">denen der </w:t>
      </w:r>
      <w:r w:rsidR="000D5DF2">
        <w:t xml:space="preserve">wässrigen </w:t>
      </w:r>
      <w:r w:rsidR="00EB30E4">
        <w:t>Lösung</w:t>
      </w:r>
      <w:r w:rsidR="000D5DF2">
        <w:t xml:space="preserve"> des gleichen Polymers</w:t>
      </w:r>
      <w:r w:rsidR="00EB30E4">
        <w:t xml:space="preserve"> </w:t>
      </w:r>
      <w:r w:rsidR="00DE4562">
        <w:t>relativ</w:t>
      </w:r>
      <w:r>
        <w:t xml:space="preserve"> ähnlich: </w:t>
      </w:r>
      <w:r w:rsidR="008B3481">
        <w:t>Bei einer Konzentration von 2 mg/ml sank die Viabilität auf 71,3% (</w:t>
      </w:r>
      <w:r w:rsidR="008B3481">
        <w:sym w:font="Symbol" w:char="F0B1"/>
      </w:r>
      <w:r w:rsidR="008B3481">
        <w:t>3,2%) und bei 1 mg/ml auf 88,7% (</w:t>
      </w:r>
      <w:r w:rsidR="008B3481">
        <w:sym w:font="Symbol" w:char="F0B1"/>
      </w:r>
      <w:r w:rsidR="008B3481">
        <w:t>1,7%) a</w:t>
      </w:r>
      <w:r w:rsidR="00DE4562">
        <w:t>b. Die weiteren Verdünnungen la</w:t>
      </w:r>
      <w:r w:rsidR="008B3481">
        <w:t>g</w:t>
      </w:r>
      <w:r w:rsidR="00DE4562">
        <w:t>e</w:t>
      </w:r>
      <w:r w:rsidR="00FC40A9">
        <w:t>n nur knapp und nicht signifikant unterhalb von 100%.</w:t>
      </w:r>
    </w:p>
    <w:p w14:paraId="1C1BB861" w14:textId="77777777" w:rsidR="008B3481" w:rsidRDefault="008B3481" w:rsidP="00737449">
      <w:r>
        <w:lastRenderedPageBreak/>
        <w:t>Die Viabilität der getesteten Desmopressin Lösungen</w:t>
      </w:r>
      <w:r w:rsidR="003D44FF">
        <w:t xml:space="preserve"> lag jeweils in allen Konzentrationen beim MTT Test um 90% und beim CellTiter-Glo Test knapp über 100%.</w:t>
      </w:r>
      <w:r w:rsidR="00090AB0">
        <w:t xml:space="preserve"> </w:t>
      </w:r>
    </w:p>
    <w:p w14:paraId="6E7D2DAA" w14:textId="77777777" w:rsidR="003D44FF" w:rsidRDefault="003D44FF" w:rsidP="00737449"/>
    <w:p w14:paraId="534DB716" w14:textId="77777777" w:rsidR="00737449" w:rsidRDefault="009B4ECC" w:rsidP="00737449">
      <w:r>
        <w:t xml:space="preserve">In einem weiteren </w:t>
      </w:r>
      <w:r w:rsidR="00FC40A9">
        <w:t>Viabilitätstest mit CellTiter-Glo</w:t>
      </w:r>
      <w:r>
        <w:t xml:space="preserve"> wurd</w:t>
      </w:r>
      <w:r w:rsidR="001652C6">
        <w:t xml:space="preserve">en Partikel </w:t>
      </w:r>
      <w:r w:rsidR="003D44FF">
        <w:t xml:space="preserve">getestet, die </w:t>
      </w:r>
      <w:r w:rsidR="001652C6">
        <w:t xml:space="preserve">aus </w:t>
      </w:r>
      <w:r w:rsidR="003D44FF">
        <w:t xml:space="preserve">einem </w:t>
      </w:r>
      <w:r>
        <w:t>Asparaginsäure</w:t>
      </w:r>
      <w:r w:rsidR="001652C6">
        <w:t xml:space="preserve"> PEA Polymer </w:t>
      </w:r>
      <w:r w:rsidR="003D44FF">
        <w:t>hergestellt wurden</w:t>
      </w:r>
      <w:r w:rsidR="001652C6">
        <w:t xml:space="preserve">, das </w:t>
      </w:r>
      <w:r w:rsidR="00090AB0">
        <w:t xml:space="preserve">nach der Polymerisation </w:t>
      </w:r>
      <w:r w:rsidR="001652C6">
        <w:t>lediglich</w:t>
      </w:r>
      <w:r w:rsidR="00090AB0">
        <w:t xml:space="preserve"> zu 73% entschützt werden konnte</w:t>
      </w:r>
      <w:r w:rsidR="003D44FF">
        <w:t xml:space="preserve"> (PEA 08)</w:t>
      </w:r>
      <w:r w:rsidR="001652C6">
        <w:t>. Mit diesem Test wurd</w:t>
      </w:r>
      <w:r w:rsidR="003D44FF">
        <w:t>e untersucht</w:t>
      </w:r>
      <w:r w:rsidR="00FC40A9">
        <w:t>,</w:t>
      </w:r>
      <w:r w:rsidR="003D44FF">
        <w:t xml:space="preserve"> ob</w:t>
      </w:r>
      <w:r w:rsidR="00FC40A9">
        <w:t xml:space="preserve"> sich</w:t>
      </w:r>
      <w:r w:rsidR="003D44FF">
        <w:t xml:space="preserve"> </w:t>
      </w:r>
      <w:r w:rsidR="00FC40A9">
        <w:t xml:space="preserve">die Anwesenheit einer höheren Anzahl an </w:t>
      </w:r>
      <w:r w:rsidR="003D44FF">
        <w:t>Seitengruppen, die</w:t>
      </w:r>
      <w:r w:rsidR="001652C6">
        <w:t xml:space="preserve"> </w:t>
      </w:r>
      <w:r w:rsidR="003D44FF">
        <w:t>noch mit Schutzgruppen</w:t>
      </w:r>
      <w:r w:rsidR="00FC40A9">
        <w:t xml:space="preserve"> versehen sind, a</w:t>
      </w:r>
      <w:r w:rsidR="003D44FF">
        <w:t xml:space="preserve">uf </w:t>
      </w:r>
      <w:r w:rsidR="001652C6">
        <w:t>die T</w:t>
      </w:r>
      <w:r w:rsidR="00FC40A9">
        <w:t>oxizität der Polymere auswirkt</w:t>
      </w:r>
      <w:r w:rsidR="001652C6">
        <w:t>.</w:t>
      </w:r>
    </w:p>
    <w:p w14:paraId="6775A939" w14:textId="77777777" w:rsidR="000A73AE" w:rsidRDefault="001652C6" w:rsidP="00737449">
      <w:r>
        <w:t>Im gleichen Test wurde</w:t>
      </w:r>
      <w:r w:rsidR="000932DF">
        <w:t>n</w:t>
      </w:r>
      <w:r>
        <w:t xml:space="preserve"> </w:t>
      </w:r>
      <w:r w:rsidR="003D44FF">
        <w:t xml:space="preserve">weiterhin </w:t>
      </w:r>
      <w:r w:rsidR="000932DF">
        <w:t>zwei</w:t>
      </w:r>
      <w:r w:rsidR="007467C3">
        <w:t xml:space="preserve"> Desmopressin-</w:t>
      </w:r>
      <w:r>
        <w:t>haltige Partikelformulierung</w:t>
      </w:r>
      <w:r w:rsidR="000932DF">
        <w:t>en</w:t>
      </w:r>
      <w:r>
        <w:t xml:space="preserve"> aus Cystein PEA (PEA 07</w:t>
      </w:r>
      <w:r w:rsidR="000932DF">
        <w:t xml:space="preserve"> und PEA 09</w:t>
      </w:r>
      <w:r>
        <w:t>) mitgeführt, die entsprechend der optimierten Doppelemulsionsmethode hergestellt wurde</w:t>
      </w:r>
      <w:r w:rsidR="000932DF">
        <w:t>n</w:t>
      </w:r>
      <w:r w:rsidR="00AD3124">
        <w:t>.</w:t>
      </w:r>
    </w:p>
    <w:p w14:paraId="27E9CE91" w14:textId="77777777" w:rsidR="000A73AE" w:rsidRDefault="000A73AE" w:rsidP="00737449">
      <w:r>
        <w:t>Außerdem wurde</w:t>
      </w:r>
      <w:r w:rsidR="003D44FF">
        <w:t xml:space="preserve"> im gleichen Versuch</w:t>
      </w:r>
      <w:r>
        <w:t xml:space="preserve"> </w:t>
      </w:r>
      <w:r w:rsidR="001652C6">
        <w:t>der Einfluss e</w:t>
      </w:r>
      <w:r w:rsidR="000932DF">
        <w:t>iner wässrigen Lösung von</w:t>
      </w:r>
      <w:r w:rsidR="001652C6">
        <w:t xml:space="preserve"> PVA auf</w:t>
      </w:r>
      <w:r w:rsidR="00AD3124">
        <w:t xml:space="preserve"> die Zellviabilität untersucht.</w:t>
      </w:r>
    </w:p>
    <w:p w14:paraId="4FA668DE" w14:textId="77777777" w:rsidR="001652C6" w:rsidRDefault="001652C6" w:rsidP="00846E62">
      <w:r>
        <w:t xml:space="preserve">Die Ergebnisse </w:t>
      </w:r>
      <w:r w:rsidR="000A73AE">
        <w:t xml:space="preserve">dieses CellTiter-Glo Tests </w:t>
      </w:r>
      <w:r>
        <w:t xml:space="preserve">sind in </w:t>
      </w:r>
      <w:r w:rsidR="00D16240">
        <w:fldChar w:fldCharType="begin"/>
      </w:r>
      <w:r w:rsidR="000A73AE">
        <w:instrText xml:space="preserve"> REF _Ref274693258 \h </w:instrText>
      </w:r>
      <w:r w:rsidR="00D16240">
        <w:fldChar w:fldCharType="separate"/>
      </w:r>
      <w:r w:rsidR="00711AB8" w:rsidRPr="000A73AE">
        <w:t xml:space="preserve">Abbildung </w:t>
      </w:r>
      <w:r w:rsidR="00711AB8">
        <w:rPr>
          <w:noProof/>
        </w:rPr>
        <w:t>27</w:t>
      </w:r>
      <w:r w:rsidR="00D16240">
        <w:fldChar w:fldCharType="end"/>
      </w:r>
      <w:r w:rsidR="000A73AE">
        <w:t xml:space="preserve"> dargestellt.</w:t>
      </w:r>
    </w:p>
    <w:p w14:paraId="3E11DE78" w14:textId="77777777" w:rsidR="001652C6" w:rsidRDefault="001652C6" w:rsidP="0052487F">
      <w:pPr>
        <w:spacing w:after="0"/>
      </w:pPr>
    </w:p>
    <w:p w14:paraId="4E9088EB" w14:textId="77777777" w:rsidR="001652C6" w:rsidRDefault="00E465FB" w:rsidP="000932DF">
      <w:pPr>
        <w:spacing w:after="120"/>
        <w:jc w:val="center"/>
      </w:pPr>
      <w:r>
        <w:rPr>
          <w:noProof/>
          <w:lang w:eastAsia="de-DE"/>
        </w:rPr>
        <w:drawing>
          <wp:inline distT="0" distB="0" distL="0" distR="0" wp14:anchorId="1DC8DD59" wp14:editId="3DE06B3C">
            <wp:extent cx="5760720" cy="3769213"/>
            <wp:effectExtent l="0" t="0" r="5080" b="0"/>
            <wp:docPr id="17524" name="Diagramm 175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9E18BB8" w14:textId="77777777" w:rsidR="000A73AE" w:rsidRDefault="000A73AE" w:rsidP="003D6D5A">
      <w:pPr>
        <w:pStyle w:val="Beschriftung"/>
        <w:ind w:firstLine="0"/>
        <w:rPr>
          <w:b w:val="0"/>
        </w:rPr>
      </w:pPr>
      <w:bookmarkStart w:id="230" w:name="_Ref274693258"/>
      <w:r w:rsidRPr="000A73AE">
        <w:t xml:space="preserve">Abbildung </w:t>
      </w:r>
      <w:fldSimple w:instr=" SEQ Abbildung \* ARABIC ">
        <w:r w:rsidR="00711AB8">
          <w:rPr>
            <w:noProof/>
          </w:rPr>
          <w:t>27</w:t>
        </w:r>
      </w:fldSimple>
      <w:bookmarkEnd w:id="230"/>
      <w:r>
        <w:t xml:space="preserve"> </w:t>
      </w:r>
      <w:r w:rsidR="00381B4F">
        <w:rPr>
          <w:b w:val="0"/>
        </w:rPr>
        <w:t>Caco-2 Zellviabilität</w:t>
      </w:r>
      <w:r w:rsidR="00381B4F" w:rsidRPr="0052487F">
        <w:rPr>
          <w:b w:val="0"/>
        </w:rPr>
        <w:t xml:space="preserve"> </w:t>
      </w:r>
      <w:r w:rsidR="00381B4F">
        <w:rPr>
          <w:b w:val="0"/>
        </w:rPr>
        <w:t xml:space="preserve">im </w:t>
      </w:r>
      <w:r w:rsidR="0052487F">
        <w:rPr>
          <w:b w:val="0"/>
        </w:rPr>
        <w:t>CellTiter-Glo</w:t>
      </w:r>
      <w:r w:rsidR="00381B4F">
        <w:rPr>
          <w:b w:val="0"/>
        </w:rPr>
        <w:t xml:space="preserve"> Assay</w:t>
      </w:r>
      <w:r w:rsidR="0052487F">
        <w:rPr>
          <w:b w:val="0"/>
        </w:rPr>
        <w:t xml:space="preserve"> mit Partikeln aus teilentschütztem Asparaginsäure PEA</w:t>
      </w:r>
      <w:r w:rsidR="003D44FF">
        <w:rPr>
          <w:b w:val="0"/>
        </w:rPr>
        <w:t xml:space="preserve"> 08</w:t>
      </w:r>
      <w:r w:rsidR="0052487F">
        <w:rPr>
          <w:b w:val="0"/>
        </w:rPr>
        <w:t>, Desmopre</w:t>
      </w:r>
      <w:r w:rsidR="00D13632">
        <w:rPr>
          <w:b w:val="0"/>
        </w:rPr>
        <w:t>ssin-</w:t>
      </w:r>
      <w:r w:rsidR="0052487F">
        <w:rPr>
          <w:b w:val="0"/>
        </w:rPr>
        <w:t>beladenen Partikeln aus Cystein PEA</w:t>
      </w:r>
      <w:r w:rsidR="003D44FF">
        <w:rPr>
          <w:b w:val="0"/>
        </w:rPr>
        <w:t xml:space="preserve"> 07</w:t>
      </w:r>
      <w:r w:rsidR="000932DF">
        <w:rPr>
          <w:b w:val="0"/>
        </w:rPr>
        <w:t xml:space="preserve"> und Cystein PEA 09</w:t>
      </w:r>
      <w:r w:rsidR="0052487F">
        <w:rPr>
          <w:b w:val="0"/>
        </w:rPr>
        <w:t xml:space="preserve"> und mit reiner PVA Lösung</w:t>
      </w:r>
      <w:r w:rsidR="00720A22">
        <w:rPr>
          <w:b w:val="0"/>
        </w:rPr>
        <w:t>.</w:t>
      </w:r>
    </w:p>
    <w:p w14:paraId="7CB9DE58" w14:textId="77777777" w:rsidR="0052487F" w:rsidRDefault="0052487F" w:rsidP="0052487F"/>
    <w:p w14:paraId="0193C145" w14:textId="77777777" w:rsidR="0052487F" w:rsidRDefault="002E7095" w:rsidP="0052487F">
      <w:r>
        <w:lastRenderedPageBreak/>
        <w:t>Die Ergebnisse decken sich weitgehend mit denen des ersten Tests mit Asparaginsäure PEA. Ein Absinken der Zellviabilität unte</w:t>
      </w:r>
      <w:r w:rsidR="00090AB0">
        <w:t>r die Schwelle von 80% wurde lediglich</w:t>
      </w:r>
      <w:r w:rsidR="000932DF">
        <w:t xml:space="preserve"> jeweils</w:t>
      </w:r>
      <w:r w:rsidR="00090AB0">
        <w:t xml:space="preserve"> in</w:t>
      </w:r>
      <w:r>
        <w:t xml:space="preserve"> der höchsten Konzentration </w:t>
      </w:r>
      <w:r w:rsidR="000932DF">
        <w:t xml:space="preserve">von 2 mg/ml </w:t>
      </w:r>
      <w:r w:rsidR="00F93D48">
        <w:t>bei den</w:t>
      </w:r>
      <w:r>
        <w:t xml:space="preserve"> Partikelformulierung</w:t>
      </w:r>
      <w:r w:rsidR="000932DF">
        <w:t>en</w:t>
      </w:r>
      <w:r>
        <w:t xml:space="preserve"> aus</w:t>
      </w:r>
      <w:r w:rsidR="000932DF">
        <w:t xml:space="preserve"> Asparaginsäure PEA </w:t>
      </w:r>
      <w:r>
        <w:t>08</w:t>
      </w:r>
      <w:r w:rsidR="000932DF">
        <w:t xml:space="preserve"> (69,8% </w:t>
      </w:r>
      <w:r w:rsidR="000932DF">
        <w:sym w:font="Symbol" w:char="F0B1"/>
      </w:r>
      <w:r w:rsidR="000932DF">
        <w:t>7,9%) und Cystein PEA 09 (75,8% </w:t>
      </w:r>
      <w:r w:rsidR="000932DF">
        <w:sym w:font="Symbol" w:char="F0B1"/>
      </w:r>
      <w:r w:rsidR="000932DF">
        <w:t>7,8%)</w:t>
      </w:r>
      <w:r>
        <w:t xml:space="preserve"> beobachtet. </w:t>
      </w:r>
      <w:r w:rsidR="00F93D48">
        <w:t>Die 1:2-Verdünnung der Asparaginsäure</w:t>
      </w:r>
      <w:r w:rsidR="00EC66E1">
        <w:t xml:space="preserve"> Formulierung lag bei 86,3% (</w:t>
      </w:r>
      <w:r w:rsidR="00EC66E1">
        <w:sym w:font="Symbol" w:char="F0B1"/>
      </w:r>
      <w:r w:rsidR="00EC66E1">
        <w:t xml:space="preserve">3,6%) und die weiteren Verdünnungen bei 106,2% (1:10) und 109,1% (1:50). </w:t>
      </w:r>
      <w:r w:rsidR="00F93D48">
        <w:t xml:space="preserve">Für die 1:2-Verdünnung der Partikel aus Cystein PEA 09 wurde eine Viabilität </w:t>
      </w:r>
      <w:r w:rsidR="006A2038">
        <w:t xml:space="preserve">von 84,4% </w:t>
      </w:r>
      <w:r w:rsidR="00BE391B">
        <w:t>(</w:t>
      </w:r>
      <w:r w:rsidR="00BE391B">
        <w:sym w:font="Symbol" w:char="F0B1"/>
      </w:r>
      <w:r w:rsidR="00BE391B">
        <w:t xml:space="preserve">8,0%) </w:t>
      </w:r>
      <w:r w:rsidR="006A2038">
        <w:t>gemessen.</w:t>
      </w:r>
      <w:r w:rsidR="00BE391B">
        <w:t xml:space="preserve"> Bei den weiteren Verdünnungen dieser Probe resultierte</w:t>
      </w:r>
      <w:r w:rsidR="00491CCB">
        <w:t>n</w:t>
      </w:r>
      <w:r w:rsidR="00BE391B">
        <w:t xml:space="preserve"> Viabilität</w:t>
      </w:r>
      <w:r w:rsidR="00491CCB">
        <w:t>en</w:t>
      </w:r>
      <w:r w:rsidR="00BE391B">
        <w:t xml:space="preserve"> zwischen 94% und 101%.</w:t>
      </w:r>
    </w:p>
    <w:p w14:paraId="1C6A2BBE" w14:textId="77777777" w:rsidR="00EC66E1" w:rsidRDefault="00EC66E1" w:rsidP="0052487F">
      <w:r>
        <w:t>Die Formulierung aus Cystein PEA 07 führte in der Konzentration von 2 mg/ml zum Absinken der Viabilität auf 80,9% (</w:t>
      </w:r>
      <w:r>
        <w:sym w:font="Symbol" w:char="F0B1"/>
      </w:r>
      <w:r>
        <w:t>1,0%). Alle we</w:t>
      </w:r>
      <w:r w:rsidR="006A2038">
        <w:t xml:space="preserve">iteren Verdünnungen der Partikelsuspension mit Cystein PEA 07 </w:t>
      </w:r>
      <w:r w:rsidR="005B20C4">
        <w:t xml:space="preserve">hatten </w:t>
      </w:r>
      <w:r>
        <w:t>nur einen sehr geringfügig</w:t>
      </w:r>
      <w:r w:rsidR="005B20C4">
        <w:t xml:space="preserve">en, jedoch kaum signifikanten </w:t>
      </w:r>
      <w:r>
        <w:t>Einfluss auf die Zellviabilität.</w:t>
      </w:r>
    </w:p>
    <w:p w14:paraId="301CC9EE" w14:textId="77777777" w:rsidR="005B20C4" w:rsidRDefault="005B20C4" w:rsidP="0052487F">
      <w:r>
        <w:t>Die Untersuchung der</w:t>
      </w:r>
      <w:r w:rsidR="00491CCB">
        <w:t xml:space="preserve"> reinen</w:t>
      </w:r>
      <w:r>
        <w:t xml:space="preserve"> PVA Lösung ergab einen leichten Anstieg der Viabilität bei allen getesteten Konzentrationen zwischen 114% und 116%. Der obere Schwellenwert von 120% wurde jedoch bei keiner </w:t>
      </w:r>
      <w:r w:rsidR="00621B58">
        <w:t xml:space="preserve">der </w:t>
      </w:r>
      <w:r>
        <w:t>Probe</w:t>
      </w:r>
      <w:r w:rsidR="00621B58">
        <w:t>n</w:t>
      </w:r>
      <w:r>
        <w:t xml:space="preserve"> überschritten.</w:t>
      </w:r>
      <w:r w:rsidR="00090AB0">
        <w:t xml:space="preserve"> Demnach hat eine</w:t>
      </w:r>
      <w:r w:rsidR="006A2038">
        <w:t xml:space="preserve"> PVA Lösung </w:t>
      </w:r>
      <w:r w:rsidR="00090AB0">
        <w:t xml:space="preserve">mit einer Konzentration zwischen 0,04 mg/ml und 2 mg/ml </w:t>
      </w:r>
      <w:r w:rsidR="006A2038">
        <w:t>keine signifikant toxische Wirkung auf Caco-2 Zellen.</w:t>
      </w:r>
    </w:p>
    <w:p w14:paraId="5B7B6D63" w14:textId="77777777" w:rsidR="000F7821" w:rsidRPr="0097517C" w:rsidRDefault="00FC40A9" w:rsidP="0097517C">
      <w:r w:rsidRPr="00FC40A9">
        <w:t>Ein Test mit reinem, nicht partikulärem Cystein PEA Polymer konnte aufgrund der unzureichenden Wasserlöslichkeit dieser Polymerklasse nicht durchgeführt werden.</w:t>
      </w:r>
    </w:p>
    <w:p w14:paraId="292060D2" w14:textId="77777777" w:rsidR="004D0D5A" w:rsidRDefault="003B37C5" w:rsidP="004D0D5A">
      <w:pPr>
        <w:pStyle w:val="berschrift3"/>
      </w:pPr>
      <w:bookmarkStart w:id="231" w:name="_Toc294380251"/>
      <w:r>
        <w:t>Zusammenfassende Diskussion</w:t>
      </w:r>
      <w:bookmarkEnd w:id="231"/>
    </w:p>
    <w:p w14:paraId="5A2F1F05" w14:textId="77777777" w:rsidR="00267279" w:rsidRDefault="00267279" w:rsidP="00CE356C">
      <w:r>
        <w:t>Ziel der Formulierungsversuche mit den neuen PEA Polymeren war die Herstellung wirkstoffbeladener Nanopartikel mit einem mittleren Partikeldurchmesser im Bereich zwischen 200 und 500 nm. Dabei galt es zu untersuchen, ob die neu</w:t>
      </w:r>
      <w:r w:rsidR="00FE0D80">
        <w:t>en Polymere</w:t>
      </w:r>
      <w:r>
        <w:t xml:space="preserve"> </w:t>
      </w:r>
      <w:r w:rsidR="00FE0D80">
        <w:t xml:space="preserve">unter Anwendung der Doppelemulsionsmethode eine im Vergleich zu PLGA höhere Verkapselungseffizienz </w:t>
      </w:r>
      <w:r>
        <w:t xml:space="preserve">für hydrophile Peptide wie beispielsweise Desmopressin </w:t>
      </w:r>
      <w:r w:rsidR="00FE0D80">
        <w:t>besitzen. Zudem galt es die spezifischen Funktionalitäten der Polymere zunächst zu charakterisieren und a</w:t>
      </w:r>
      <w:r w:rsidR="00D10188">
        <w:t>nschließend deren Erhalt in den</w:t>
      </w:r>
      <w:r w:rsidR="00FE0D80">
        <w:t xml:space="preserve"> Partikelformulierungen zu bele</w:t>
      </w:r>
      <w:r w:rsidR="00D10188">
        <w:t>gen. Die möglichen Effekte der funktionellen Gruppen sind sehr vielfältig und konnten im Zuge dieser Arbeit zumindest teilweise ganz spezifisch untersucht und beschrieben werden. Eine</w:t>
      </w:r>
      <w:r w:rsidR="0093582D">
        <w:t xml:space="preserve"> weitere</w:t>
      </w:r>
      <w:r w:rsidR="00D10188">
        <w:t xml:space="preserve"> wesentliche Anforderung war die toxikologische Unbedenklichkeit der Polymere und der Formulierungen innerhalb des therapeutischen Konzentrationsbereiches. Erste Hinweise hierauf wurden durch Untersuchungen der Zellviabilität kultivierter Darmepithelzellen gewonnen.</w:t>
      </w:r>
      <w:r w:rsidR="0093582D">
        <w:t xml:space="preserve"> Um wie gefordert ein lagerstabiles und versandfähiges Produkt bereitstellen zu können, mussten die Partikelsuspensionen getrocknet werden. Dazu wurden die für PLGA etablierten Trocknungsverfahren für PEA evaluiert und falls nötig angepasst. Schließlich </w:t>
      </w:r>
      <w:r w:rsidR="0093582D">
        <w:lastRenderedPageBreak/>
        <w:t>wurden die Polymerpartikel morphologisch charakterisiert und die Freisetzungseigenschaften des Modellpeptides</w:t>
      </w:r>
      <w:r w:rsidR="00613161">
        <w:t xml:space="preserve"> aus den Formulierungen</w:t>
      </w:r>
      <w:r w:rsidR="0093582D">
        <w:t xml:space="preserve"> untersucht. Die biologische </w:t>
      </w:r>
      <w:r w:rsidR="0093582D" w:rsidRPr="0093582D">
        <w:rPr>
          <w:i/>
        </w:rPr>
        <w:t>in vitro</w:t>
      </w:r>
      <w:r w:rsidR="00720A22">
        <w:rPr>
          <w:i/>
        </w:rPr>
        <w:t>-</w:t>
      </w:r>
      <w:r w:rsidR="0093582D">
        <w:t xml:space="preserve"> und </w:t>
      </w:r>
      <w:r w:rsidR="0093582D" w:rsidRPr="0093582D">
        <w:rPr>
          <w:i/>
        </w:rPr>
        <w:t>in vivo</w:t>
      </w:r>
      <w:r w:rsidR="00720A22">
        <w:t>-</w:t>
      </w:r>
      <w:r w:rsidR="0093582D">
        <w:t>Charakterisierung der Partikelformulierungen zur Beurteilung der Effekte</w:t>
      </w:r>
      <w:r w:rsidR="00613161">
        <w:t xml:space="preserve"> der Partikelformulierungen</w:t>
      </w:r>
      <w:r w:rsidR="0093582D">
        <w:t xml:space="preserve"> auf die Bioverfügbarkeit des Modellpeptides </w:t>
      </w:r>
      <w:r w:rsidR="00613161">
        <w:t>wird in einem der nachfolgenden Kapitel gesondert beschrieben.</w:t>
      </w:r>
    </w:p>
    <w:p w14:paraId="5CC5EEA3" w14:textId="77777777" w:rsidR="00CE356C" w:rsidRDefault="00E16C08" w:rsidP="00CE356C">
      <w:r>
        <w:t>Nach Anpassung und Optimierung</w:t>
      </w:r>
      <w:r w:rsidR="003C7325">
        <w:t xml:space="preserve"> einiger Parameter</w:t>
      </w:r>
      <w:r>
        <w:t xml:space="preserve"> der für die handelsüblichen PLGA Polymere </w:t>
      </w:r>
      <w:r w:rsidR="003C7325">
        <w:t>etablierten Doppelemulsionsmeth</w:t>
      </w:r>
      <w:r w:rsidR="0035345F">
        <w:t>ode konnten nanopartikuläre</w:t>
      </w:r>
      <w:r w:rsidR="003C7325">
        <w:t xml:space="preserve"> Wirkstoffträger aus den neuen PEA Polymeren</w:t>
      </w:r>
      <w:r w:rsidR="0035345F">
        <w:t xml:space="preserve"> mit Partikeldurchmessern</w:t>
      </w:r>
      <w:r w:rsidR="003C7325">
        <w:t xml:space="preserve"> innerhalb des Zielgröß</w:t>
      </w:r>
      <w:r w:rsidR="00267279">
        <w:t xml:space="preserve">enbereiches </w:t>
      </w:r>
      <w:r w:rsidR="0035345F">
        <w:t>erfolgreich hergestellt werden</w:t>
      </w:r>
      <w:r w:rsidR="00613161">
        <w:t xml:space="preserve"> (PEA Asparaginsäure 250-300 nm; PEA Cystein 300-500 nm)</w:t>
      </w:r>
      <w:r w:rsidR="0035345F">
        <w:t>. Die Optimierung der Herstellungsmethode gelang im Wesentlichen durch die Identifizierung geeigneter Mischungen organischer Lösungsmittel sowie durch eine Anpassung des Homogenisierungsverfahrens.</w:t>
      </w:r>
      <w:r w:rsidR="00AC126C">
        <w:t xml:space="preserve"> Die hergestellten Partikelsuspensionen konnten mittels Gefriertrocknung erfolgreich in stabile und redispergierbare trockene Pulver überführt werden.</w:t>
      </w:r>
    </w:p>
    <w:p w14:paraId="3060CBAB" w14:textId="77777777" w:rsidR="0035345F" w:rsidRDefault="00267279" w:rsidP="00CE356C">
      <w:r>
        <w:t xml:space="preserve">Die Verkapselungseffizienz der Doppelemulsionsmethode für Desmopressin wurde </w:t>
      </w:r>
      <w:r w:rsidR="00613161">
        <w:t>durch Verwendung beider getesteter PEA Polymere (PEA Asparaginsäure 12,4%; PEA Cystein 27,9%) gegen</w:t>
      </w:r>
      <w:r w:rsidR="00720A22">
        <w:t>über PLGA (7,5%) vor allem</w:t>
      </w:r>
      <w:r w:rsidR="00613161">
        <w:t xml:space="preserve"> für PEA Cystein deutlich erhöht.</w:t>
      </w:r>
    </w:p>
    <w:p w14:paraId="0C721A8B" w14:textId="77777777" w:rsidR="00613161" w:rsidRDefault="009F215D" w:rsidP="00CE356C">
      <w:r>
        <w:t xml:space="preserve">Als spezifische Funktionalität von Asparaginsäure PEA wurde eine </w:t>
      </w:r>
      <w:r w:rsidR="00384513">
        <w:t>pH-</w:t>
      </w:r>
      <w:r w:rsidR="000D5823">
        <w:t>abhängige Wasserlöslichkeit festgestellt, die durch Variation des As</w:t>
      </w:r>
      <w:r w:rsidR="00384513">
        <w:t>paraginsäuregehalts justierbar ist</w:t>
      </w:r>
      <w:r w:rsidR="000D5823">
        <w:t>. Diese Funktonalität blieb für die Partikelformulierungen erhalt</w:t>
      </w:r>
      <w:r w:rsidR="00384513">
        <w:t>en und äußerte sich in einer pH-</w:t>
      </w:r>
      <w:r w:rsidR="000D5823">
        <w:t>abhängigen Wirkstofffreisetzung des Modellpeptides Desmopressin.</w:t>
      </w:r>
      <w:r w:rsidR="0093213B">
        <w:t xml:space="preserve"> Die Freisetzung der verkapselten Anteile von</w:t>
      </w:r>
      <w:r w:rsidR="00AC126C">
        <w:t xml:space="preserve"> Desmopressin in simuliertem Magensaft konnte nahezu vollständig verhindert werden, währe</w:t>
      </w:r>
      <w:r w:rsidR="00384513">
        <w:t>nd die Freisetzung bei einem pH-</w:t>
      </w:r>
      <w:r w:rsidR="00AC126C">
        <w:t>Wert von 7,2 abhä</w:t>
      </w:r>
      <w:r w:rsidR="00384513">
        <w:t>n</w:t>
      </w:r>
      <w:r w:rsidR="00AC126C">
        <w:t>gig vom Aminosäuregehalt sehr schnell ablief.</w:t>
      </w:r>
      <w:r w:rsidR="000367D8">
        <w:t xml:space="preserve"> Aus diesen Ergebnissen lässt sich eine Verwendung</w:t>
      </w:r>
      <w:r w:rsidR="00384513">
        <w:t xml:space="preserve"> des Asparaginsäure PEA Polymer</w:t>
      </w:r>
      <w:r w:rsidR="000367D8">
        <w:t>s als magensaftresistenter Wirkftoffträger ableiten.</w:t>
      </w:r>
      <w:r w:rsidR="0093213B">
        <w:t xml:space="preserve"> Anzumerken ist allerdings, dass der verkapselte und damit geschützte Wirkstoffanteil lediglich bei durchschnittlich 12,4% liegt.</w:t>
      </w:r>
      <w:r w:rsidR="000D5823">
        <w:t xml:space="preserve"> Weiterhin lässt sich </w:t>
      </w:r>
      <w:r w:rsidR="00AC126C">
        <w:t xml:space="preserve">durch Variation des Asparaginsäuregehalts </w:t>
      </w:r>
      <w:r w:rsidR="00720A22">
        <w:t>der Beladungsgrad des Polymer</w:t>
      </w:r>
      <w:r w:rsidR="000D5823">
        <w:t>s mit Desmopressin steuern.</w:t>
      </w:r>
    </w:p>
    <w:p w14:paraId="1070FB8C" w14:textId="77777777" w:rsidR="000D5823" w:rsidRPr="00A6446E" w:rsidRDefault="000D5823" w:rsidP="00CE356C">
      <w:r>
        <w:t>Die spezifische Funktionalität der Cystein PEA Polymere basiert auf dem Vorhandensein reduzier</w:t>
      </w:r>
      <w:r w:rsidR="00530E85">
        <w:t>ender Thiolgruppen, die in den</w:t>
      </w:r>
      <w:r>
        <w:t xml:space="preserve"> wirkstoffbeladene</w:t>
      </w:r>
      <w:r w:rsidR="00530E85">
        <w:t>n Partikeln chemisch nachgewiesen wurden.</w:t>
      </w:r>
      <w:r>
        <w:t xml:space="preserve"> Ein möglicher Effekt dieser Funktionalität wäre wie bereits erwähnt eine besonde</w:t>
      </w:r>
      <w:r w:rsidR="007E213D">
        <w:t>rs ausgeprägte Mukusa</w:t>
      </w:r>
      <w:r w:rsidR="00A6446E">
        <w:t>dhäsivität der Polymerpartikel. Im Zuge dieser Arbeit erfolgte jedoch keine spezifische Untersuchung der mukoadhäsiven Eigenschaften der</w:t>
      </w:r>
      <w:r w:rsidR="00530E85">
        <w:t xml:space="preserve"> Partikel. Dieser Aspekt sollte in nachfolgenden Arbeiten detaillierter untersucht werden.</w:t>
      </w:r>
    </w:p>
    <w:p w14:paraId="596EF469" w14:textId="77777777" w:rsidR="00944799" w:rsidRPr="00944799" w:rsidRDefault="00944799" w:rsidP="00CE356C">
      <w:r>
        <w:lastRenderedPageBreak/>
        <w:t>Die Viabilitätstests mit kultivier</w:t>
      </w:r>
      <w:r w:rsidR="00F71178">
        <w:t>ten Cac</w:t>
      </w:r>
      <w:r w:rsidR="00530E85">
        <w:t>o-2 Zellen ließen bis zu einer Konzentration von 1 mg/ml</w:t>
      </w:r>
      <w:r w:rsidR="00530E85" w:rsidRPr="00530E85">
        <w:t xml:space="preserve"> </w:t>
      </w:r>
      <w:r w:rsidR="00530E85">
        <w:t>an PEA Polymer in Lösung oder als nanopartikuläre Formulierung mit Desmopressin, was in etwa dem</w:t>
      </w:r>
      <w:r>
        <w:t xml:space="preserve"> 5fachen der </w:t>
      </w:r>
      <w:r w:rsidRPr="00944799">
        <w:rPr>
          <w:i/>
        </w:rPr>
        <w:t>in vivo</w:t>
      </w:r>
      <w:r>
        <w:t xml:space="preserve"> zu erwartenden Konzentration</w:t>
      </w:r>
      <w:r w:rsidR="00530E85">
        <w:t xml:space="preserve"> von 0,2 mg/ml entspricht,</w:t>
      </w:r>
      <w:r>
        <w:t xml:space="preserve"> keine toxische Wirkung erkennen. Die negativen Effekte der 10fachen therapeutischen Dosis auf die Zellviabilität sind unabhängig vom Polymertyp bei allen getesteten Proben</w:t>
      </w:r>
      <w:r w:rsidR="00E5309F">
        <w:t>, auch bei PLGA,</w:t>
      </w:r>
      <w:r>
        <w:t xml:space="preserve"> aufgetreten. Daher ist davon auszugehen, das</w:t>
      </w:r>
      <w:r w:rsidR="00530E85">
        <w:t>s diese Effekte nicht materialspezifisch</w:t>
      </w:r>
      <w:r>
        <w:t xml:space="preserve"> sind, sondern </w:t>
      </w:r>
      <w:r w:rsidR="00E5309F">
        <w:t>unspezifisch auf besond</w:t>
      </w:r>
      <w:r w:rsidR="00530E85">
        <w:t>ers hohe Stoffkonzentrationen</w:t>
      </w:r>
      <w:r w:rsidR="00AC126C">
        <w:t xml:space="preserve"> auf den Zellen</w:t>
      </w:r>
      <w:r w:rsidR="00530E85">
        <w:t xml:space="preserve"> zurückzuführen sind.</w:t>
      </w:r>
    </w:p>
    <w:p w14:paraId="10A35616" w14:textId="77777777" w:rsidR="00582C8E" w:rsidRDefault="00582C8E" w:rsidP="00582C8E">
      <w:pPr>
        <w:pStyle w:val="berschrift2"/>
      </w:pPr>
      <w:r>
        <w:t xml:space="preserve"> </w:t>
      </w:r>
      <w:r>
        <w:tab/>
      </w:r>
      <w:bookmarkStart w:id="232" w:name="_Toc294380252"/>
      <w:r>
        <w:t>Beschichtung von PLGA Partikeln mit dem zellpenetrierenden hLF Peptidfragment</w:t>
      </w:r>
      <w:bookmarkEnd w:id="232"/>
    </w:p>
    <w:p w14:paraId="652A39B8" w14:textId="77777777" w:rsidR="00435950" w:rsidRDefault="00384513" w:rsidP="00582C8E">
      <w:r>
        <w:t>Die Beschichtung Desmopressin-</w:t>
      </w:r>
      <w:r w:rsidR="00582C8E">
        <w:t xml:space="preserve">haltiger PLGA Nanopartikel erfolgte mit dem Ziel, die Aufnahme der Partikel in </w:t>
      </w:r>
      <w:r w:rsidR="00435950">
        <w:t>Darmep</w:t>
      </w:r>
      <w:r w:rsidR="008A2431">
        <w:t>ithelzellen zu erhöhen und dadurch</w:t>
      </w:r>
      <w:r w:rsidR="00435950">
        <w:t xml:space="preserve"> die Bioverfügbark</w:t>
      </w:r>
      <w:r w:rsidR="00925A9B">
        <w:t>eit von Desmopressin zu verbessern</w:t>
      </w:r>
      <w:r w:rsidR="00435950">
        <w:t>. Auf diese Weise, nämlich durch die rationale Formulierung bekannter Substanzen, sollte ein alternativer Weg zur Verwendung vollständig neuer</w:t>
      </w:r>
      <w:r w:rsidR="00EE36C9">
        <w:t xml:space="preserve"> Polymere untersucht</w:t>
      </w:r>
      <w:r w:rsidR="00435950">
        <w:t xml:space="preserve"> werden. Dabei war zu überprüfen, ob durch eine nicht kovalente Funktionalisierung von Nanopartikeln</w:t>
      </w:r>
      <w:r w:rsidR="00CE37B9">
        <w:t xml:space="preserve"> </w:t>
      </w:r>
      <w:r w:rsidR="00435950">
        <w:t xml:space="preserve">aus herkömmlichen PLGA Polymeren </w:t>
      </w:r>
      <w:r w:rsidR="00CE37B9">
        <w:t xml:space="preserve">mit dem hLF Peptidfragement </w:t>
      </w:r>
      <w:r w:rsidR="00435950">
        <w:t>bereits</w:t>
      </w:r>
      <w:r w:rsidR="00CE37B9">
        <w:t xml:space="preserve"> ähnliche Ergebnisse wie </w:t>
      </w:r>
      <w:r w:rsidR="007F5A42">
        <w:t xml:space="preserve">durch </w:t>
      </w:r>
      <w:r w:rsidR="00CE37B9">
        <w:t>die Verwendung neuer PEA Polymere</w:t>
      </w:r>
      <w:r w:rsidR="00435950">
        <w:t>, die</w:t>
      </w:r>
      <w:r w:rsidR="00CE37B9">
        <w:t xml:space="preserve"> eine</w:t>
      </w:r>
      <w:r w:rsidR="00435950">
        <w:t xml:space="preserve"> kovalent</w:t>
      </w:r>
      <w:r w:rsidR="00CE37B9">
        <w:t xml:space="preserve"> funktionalisierte PLGA Variante darstellen, erzielt werden können.</w:t>
      </w:r>
    </w:p>
    <w:p w14:paraId="1FF53CBC" w14:textId="77777777" w:rsidR="00F43A4A" w:rsidRDefault="007F5A42" w:rsidP="00582C8E">
      <w:r>
        <w:t>Dazu wurden mit Lumogen Red</w:t>
      </w:r>
      <w:r w:rsidRPr="007F5A42">
        <w:rPr>
          <w:vertAlign w:val="superscript"/>
        </w:rPr>
        <w:sym w:font="Symbol" w:char="F0D2"/>
      </w:r>
      <w:r w:rsidR="00925A9B">
        <w:t xml:space="preserve"> und Desmopressin </w:t>
      </w:r>
      <w:r>
        <w:t>beladene Nanopartikel, die mittels Doppelemulsionsmethode aus Resomer</w:t>
      </w:r>
      <w:r w:rsidRPr="007F5A42">
        <w:rPr>
          <w:vertAlign w:val="superscript"/>
        </w:rPr>
        <w:sym w:font="Symbol" w:char="F0D2"/>
      </w:r>
      <w:r>
        <w:t xml:space="preserve"> RG 503 H hergestellt wurden, entsprechend der in Abschnitt </w:t>
      </w:r>
      <w:r w:rsidR="00D16240">
        <w:fldChar w:fldCharType="begin"/>
      </w:r>
      <w:r>
        <w:instrText xml:space="preserve"> REF _Ref279350799 \n \h </w:instrText>
      </w:r>
      <w:r w:rsidR="00D16240">
        <w:fldChar w:fldCharType="separate"/>
      </w:r>
      <w:r w:rsidR="00711AB8">
        <w:t>4.1.2</w:t>
      </w:r>
      <w:r w:rsidR="00D16240">
        <w:fldChar w:fldCharType="end"/>
      </w:r>
      <w:r>
        <w:t xml:space="preserve"> auf S. </w:t>
      </w:r>
      <w:r w:rsidR="00D16240">
        <w:fldChar w:fldCharType="begin"/>
      </w:r>
      <w:r>
        <w:instrText xml:space="preserve"> PAGEREF _Ref279350803 \h </w:instrText>
      </w:r>
      <w:r w:rsidR="00D16240">
        <w:fldChar w:fldCharType="separate"/>
      </w:r>
      <w:r w:rsidR="00711AB8">
        <w:rPr>
          <w:noProof/>
        </w:rPr>
        <w:t>56</w:t>
      </w:r>
      <w:r w:rsidR="00D16240">
        <w:fldChar w:fldCharType="end"/>
      </w:r>
      <w:r>
        <w:t xml:space="preserve"> beschrieben</w:t>
      </w:r>
      <w:r w:rsidR="00F43A4A">
        <w:t xml:space="preserve">en Methode mit hLF beschichtet und anschließend lyophilisiert. Um durch spätere </w:t>
      </w:r>
      <w:r w:rsidR="00F43A4A" w:rsidRPr="00F43A4A">
        <w:rPr>
          <w:i/>
        </w:rPr>
        <w:t>in vitro</w:t>
      </w:r>
      <w:r w:rsidR="00F43A4A">
        <w:t xml:space="preserve"> und </w:t>
      </w:r>
      <w:r w:rsidR="00F43A4A" w:rsidRPr="00F43A4A">
        <w:rPr>
          <w:i/>
        </w:rPr>
        <w:t>in vivo</w:t>
      </w:r>
      <w:r w:rsidR="00F43A4A">
        <w:t xml:space="preserve"> Tests die ausschließlich auf die Funktionalisierung mit hLF zurückzuführenden Effekte untersuchen zu können, wurde jeweils ein Teil der hergestellten Partikel ohne Inkubation mit Peptid getrocknet.</w:t>
      </w:r>
      <w:r w:rsidR="008A2431">
        <w:t xml:space="preserve"> Es wurden jeweils drei Chargen hergestellt und getestet.</w:t>
      </w:r>
    </w:p>
    <w:p w14:paraId="1E27B990" w14:textId="77777777" w:rsidR="00F43A4A" w:rsidRDefault="00F43A4A" w:rsidP="004F336F">
      <w:pPr>
        <w:spacing w:after="0"/>
      </w:pPr>
      <w:r>
        <w:t xml:space="preserve">Um den Erfolg der Beschichtung der negativ geladenen Oberfläche der PLGA Partikel mit positiv geladenen hLF Molekülen zu bestätigen, wurden die </w:t>
      </w:r>
      <w:r w:rsidR="00AD4FEB">
        <w:t xml:space="preserve">lyophilisierten Partikel in Wasser redispergiert und deren Zetapotential mittels ELS Methode gemessen. </w:t>
      </w:r>
      <w:r w:rsidR="008A2431">
        <w:t xml:space="preserve">Zudem wurde untersucht, ob die Beschichtung einen messbaren Einfluss auf die Partikelgröße besitzt. </w:t>
      </w:r>
      <w:r w:rsidR="00AD4FEB">
        <w:t xml:space="preserve">Die Ergebnisse der DLS </w:t>
      </w:r>
      <w:r w:rsidR="00D614F3">
        <w:t xml:space="preserve">und ELS Messungen zur Untersuchung der Oberflächenbeschichtung sind in </w:t>
      </w:r>
      <w:r w:rsidR="00D16240">
        <w:fldChar w:fldCharType="begin"/>
      </w:r>
      <w:r w:rsidR="00D614F3">
        <w:instrText xml:space="preserve"> REF _Ref279353839 \h </w:instrText>
      </w:r>
      <w:r w:rsidR="00D16240">
        <w:fldChar w:fldCharType="separate"/>
      </w:r>
      <w:r w:rsidR="00711AB8" w:rsidRPr="00D614F3">
        <w:t xml:space="preserve">Tabelle </w:t>
      </w:r>
      <w:r w:rsidR="00711AB8">
        <w:rPr>
          <w:noProof/>
        </w:rPr>
        <w:t>24</w:t>
      </w:r>
      <w:r w:rsidR="00D16240">
        <w:fldChar w:fldCharType="end"/>
      </w:r>
      <w:r w:rsidR="00D614F3">
        <w:t xml:space="preserve"> dargestellt.</w:t>
      </w:r>
    </w:p>
    <w:p w14:paraId="750684CD" w14:textId="77777777" w:rsidR="00914DF2" w:rsidRDefault="00914DF2" w:rsidP="004F336F">
      <w:pPr>
        <w:spacing w:after="0"/>
      </w:pPr>
    </w:p>
    <w:p w14:paraId="1621B538" w14:textId="77777777" w:rsidR="00914DF2" w:rsidRDefault="00914DF2" w:rsidP="004F336F">
      <w:pPr>
        <w:spacing w:after="0"/>
      </w:pPr>
    </w:p>
    <w:p w14:paraId="2631EBDA" w14:textId="77777777" w:rsidR="008215A9" w:rsidRDefault="008215A9" w:rsidP="00D614F3"/>
    <w:p w14:paraId="6431E11C" w14:textId="77777777" w:rsidR="004F336F" w:rsidRPr="00D614F3" w:rsidRDefault="00D614F3" w:rsidP="003D6D5A">
      <w:pPr>
        <w:pStyle w:val="Beschriftung"/>
        <w:ind w:firstLine="0"/>
        <w:rPr>
          <w:b w:val="0"/>
        </w:rPr>
      </w:pPr>
      <w:bookmarkStart w:id="233" w:name="_Ref279353839"/>
      <w:r w:rsidRPr="00D614F3">
        <w:lastRenderedPageBreak/>
        <w:t xml:space="preserve">Tabelle </w:t>
      </w:r>
      <w:fldSimple w:instr=" SEQ Tabelle \* ARABIC ">
        <w:r w:rsidR="00711AB8">
          <w:rPr>
            <w:noProof/>
          </w:rPr>
          <w:t>24</w:t>
        </w:r>
      </w:fldSimple>
      <w:bookmarkEnd w:id="233"/>
      <w:r>
        <w:t xml:space="preserve"> </w:t>
      </w:r>
      <w:r>
        <w:rPr>
          <w:b w:val="0"/>
        </w:rPr>
        <w:t>DLS Partikelgrößen- und ELS Zetapotentialmessungen zur Charakterisierung der Beschichtung von PLGA Partikeln mit dem zellpenetrierenden hLF Peptidfragment</w:t>
      </w:r>
      <w:r w:rsidR="00720A22">
        <w:rPr>
          <w:b w:val="0"/>
        </w:rPr>
        <w:t>.</w:t>
      </w:r>
    </w:p>
    <w:tbl>
      <w:tblPr>
        <w:tblStyle w:val="Tabellenraster"/>
        <w:tblW w:w="0" w:type="auto"/>
        <w:tblLayout w:type="fixed"/>
        <w:tblLook w:val="04A0" w:firstRow="1" w:lastRow="0" w:firstColumn="1" w:lastColumn="0" w:noHBand="0" w:noVBand="1"/>
      </w:tblPr>
      <w:tblGrid>
        <w:gridCol w:w="817"/>
        <w:gridCol w:w="1843"/>
        <w:gridCol w:w="1843"/>
        <w:gridCol w:w="1842"/>
        <w:gridCol w:w="1560"/>
        <w:gridCol w:w="1383"/>
      </w:tblGrid>
      <w:tr w:rsidR="001912DF" w14:paraId="7D835124" w14:textId="77777777" w:rsidTr="00CE356C">
        <w:trPr>
          <w:trHeight w:val="1021"/>
        </w:trPr>
        <w:tc>
          <w:tcPr>
            <w:tcW w:w="817" w:type="dxa"/>
            <w:tcBorders>
              <w:top w:val="single" w:sz="8" w:space="0" w:color="auto"/>
              <w:left w:val="single" w:sz="8" w:space="0" w:color="auto"/>
              <w:bottom w:val="single" w:sz="8" w:space="0" w:color="auto"/>
              <w:right w:val="single" w:sz="8" w:space="0" w:color="auto"/>
            </w:tcBorders>
            <w:shd w:val="clear" w:color="auto" w:fill="E6E6E6"/>
            <w:vAlign w:val="center"/>
          </w:tcPr>
          <w:p w14:paraId="6895E3FC" w14:textId="77777777" w:rsidR="001912DF" w:rsidRPr="008A2431" w:rsidRDefault="008A2431" w:rsidP="00DE258C">
            <w:pPr>
              <w:spacing w:line="240" w:lineRule="auto"/>
              <w:jc w:val="center"/>
              <w:rPr>
                <w:sz w:val="18"/>
                <w:szCs w:val="18"/>
              </w:rPr>
            </w:pPr>
            <w:r w:rsidRPr="008A2431">
              <w:rPr>
                <w:sz w:val="18"/>
                <w:szCs w:val="18"/>
              </w:rPr>
              <w:t>Charge</w:t>
            </w:r>
            <w:r w:rsidR="001912DF" w:rsidRPr="008A2431">
              <w:rPr>
                <w:sz w:val="18"/>
                <w:szCs w:val="18"/>
              </w:rPr>
              <w:t>Nr.</w:t>
            </w:r>
          </w:p>
        </w:tc>
        <w:tc>
          <w:tcPr>
            <w:tcW w:w="1843" w:type="dxa"/>
            <w:tcBorders>
              <w:top w:val="single" w:sz="8" w:space="0" w:color="auto"/>
              <w:left w:val="single" w:sz="8" w:space="0" w:color="auto"/>
              <w:bottom w:val="single" w:sz="8" w:space="0" w:color="auto"/>
              <w:right w:val="single" w:sz="8" w:space="0" w:color="auto"/>
            </w:tcBorders>
            <w:shd w:val="clear" w:color="auto" w:fill="E6E6E6"/>
            <w:vAlign w:val="center"/>
          </w:tcPr>
          <w:p w14:paraId="59581B34" w14:textId="77777777" w:rsidR="001912DF" w:rsidRPr="008A2431" w:rsidRDefault="001912DF" w:rsidP="00DE258C">
            <w:pPr>
              <w:spacing w:line="240" w:lineRule="auto"/>
              <w:jc w:val="center"/>
              <w:rPr>
                <w:sz w:val="18"/>
                <w:szCs w:val="18"/>
              </w:rPr>
            </w:pPr>
            <w:r w:rsidRPr="008A2431">
              <w:rPr>
                <w:sz w:val="18"/>
                <w:szCs w:val="18"/>
              </w:rPr>
              <w:t>Partikeldurchmesser vor Beschichtung und vor Trocknung [nm] / PDI</w:t>
            </w:r>
          </w:p>
        </w:tc>
        <w:tc>
          <w:tcPr>
            <w:tcW w:w="1843" w:type="dxa"/>
            <w:tcBorders>
              <w:top w:val="single" w:sz="8" w:space="0" w:color="auto"/>
              <w:left w:val="single" w:sz="8" w:space="0" w:color="auto"/>
              <w:bottom w:val="single" w:sz="8" w:space="0" w:color="auto"/>
              <w:right w:val="single" w:sz="8" w:space="0" w:color="auto"/>
            </w:tcBorders>
            <w:shd w:val="clear" w:color="auto" w:fill="E6E6E6"/>
            <w:vAlign w:val="center"/>
          </w:tcPr>
          <w:p w14:paraId="24187FDF" w14:textId="77777777" w:rsidR="001912DF" w:rsidRPr="008A2431" w:rsidRDefault="001912DF" w:rsidP="00DE258C">
            <w:pPr>
              <w:spacing w:line="240" w:lineRule="auto"/>
              <w:jc w:val="center"/>
              <w:rPr>
                <w:sz w:val="18"/>
                <w:szCs w:val="18"/>
              </w:rPr>
            </w:pPr>
            <w:r w:rsidRPr="008A2431">
              <w:rPr>
                <w:sz w:val="18"/>
                <w:szCs w:val="18"/>
              </w:rPr>
              <w:t xml:space="preserve">Partikeldurchmesser </w:t>
            </w:r>
            <w:r w:rsidRPr="008A2431">
              <w:rPr>
                <w:b/>
                <w:sz w:val="18"/>
                <w:szCs w:val="18"/>
              </w:rPr>
              <w:t>ohne</w:t>
            </w:r>
            <w:r w:rsidRPr="008A2431">
              <w:rPr>
                <w:sz w:val="18"/>
                <w:szCs w:val="18"/>
              </w:rPr>
              <w:t xml:space="preserve"> </w:t>
            </w:r>
            <w:r w:rsidR="006B29A7">
              <w:rPr>
                <w:b/>
                <w:sz w:val="18"/>
                <w:szCs w:val="18"/>
              </w:rPr>
              <w:t>hLF</w:t>
            </w:r>
            <w:r w:rsidRPr="008A2431">
              <w:rPr>
                <w:sz w:val="18"/>
                <w:szCs w:val="18"/>
              </w:rPr>
              <w:t>, redispergierte Partikel [nm] / PDI</w:t>
            </w:r>
          </w:p>
        </w:tc>
        <w:tc>
          <w:tcPr>
            <w:tcW w:w="1842" w:type="dxa"/>
            <w:tcBorders>
              <w:top w:val="single" w:sz="8" w:space="0" w:color="auto"/>
              <w:left w:val="single" w:sz="8" w:space="0" w:color="auto"/>
              <w:bottom w:val="single" w:sz="8" w:space="0" w:color="auto"/>
              <w:right w:val="single" w:sz="8" w:space="0" w:color="auto"/>
            </w:tcBorders>
            <w:shd w:val="clear" w:color="auto" w:fill="E6E6E6"/>
            <w:vAlign w:val="center"/>
          </w:tcPr>
          <w:p w14:paraId="5AEE49A7" w14:textId="77777777" w:rsidR="001912DF" w:rsidRPr="008A2431" w:rsidRDefault="001912DF" w:rsidP="00DE258C">
            <w:pPr>
              <w:spacing w:line="240" w:lineRule="auto"/>
              <w:jc w:val="center"/>
              <w:rPr>
                <w:sz w:val="18"/>
                <w:szCs w:val="18"/>
              </w:rPr>
            </w:pPr>
            <w:r w:rsidRPr="008A2431">
              <w:rPr>
                <w:sz w:val="18"/>
                <w:szCs w:val="18"/>
              </w:rPr>
              <w:t xml:space="preserve">Partikeldurchmesser </w:t>
            </w:r>
            <w:r w:rsidRPr="008A2431">
              <w:rPr>
                <w:b/>
                <w:sz w:val="18"/>
                <w:szCs w:val="18"/>
              </w:rPr>
              <w:t>mit</w:t>
            </w:r>
            <w:r w:rsidRPr="008A2431">
              <w:rPr>
                <w:sz w:val="18"/>
                <w:szCs w:val="18"/>
              </w:rPr>
              <w:t xml:space="preserve"> </w:t>
            </w:r>
            <w:r w:rsidR="006B29A7">
              <w:rPr>
                <w:b/>
                <w:sz w:val="18"/>
                <w:szCs w:val="18"/>
              </w:rPr>
              <w:t>hLF</w:t>
            </w:r>
            <w:r w:rsidRPr="008A2431">
              <w:rPr>
                <w:sz w:val="18"/>
                <w:szCs w:val="18"/>
              </w:rPr>
              <w:t>, redispergierte Partikel [nm] / PDI</w:t>
            </w:r>
          </w:p>
        </w:tc>
        <w:tc>
          <w:tcPr>
            <w:tcW w:w="1560" w:type="dxa"/>
            <w:tcBorders>
              <w:top w:val="single" w:sz="8" w:space="0" w:color="auto"/>
              <w:left w:val="single" w:sz="8" w:space="0" w:color="auto"/>
              <w:bottom w:val="single" w:sz="8" w:space="0" w:color="auto"/>
              <w:right w:val="single" w:sz="8" w:space="0" w:color="auto"/>
            </w:tcBorders>
            <w:shd w:val="clear" w:color="auto" w:fill="E6E6E6"/>
            <w:vAlign w:val="center"/>
          </w:tcPr>
          <w:p w14:paraId="028C7BFD" w14:textId="77777777" w:rsidR="001912DF" w:rsidRPr="008A2431" w:rsidRDefault="001912DF" w:rsidP="00DE258C">
            <w:pPr>
              <w:spacing w:line="240" w:lineRule="auto"/>
              <w:jc w:val="center"/>
              <w:rPr>
                <w:sz w:val="18"/>
                <w:szCs w:val="18"/>
              </w:rPr>
            </w:pPr>
            <w:r w:rsidRPr="008A2431">
              <w:rPr>
                <w:sz w:val="18"/>
                <w:szCs w:val="18"/>
              </w:rPr>
              <w:t xml:space="preserve">Zetapotential </w:t>
            </w:r>
            <w:r w:rsidR="006B29A7">
              <w:rPr>
                <w:b/>
                <w:sz w:val="18"/>
                <w:szCs w:val="18"/>
              </w:rPr>
              <w:t>ohne hLF</w:t>
            </w:r>
            <w:r w:rsidRPr="008A2431">
              <w:rPr>
                <w:sz w:val="18"/>
                <w:szCs w:val="18"/>
              </w:rPr>
              <w:t>, redispergierte Partikel [mV]</w:t>
            </w:r>
          </w:p>
        </w:tc>
        <w:tc>
          <w:tcPr>
            <w:tcW w:w="1383" w:type="dxa"/>
            <w:tcBorders>
              <w:top w:val="single" w:sz="8" w:space="0" w:color="auto"/>
              <w:left w:val="single" w:sz="8" w:space="0" w:color="auto"/>
              <w:bottom w:val="single" w:sz="8" w:space="0" w:color="auto"/>
              <w:right w:val="single" w:sz="8" w:space="0" w:color="auto"/>
            </w:tcBorders>
            <w:shd w:val="clear" w:color="auto" w:fill="E6E6E6"/>
            <w:vAlign w:val="center"/>
          </w:tcPr>
          <w:p w14:paraId="627D5719" w14:textId="77777777" w:rsidR="001912DF" w:rsidRPr="008A2431" w:rsidRDefault="001912DF" w:rsidP="00DE258C">
            <w:pPr>
              <w:spacing w:line="240" w:lineRule="auto"/>
              <w:jc w:val="center"/>
              <w:rPr>
                <w:sz w:val="18"/>
                <w:szCs w:val="18"/>
              </w:rPr>
            </w:pPr>
            <w:r w:rsidRPr="008A2431">
              <w:rPr>
                <w:sz w:val="18"/>
                <w:szCs w:val="18"/>
              </w:rPr>
              <w:t xml:space="preserve">Zetapotential </w:t>
            </w:r>
            <w:r w:rsidR="006B29A7">
              <w:rPr>
                <w:b/>
                <w:sz w:val="18"/>
                <w:szCs w:val="18"/>
              </w:rPr>
              <w:t>mit hLF</w:t>
            </w:r>
            <w:r w:rsidRPr="008A2431">
              <w:rPr>
                <w:sz w:val="18"/>
                <w:szCs w:val="18"/>
              </w:rPr>
              <w:t>, redispergierte Partikel [mV]</w:t>
            </w:r>
          </w:p>
        </w:tc>
      </w:tr>
      <w:tr w:rsidR="001912DF" w14:paraId="20E3661A" w14:textId="77777777" w:rsidTr="00AD4E7F">
        <w:tc>
          <w:tcPr>
            <w:tcW w:w="817" w:type="dxa"/>
            <w:tcBorders>
              <w:top w:val="single" w:sz="8" w:space="0" w:color="auto"/>
              <w:left w:val="single" w:sz="8" w:space="0" w:color="auto"/>
            </w:tcBorders>
          </w:tcPr>
          <w:p w14:paraId="31CCDAF9" w14:textId="77777777" w:rsidR="001912DF" w:rsidRPr="008A2431" w:rsidRDefault="001912DF" w:rsidP="004F336F">
            <w:pPr>
              <w:jc w:val="center"/>
              <w:rPr>
                <w:sz w:val="18"/>
                <w:szCs w:val="18"/>
              </w:rPr>
            </w:pPr>
            <w:r w:rsidRPr="008A2431">
              <w:rPr>
                <w:sz w:val="18"/>
                <w:szCs w:val="18"/>
              </w:rPr>
              <w:t>1</w:t>
            </w:r>
          </w:p>
        </w:tc>
        <w:tc>
          <w:tcPr>
            <w:tcW w:w="1843" w:type="dxa"/>
            <w:tcBorders>
              <w:top w:val="single" w:sz="8" w:space="0" w:color="auto"/>
              <w:left w:val="single" w:sz="8" w:space="0" w:color="auto"/>
            </w:tcBorders>
            <w:vAlign w:val="center"/>
          </w:tcPr>
          <w:p w14:paraId="1AF956E7" w14:textId="77777777" w:rsidR="001912DF" w:rsidRPr="008A2431" w:rsidRDefault="001912DF" w:rsidP="004F336F">
            <w:pPr>
              <w:jc w:val="center"/>
              <w:rPr>
                <w:sz w:val="18"/>
                <w:szCs w:val="18"/>
              </w:rPr>
            </w:pPr>
            <w:r w:rsidRPr="008A2431">
              <w:rPr>
                <w:sz w:val="18"/>
                <w:szCs w:val="18"/>
              </w:rPr>
              <w:t>243 / 0,003</w:t>
            </w:r>
          </w:p>
        </w:tc>
        <w:tc>
          <w:tcPr>
            <w:tcW w:w="1843" w:type="dxa"/>
            <w:tcBorders>
              <w:top w:val="single" w:sz="8" w:space="0" w:color="auto"/>
            </w:tcBorders>
            <w:vAlign w:val="center"/>
          </w:tcPr>
          <w:p w14:paraId="6A87AA97" w14:textId="77777777" w:rsidR="001912DF" w:rsidRPr="008A2431" w:rsidRDefault="001912DF" w:rsidP="004F336F">
            <w:pPr>
              <w:jc w:val="center"/>
              <w:rPr>
                <w:sz w:val="18"/>
                <w:szCs w:val="18"/>
              </w:rPr>
            </w:pPr>
            <w:r w:rsidRPr="008A2431">
              <w:rPr>
                <w:sz w:val="18"/>
                <w:szCs w:val="18"/>
              </w:rPr>
              <w:t>238 / 0,052</w:t>
            </w:r>
          </w:p>
        </w:tc>
        <w:tc>
          <w:tcPr>
            <w:tcW w:w="1842" w:type="dxa"/>
            <w:tcBorders>
              <w:top w:val="single" w:sz="8" w:space="0" w:color="auto"/>
            </w:tcBorders>
            <w:vAlign w:val="center"/>
          </w:tcPr>
          <w:p w14:paraId="71A8586A" w14:textId="77777777" w:rsidR="001912DF" w:rsidRPr="008A2431" w:rsidRDefault="001912DF" w:rsidP="004F336F">
            <w:pPr>
              <w:jc w:val="center"/>
              <w:rPr>
                <w:sz w:val="18"/>
                <w:szCs w:val="18"/>
              </w:rPr>
            </w:pPr>
            <w:r w:rsidRPr="008A2431">
              <w:rPr>
                <w:sz w:val="18"/>
                <w:szCs w:val="18"/>
              </w:rPr>
              <w:t>254 / 0,058</w:t>
            </w:r>
          </w:p>
        </w:tc>
        <w:tc>
          <w:tcPr>
            <w:tcW w:w="1560" w:type="dxa"/>
            <w:tcBorders>
              <w:top w:val="single" w:sz="8" w:space="0" w:color="auto"/>
            </w:tcBorders>
            <w:vAlign w:val="center"/>
          </w:tcPr>
          <w:p w14:paraId="6254DA7C" w14:textId="77777777" w:rsidR="001912DF" w:rsidRPr="008A2431" w:rsidRDefault="006B29A7" w:rsidP="004F336F">
            <w:pPr>
              <w:jc w:val="center"/>
              <w:rPr>
                <w:sz w:val="18"/>
                <w:szCs w:val="18"/>
              </w:rPr>
            </w:pPr>
            <w:r>
              <w:rPr>
                <w:sz w:val="18"/>
                <w:szCs w:val="18"/>
              </w:rPr>
              <w:t>-</w:t>
            </w:r>
            <w:r w:rsidR="001912DF" w:rsidRPr="008A2431">
              <w:rPr>
                <w:sz w:val="18"/>
                <w:szCs w:val="18"/>
              </w:rPr>
              <w:t>34,3</w:t>
            </w:r>
          </w:p>
        </w:tc>
        <w:tc>
          <w:tcPr>
            <w:tcW w:w="1383" w:type="dxa"/>
            <w:tcBorders>
              <w:top w:val="single" w:sz="8" w:space="0" w:color="auto"/>
              <w:right w:val="single" w:sz="8" w:space="0" w:color="auto"/>
            </w:tcBorders>
            <w:vAlign w:val="center"/>
          </w:tcPr>
          <w:p w14:paraId="6C4EAA2D" w14:textId="77777777" w:rsidR="001912DF" w:rsidRPr="008A2431" w:rsidRDefault="006B29A7" w:rsidP="004F336F">
            <w:pPr>
              <w:jc w:val="center"/>
              <w:rPr>
                <w:sz w:val="18"/>
                <w:szCs w:val="18"/>
              </w:rPr>
            </w:pPr>
            <w:r>
              <w:rPr>
                <w:sz w:val="18"/>
                <w:szCs w:val="18"/>
              </w:rPr>
              <w:t>+</w:t>
            </w:r>
            <w:r w:rsidR="001912DF" w:rsidRPr="008A2431">
              <w:rPr>
                <w:sz w:val="18"/>
                <w:szCs w:val="18"/>
              </w:rPr>
              <w:t>7,0</w:t>
            </w:r>
          </w:p>
        </w:tc>
      </w:tr>
      <w:tr w:rsidR="001912DF" w14:paraId="12542A4D" w14:textId="77777777" w:rsidTr="00AD4E7F">
        <w:tc>
          <w:tcPr>
            <w:tcW w:w="817" w:type="dxa"/>
            <w:tcBorders>
              <w:left w:val="single" w:sz="8" w:space="0" w:color="auto"/>
            </w:tcBorders>
          </w:tcPr>
          <w:p w14:paraId="4ED0C0B2" w14:textId="77777777" w:rsidR="001912DF" w:rsidRPr="008A2431" w:rsidRDefault="001912DF" w:rsidP="004F336F">
            <w:pPr>
              <w:jc w:val="center"/>
              <w:rPr>
                <w:sz w:val="18"/>
                <w:szCs w:val="18"/>
              </w:rPr>
            </w:pPr>
            <w:r w:rsidRPr="008A2431">
              <w:rPr>
                <w:sz w:val="18"/>
                <w:szCs w:val="18"/>
              </w:rPr>
              <w:t>2</w:t>
            </w:r>
          </w:p>
        </w:tc>
        <w:tc>
          <w:tcPr>
            <w:tcW w:w="1843" w:type="dxa"/>
            <w:tcBorders>
              <w:left w:val="single" w:sz="8" w:space="0" w:color="auto"/>
            </w:tcBorders>
            <w:vAlign w:val="center"/>
          </w:tcPr>
          <w:p w14:paraId="397D50EB" w14:textId="77777777" w:rsidR="001912DF" w:rsidRPr="008A2431" w:rsidRDefault="001912DF" w:rsidP="004F336F">
            <w:pPr>
              <w:jc w:val="center"/>
              <w:rPr>
                <w:sz w:val="18"/>
                <w:szCs w:val="18"/>
              </w:rPr>
            </w:pPr>
            <w:r w:rsidRPr="008A2431">
              <w:rPr>
                <w:sz w:val="18"/>
                <w:szCs w:val="18"/>
              </w:rPr>
              <w:t>263 / 0,049</w:t>
            </w:r>
          </w:p>
        </w:tc>
        <w:tc>
          <w:tcPr>
            <w:tcW w:w="1843" w:type="dxa"/>
            <w:vAlign w:val="center"/>
          </w:tcPr>
          <w:p w14:paraId="17962290" w14:textId="77777777" w:rsidR="001912DF" w:rsidRPr="008A2431" w:rsidRDefault="001912DF" w:rsidP="004F336F">
            <w:pPr>
              <w:jc w:val="center"/>
              <w:rPr>
                <w:sz w:val="18"/>
                <w:szCs w:val="18"/>
              </w:rPr>
            </w:pPr>
            <w:r w:rsidRPr="008A2431">
              <w:rPr>
                <w:sz w:val="18"/>
                <w:szCs w:val="18"/>
              </w:rPr>
              <w:t>260 / 0,056</w:t>
            </w:r>
          </w:p>
        </w:tc>
        <w:tc>
          <w:tcPr>
            <w:tcW w:w="1842" w:type="dxa"/>
            <w:vAlign w:val="center"/>
          </w:tcPr>
          <w:p w14:paraId="75B8A3F5" w14:textId="77777777" w:rsidR="001912DF" w:rsidRPr="008A2431" w:rsidRDefault="001912DF" w:rsidP="004F336F">
            <w:pPr>
              <w:jc w:val="center"/>
              <w:rPr>
                <w:sz w:val="18"/>
                <w:szCs w:val="18"/>
              </w:rPr>
            </w:pPr>
            <w:r w:rsidRPr="008A2431">
              <w:rPr>
                <w:sz w:val="18"/>
                <w:szCs w:val="18"/>
              </w:rPr>
              <w:t>257 / 0,083</w:t>
            </w:r>
          </w:p>
        </w:tc>
        <w:tc>
          <w:tcPr>
            <w:tcW w:w="1560" w:type="dxa"/>
            <w:vAlign w:val="center"/>
          </w:tcPr>
          <w:p w14:paraId="4776F04E" w14:textId="77777777" w:rsidR="001912DF" w:rsidRPr="008A2431" w:rsidRDefault="006B29A7" w:rsidP="004F336F">
            <w:pPr>
              <w:jc w:val="center"/>
              <w:rPr>
                <w:sz w:val="18"/>
                <w:szCs w:val="18"/>
              </w:rPr>
            </w:pPr>
            <w:r>
              <w:rPr>
                <w:sz w:val="18"/>
                <w:szCs w:val="18"/>
              </w:rPr>
              <w:t>-</w:t>
            </w:r>
            <w:r w:rsidR="001912DF" w:rsidRPr="008A2431">
              <w:rPr>
                <w:sz w:val="18"/>
                <w:szCs w:val="18"/>
              </w:rPr>
              <w:t>25,4</w:t>
            </w:r>
          </w:p>
        </w:tc>
        <w:tc>
          <w:tcPr>
            <w:tcW w:w="1383" w:type="dxa"/>
            <w:tcBorders>
              <w:right w:val="single" w:sz="8" w:space="0" w:color="auto"/>
            </w:tcBorders>
            <w:vAlign w:val="center"/>
          </w:tcPr>
          <w:p w14:paraId="38EDB561" w14:textId="77777777" w:rsidR="001912DF" w:rsidRPr="008A2431" w:rsidRDefault="006B29A7" w:rsidP="004F336F">
            <w:pPr>
              <w:jc w:val="center"/>
              <w:rPr>
                <w:sz w:val="18"/>
                <w:szCs w:val="18"/>
              </w:rPr>
            </w:pPr>
            <w:r>
              <w:rPr>
                <w:sz w:val="18"/>
                <w:szCs w:val="18"/>
              </w:rPr>
              <w:t>+</w:t>
            </w:r>
            <w:r w:rsidR="001912DF" w:rsidRPr="008A2431">
              <w:rPr>
                <w:sz w:val="18"/>
                <w:szCs w:val="18"/>
              </w:rPr>
              <w:t>2,3</w:t>
            </w:r>
          </w:p>
        </w:tc>
      </w:tr>
      <w:tr w:rsidR="001912DF" w14:paraId="660E5FA9" w14:textId="77777777" w:rsidTr="00AD4E7F">
        <w:tc>
          <w:tcPr>
            <w:tcW w:w="817" w:type="dxa"/>
            <w:tcBorders>
              <w:left w:val="single" w:sz="8" w:space="0" w:color="auto"/>
              <w:bottom w:val="single" w:sz="8" w:space="0" w:color="auto"/>
            </w:tcBorders>
          </w:tcPr>
          <w:p w14:paraId="41E77A34" w14:textId="77777777" w:rsidR="001912DF" w:rsidRPr="008A2431" w:rsidRDefault="001912DF" w:rsidP="004F336F">
            <w:pPr>
              <w:jc w:val="center"/>
              <w:rPr>
                <w:sz w:val="18"/>
                <w:szCs w:val="18"/>
              </w:rPr>
            </w:pPr>
            <w:r w:rsidRPr="008A2431">
              <w:rPr>
                <w:sz w:val="18"/>
                <w:szCs w:val="18"/>
              </w:rPr>
              <w:t>3</w:t>
            </w:r>
          </w:p>
        </w:tc>
        <w:tc>
          <w:tcPr>
            <w:tcW w:w="1843" w:type="dxa"/>
            <w:tcBorders>
              <w:left w:val="single" w:sz="8" w:space="0" w:color="auto"/>
              <w:bottom w:val="single" w:sz="8" w:space="0" w:color="auto"/>
            </w:tcBorders>
            <w:vAlign w:val="center"/>
          </w:tcPr>
          <w:p w14:paraId="6847F980" w14:textId="77777777" w:rsidR="001912DF" w:rsidRPr="008A2431" w:rsidRDefault="001912DF" w:rsidP="004F336F">
            <w:pPr>
              <w:jc w:val="center"/>
              <w:rPr>
                <w:sz w:val="18"/>
                <w:szCs w:val="18"/>
              </w:rPr>
            </w:pPr>
            <w:r w:rsidRPr="008A2431">
              <w:rPr>
                <w:sz w:val="18"/>
                <w:szCs w:val="18"/>
              </w:rPr>
              <w:t>199 / 0,008</w:t>
            </w:r>
          </w:p>
        </w:tc>
        <w:tc>
          <w:tcPr>
            <w:tcW w:w="1843" w:type="dxa"/>
            <w:tcBorders>
              <w:bottom w:val="single" w:sz="8" w:space="0" w:color="auto"/>
            </w:tcBorders>
            <w:vAlign w:val="center"/>
          </w:tcPr>
          <w:p w14:paraId="2C3B90D2" w14:textId="77777777" w:rsidR="001912DF" w:rsidRPr="008A2431" w:rsidRDefault="001912DF" w:rsidP="004F336F">
            <w:pPr>
              <w:jc w:val="center"/>
              <w:rPr>
                <w:sz w:val="18"/>
                <w:szCs w:val="18"/>
              </w:rPr>
            </w:pPr>
            <w:r w:rsidRPr="008A2431">
              <w:rPr>
                <w:sz w:val="18"/>
                <w:szCs w:val="18"/>
              </w:rPr>
              <w:t>N/A</w:t>
            </w:r>
          </w:p>
        </w:tc>
        <w:tc>
          <w:tcPr>
            <w:tcW w:w="1842" w:type="dxa"/>
            <w:tcBorders>
              <w:bottom w:val="single" w:sz="8" w:space="0" w:color="auto"/>
            </w:tcBorders>
            <w:vAlign w:val="center"/>
          </w:tcPr>
          <w:p w14:paraId="042FA2A8" w14:textId="77777777" w:rsidR="001912DF" w:rsidRPr="008A2431" w:rsidRDefault="001912DF" w:rsidP="004F336F">
            <w:pPr>
              <w:jc w:val="center"/>
              <w:rPr>
                <w:sz w:val="18"/>
                <w:szCs w:val="18"/>
              </w:rPr>
            </w:pPr>
            <w:r w:rsidRPr="008A2431">
              <w:rPr>
                <w:sz w:val="18"/>
                <w:szCs w:val="18"/>
              </w:rPr>
              <w:t>N/A</w:t>
            </w:r>
          </w:p>
        </w:tc>
        <w:tc>
          <w:tcPr>
            <w:tcW w:w="1560" w:type="dxa"/>
            <w:tcBorders>
              <w:bottom w:val="single" w:sz="8" w:space="0" w:color="auto"/>
            </w:tcBorders>
            <w:vAlign w:val="center"/>
          </w:tcPr>
          <w:p w14:paraId="327FBCC2" w14:textId="77777777" w:rsidR="001912DF" w:rsidRPr="008A2431" w:rsidRDefault="006B29A7" w:rsidP="004F336F">
            <w:pPr>
              <w:jc w:val="center"/>
              <w:rPr>
                <w:sz w:val="18"/>
                <w:szCs w:val="18"/>
              </w:rPr>
            </w:pPr>
            <w:r>
              <w:rPr>
                <w:sz w:val="18"/>
                <w:szCs w:val="18"/>
              </w:rPr>
              <w:t>-</w:t>
            </w:r>
            <w:r w:rsidR="001912DF" w:rsidRPr="008A2431">
              <w:rPr>
                <w:sz w:val="18"/>
                <w:szCs w:val="18"/>
              </w:rPr>
              <w:t>24,8</w:t>
            </w:r>
          </w:p>
        </w:tc>
        <w:tc>
          <w:tcPr>
            <w:tcW w:w="1383" w:type="dxa"/>
            <w:tcBorders>
              <w:bottom w:val="single" w:sz="8" w:space="0" w:color="auto"/>
              <w:right w:val="single" w:sz="8" w:space="0" w:color="auto"/>
            </w:tcBorders>
            <w:vAlign w:val="center"/>
          </w:tcPr>
          <w:p w14:paraId="69791B04" w14:textId="77777777" w:rsidR="001912DF" w:rsidRPr="008A2431" w:rsidRDefault="006B29A7" w:rsidP="004F336F">
            <w:pPr>
              <w:jc w:val="center"/>
              <w:rPr>
                <w:sz w:val="18"/>
                <w:szCs w:val="18"/>
              </w:rPr>
            </w:pPr>
            <w:r>
              <w:rPr>
                <w:sz w:val="18"/>
                <w:szCs w:val="18"/>
              </w:rPr>
              <w:t>+</w:t>
            </w:r>
            <w:r w:rsidR="001912DF" w:rsidRPr="008A2431">
              <w:rPr>
                <w:sz w:val="18"/>
                <w:szCs w:val="18"/>
              </w:rPr>
              <w:t>4,2</w:t>
            </w:r>
          </w:p>
        </w:tc>
      </w:tr>
    </w:tbl>
    <w:p w14:paraId="5078D639" w14:textId="77777777" w:rsidR="00AD4FEB" w:rsidRDefault="00AD4FEB" w:rsidP="00582C8E"/>
    <w:p w14:paraId="46BF1DE7" w14:textId="77777777" w:rsidR="00D614F3" w:rsidRDefault="00D614F3" w:rsidP="00582C8E">
      <w:r>
        <w:t>Aus den DLS Partikelgröß</w:t>
      </w:r>
      <w:r w:rsidR="001912DF">
        <w:t>enmessungen, deren Erg</w:t>
      </w:r>
      <w:bookmarkStart w:id="234" w:name="_GoBack"/>
      <w:bookmarkEnd w:id="234"/>
      <w:r w:rsidR="001912DF">
        <w:t>ebnisse in</w:t>
      </w:r>
      <w:r>
        <w:t xml:space="preserve"> </w:t>
      </w:r>
      <w:r w:rsidR="00D16240">
        <w:fldChar w:fldCharType="begin"/>
      </w:r>
      <w:r>
        <w:instrText xml:space="preserve"> REF _Ref279353839 \h </w:instrText>
      </w:r>
      <w:r w:rsidR="00D16240">
        <w:fldChar w:fldCharType="separate"/>
      </w:r>
      <w:r w:rsidR="00711AB8" w:rsidRPr="00D614F3">
        <w:t xml:space="preserve">Tabelle </w:t>
      </w:r>
      <w:r w:rsidR="00711AB8">
        <w:rPr>
          <w:noProof/>
        </w:rPr>
        <w:t>24</w:t>
      </w:r>
      <w:r w:rsidR="00D16240">
        <w:fldChar w:fldCharType="end"/>
      </w:r>
      <w:r w:rsidR="008A2431">
        <w:t xml:space="preserve"> aufgeführt sind</w:t>
      </w:r>
      <w:r>
        <w:t>, geht hervor, dass sich der mi</w:t>
      </w:r>
      <w:r w:rsidR="001912DF">
        <w:t>ttlere Partikeldurchmesser weder durch die Ge</w:t>
      </w:r>
      <w:r w:rsidR="00E57ED1">
        <w:t>friertrocknung noch durch die Inkubation</w:t>
      </w:r>
      <w:r w:rsidR="001912DF">
        <w:t xml:space="preserve"> mit dem Peptid nennenswert verändert hat. Im Rahmen der Messgenauigkeit sind bei den Proben 1 und 2 die mittleren Partikeldurchmesser konstant geblieben. Für Probe 3 wurden daher die entsprechenden</w:t>
      </w:r>
      <w:r w:rsidR="00E57ED1">
        <w:t xml:space="preserve"> DLS</w:t>
      </w:r>
      <w:r w:rsidR="001912DF">
        <w:t xml:space="preserve"> Messungen nicht mehr durchgeführt.</w:t>
      </w:r>
    </w:p>
    <w:p w14:paraId="2CEAEE8D" w14:textId="77777777" w:rsidR="001912DF" w:rsidRDefault="006B29A7" w:rsidP="00582C8E">
      <w:r>
        <w:t>Das</w:t>
      </w:r>
      <w:r w:rsidR="008A2431">
        <w:t xml:space="preserve"> Zetapotential der jeweils unbeschichteten redispergierten Partikel der drei Chargen betrug </w:t>
      </w:r>
      <w:r>
        <w:t>durchschnittlich -28,2 mV (</w:t>
      </w:r>
      <w:r>
        <w:sym w:font="Symbol" w:char="F0B1"/>
      </w:r>
      <w:r>
        <w:t xml:space="preserve">4,1 mV). </w:t>
      </w:r>
      <w:r w:rsidR="00C84857">
        <w:t xml:space="preserve">Die negative Oberflächenladung der Partikel kommt durch die </w:t>
      </w:r>
      <w:r w:rsidR="003E0E63">
        <w:t>Carboxyl-Endgruppen des Polymer</w:t>
      </w:r>
      <w:r w:rsidR="00C84857">
        <w:t>s zustande und</w:t>
      </w:r>
      <w:r w:rsidR="00E57ED1">
        <w:t xml:space="preserve"> entspricht</w:t>
      </w:r>
      <w:r w:rsidR="00C84857">
        <w:t xml:space="preserve"> auch betragsmäßig</w:t>
      </w:r>
      <w:r w:rsidR="00E57ED1">
        <w:t xml:space="preserve"> den Erwartungen für PLGA Partikel</w:t>
      </w:r>
      <w:r w:rsidR="00C84857">
        <w:rPr>
          <w:rStyle w:val="Endnotenzeichen"/>
        </w:rPr>
        <w:endnoteReference w:id="140"/>
      </w:r>
      <w:r w:rsidR="00E57ED1">
        <w:t xml:space="preserve">. </w:t>
      </w:r>
      <w:r>
        <w:t>Durch die Inkubation der Partikel mit hLF veränderte sich das Zetapotential auf durchschnittlich +4,5 mV (</w:t>
      </w:r>
      <w:r>
        <w:sym w:font="Symbol" w:char="F0B1"/>
      </w:r>
      <w:r>
        <w:t xml:space="preserve">1,7 mV). </w:t>
      </w:r>
      <w:r w:rsidR="00E57ED1">
        <w:t>Dies ist eine Erhöhung der Oberflächenladung der Partikel um +32,7 mV unter Umkehrung der Nettoladung von einem negativen auf einen positiven Wert.</w:t>
      </w:r>
    </w:p>
    <w:p w14:paraId="4BCE6393" w14:textId="77777777" w:rsidR="00E57ED1" w:rsidRDefault="00E806FB" w:rsidP="00582C8E">
      <w:r>
        <w:t>Der beschriebene Einfluss der Inkubation mit dem hLF Peptidfragment auf die Oberflächenladung der PLGA Partikel zeigt, dass sich das positiv geladene Peptid an der Oberfläche der negativ geladenen PLGA Partikel angelagert hat und deren negative Ladung nicht nur kompensiert, sondern sogar einen positiven Ladungsüberschuss bewirkt. Dies ist ein starkes Indiz für den Erfolg der Oberflächenbeschichtung mit dem zellpenetrierenden Peptid.</w:t>
      </w:r>
    </w:p>
    <w:p w14:paraId="47CEDBC3" w14:textId="77777777" w:rsidR="008215A9" w:rsidRPr="007F5A42" w:rsidRDefault="00E806FB" w:rsidP="00582C8E">
      <w:r>
        <w:t>Um wie bereit</w:t>
      </w:r>
      <w:r w:rsidR="003745A5">
        <w:t xml:space="preserve">s erwähnt einige für die perorale Gabe von Peptidwirkstoffen </w:t>
      </w:r>
      <w:r>
        <w:t xml:space="preserve">relevante Effekte dieser nicht kovalenten Funktionalisierung zu untersuchen, wurden die unbeschichteten und die beschichteten PLGA Partikelformulierungen mit Desmopressin </w:t>
      </w:r>
      <w:r w:rsidRPr="00E806FB">
        <w:rPr>
          <w:i/>
        </w:rPr>
        <w:t>in vitro</w:t>
      </w:r>
      <w:r>
        <w:t xml:space="preserve">-Zellaufnahme- und </w:t>
      </w:r>
      <w:r w:rsidR="003745A5">
        <w:rPr>
          <w:i/>
        </w:rPr>
        <w:t>in</w:t>
      </w:r>
      <w:r w:rsidR="003745A5" w:rsidRPr="00925A9B">
        <w:rPr>
          <w:i/>
        </w:rPr>
        <w:t xml:space="preserve"> vitro</w:t>
      </w:r>
      <w:r w:rsidR="003745A5">
        <w:t>-</w:t>
      </w:r>
      <w:r w:rsidRPr="003745A5">
        <w:t>Resorptions</w:t>
      </w:r>
      <w:r w:rsidR="00324C67" w:rsidRPr="003745A5">
        <w:t>tests</w:t>
      </w:r>
      <w:r w:rsidR="00324C67">
        <w:t xml:space="preserve"> unterzogen. Zudem wurde ein eventueller Effekt der beschichteten Partikel auf die Bioverfügbarkeit von D</w:t>
      </w:r>
      <w:r w:rsidR="003745A5">
        <w:t>e</w:t>
      </w:r>
      <w:r w:rsidR="00324C67">
        <w:t xml:space="preserve">smopressin </w:t>
      </w:r>
      <w:r w:rsidR="00324C67" w:rsidRPr="00324C67">
        <w:rPr>
          <w:i/>
        </w:rPr>
        <w:t>in vivo</w:t>
      </w:r>
      <w:r w:rsidR="00324C67">
        <w:t xml:space="preserve"> getestet. Die Ergebnisse hierzu werden in Kapitel </w:t>
      </w:r>
      <w:r w:rsidR="00D16240">
        <w:fldChar w:fldCharType="begin"/>
      </w:r>
      <w:r w:rsidR="00324C67">
        <w:instrText xml:space="preserve"> REF _Ref274320829 \n \h </w:instrText>
      </w:r>
      <w:r w:rsidR="00D16240">
        <w:fldChar w:fldCharType="separate"/>
      </w:r>
      <w:r w:rsidR="00711AB8">
        <w:t>4.7</w:t>
      </w:r>
      <w:r w:rsidR="00D16240">
        <w:fldChar w:fldCharType="end"/>
      </w:r>
      <w:r w:rsidR="00324C67">
        <w:t xml:space="preserve"> ab S. </w:t>
      </w:r>
      <w:r w:rsidR="00D16240">
        <w:fldChar w:fldCharType="begin"/>
      </w:r>
      <w:r w:rsidR="00324C67">
        <w:instrText xml:space="preserve"> PAGEREF _Ref274320829 \h </w:instrText>
      </w:r>
      <w:r w:rsidR="00D16240">
        <w:fldChar w:fldCharType="separate"/>
      </w:r>
      <w:r w:rsidR="00711AB8">
        <w:rPr>
          <w:noProof/>
        </w:rPr>
        <w:t>159</w:t>
      </w:r>
      <w:r w:rsidR="00D16240">
        <w:fldChar w:fldCharType="end"/>
      </w:r>
      <w:r w:rsidR="00324C67">
        <w:t xml:space="preserve"> beschrieben.</w:t>
      </w:r>
    </w:p>
    <w:p w14:paraId="65D1AE1D" w14:textId="77777777" w:rsidR="004D0D5A" w:rsidRDefault="004D0D5A" w:rsidP="004D0D5A">
      <w:pPr>
        <w:pStyle w:val="berschrift2"/>
      </w:pPr>
      <w:r>
        <w:lastRenderedPageBreak/>
        <w:tab/>
      </w:r>
      <w:bookmarkStart w:id="235" w:name="_Toc294380253"/>
      <w:r w:rsidR="002A520F">
        <w:t>Herstellung einer</w:t>
      </w:r>
      <w:r>
        <w:t xml:space="preserve"> magensaf</w:t>
      </w:r>
      <w:r w:rsidR="002A520F">
        <w:t>tresistenten</w:t>
      </w:r>
      <w:r>
        <w:t xml:space="preserve"> Darreichungsform</w:t>
      </w:r>
      <w:bookmarkEnd w:id="235"/>
    </w:p>
    <w:p w14:paraId="38118C6A" w14:textId="77777777" w:rsidR="00BA79C9" w:rsidRDefault="00EC314A" w:rsidP="00EC314A">
      <w:r>
        <w:t>Zum Schu</w:t>
      </w:r>
      <w:r w:rsidR="001971FF">
        <w:t>tz des Arzneistoffträgers und sensibler</w:t>
      </w:r>
      <w:r>
        <w:t xml:space="preserve"> Peptid- und Proteinwirkstoffe vor einem Abbau durch den </w:t>
      </w:r>
      <w:r w:rsidR="00350F6B">
        <w:t xml:space="preserve">sauren </w:t>
      </w:r>
      <w:r w:rsidR="00360CF4">
        <w:t>Magensaft</w:t>
      </w:r>
      <w:r>
        <w:t xml:space="preserve"> </w:t>
      </w:r>
      <w:r w:rsidR="003C33A2">
        <w:t>ist</w:t>
      </w:r>
      <w:r w:rsidR="000C397A">
        <w:t xml:space="preserve"> die Formulierung einer</w:t>
      </w:r>
      <w:r w:rsidR="006233CD">
        <w:t xml:space="preserve"> magensaftresistente</w:t>
      </w:r>
      <w:r w:rsidR="000C397A">
        <w:t>n</w:t>
      </w:r>
      <w:r w:rsidR="00350F6B">
        <w:t xml:space="preserve"> Darreichungsform</w:t>
      </w:r>
      <w:r w:rsidR="003C33A2">
        <w:t xml:space="preserve"> angezeigt</w:t>
      </w:r>
      <w:r w:rsidR="00350F6B">
        <w:t xml:space="preserve">. </w:t>
      </w:r>
      <w:r w:rsidR="00324C67">
        <w:t xml:space="preserve">Bezogen auf die in dieser Arbeit verwendete Modellsubstanz Desmopressin, die wie bereits erwähnt nicht besonders säureempfindlich ist, wird ein solcher Schutz voraussichtlich nicht benötigt. </w:t>
      </w:r>
      <w:r w:rsidR="00BA79C9">
        <w:t>U</w:t>
      </w:r>
      <w:r w:rsidR="001971FF">
        <w:t xml:space="preserve">m </w:t>
      </w:r>
      <w:r w:rsidR="00BA79C9">
        <w:t xml:space="preserve">jedoch </w:t>
      </w:r>
      <w:r w:rsidR="001971FF">
        <w:t xml:space="preserve">eine Übertragbarkeit </w:t>
      </w:r>
      <w:r w:rsidR="00BA79C9">
        <w:t>der Methoden und Konzepte dieser Arbeit auf säureempfindliche</w:t>
      </w:r>
      <w:r w:rsidR="001971FF">
        <w:t xml:space="preserve"> Peptide und Proteine</w:t>
      </w:r>
      <w:r w:rsidR="00BA79C9">
        <w:t xml:space="preserve"> zu gewährleisten, sollte dennoch gezeigt werden, wie ein Schutz vor der Magensäure erreicht werden kann.</w:t>
      </w:r>
    </w:p>
    <w:p w14:paraId="14449E58" w14:textId="77777777" w:rsidR="00276583" w:rsidRDefault="00350F6B" w:rsidP="00EC314A">
      <w:r>
        <w:t>Standardmäßig werden hierzu Pulver oder besser Granulate zu Tabletten verpresst, die anschließend mit einem magensaft</w:t>
      </w:r>
      <w:r w:rsidR="00256AA4">
        <w:t xml:space="preserve">resistenten Überzug </w:t>
      </w:r>
      <w:r>
        <w:t>versehen werden. Die gastrointestinale Transitzeit monolithischer Darreichu</w:t>
      </w:r>
      <w:r w:rsidR="00256AA4">
        <w:t>ngsformen unterliegt jedoch erheblichen</w:t>
      </w:r>
      <w:r>
        <w:t xml:space="preserve"> </w:t>
      </w:r>
      <w:r w:rsidR="005F75CD">
        <w:t>inter</w:t>
      </w:r>
      <w:r>
        <w:t>indi</w:t>
      </w:r>
      <w:r w:rsidR="00256AA4">
        <w:t>viduellen Schwankungen. Dadurch bedingt kommt es zu</w:t>
      </w:r>
      <w:r w:rsidR="00801E38">
        <w:t xml:space="preserve"> einer</w:t>
      </w:r>
      <w:r w:rsidR="00256AA4">
        <w:t xml:space="preserve"> </w:t>
      </w:r>
      <w:r w:rsidR="00801E38">
        <w:t xml:space="preserve">starken Variabilität der pharmakokinetischen Parameter. Außerdem ist eine Gabe überzogener Tabletten an Mäuse im Zuge von </w:t>
      </w:r>
      <w:r w:rsidR="00801E38">
        <w:rPr>
          <w:i/>
        </w:rPr>
        <w:t>in vivo</w:t>
      </w:r>
      <w:r w:rsidR="003C33A2">
        <w:rPr>
          <w:i/>
        </w:rPr>
        <w:t>-</w:t>
      </w:r>
      <w:r w:rsidR="000C397A">
        <w:t>Studien nicht möglich</w:t>
      </w:r>
      <w:r w:rsidR="00801E38">
        <w:t xml:space="preserve">. </w:t>
      </w:r>
      <w:r w:rsidR="00253003">
        <w:t>Durch die Verwendung einer</w:t>
      </w:r>
      <w:r w:rsidR="00801E38">
        <w:t xml:space="preserve"> partikuläre</w:t>
      </w:r>
      <w:r w:rsidR="00253003">
        <w:t>n</w:t>
      </w:r>
      <w:r w:rsidR="00801E38">
        <w:t xml:space="preserve"> Darreichungsform</w:t>
      </w:r>
      <w:r w:rsidR="003C33A2">
        <w:t xml:space="preserve"> hingegen</w:t>
      </w:r>
      <w:r w:rsidR="00801E38">
        <w:t xml:space="preserve"> </w:t>
      </w:r>
      <w:r w:rsidR="00253003">
        <w:t>kann</w:t>
      </w:r>
      <w:r w:rsidR="00801E38">
        <w:t xml:space="preserve"> </w:t>
      </w:r>
      <w:r w:rsidR="00C22EBF">
        <w:t>z</w:t>
      </w:r>
      <w:r w:rsidR="009408C4">
        <w:t>um e</w:t>
      </w:r>
      <w:r w:rsidR="00C22EBF">
        <w:t xml:space="preserve">inen </w:t>
      </w:r>
      <w:r w:rsidR="005F75CD">
        <w:t>die inter</w:t>
      </w:r>
      <w:r w:rsidR="00801E38">
        <w:t>individue</w:t>
      </w:r>
      <w:r w:rsidR="00C22EBF">
        <w:t>lle Variabilität</w:t>
      </w:r>
      <w:r w:rsidR="00253003">
        <w:t xml:space="preserve"> gesenkt werden</w:t>
      </w:r>
      <w:r w:rsidR="00C22EBF">
        <w:rPr>
          <w:rStyle w:val="Endnotenzeichen"/>
        </w:rPr>
        <w:endnoteReference w:id="141"/>
      </w:r>
      <w:r w:rsidR="00C22EBF">
        <w:t xml:space="preserve"> und</w:t>
      </w:r>
      <w:r w:rsidR="00801E38">
        <w:t xml:space="preserve"> </w:t>
      </w:r>
      <w:r w:rsidR="009408C4">
        <w:t>zum a</w:t>
      </w:r>
      <w:r w:rsidR="00C22EBF">
        <w:t>nderen</w:t>
      </w:r>
      <w:r w:rsidR="00253003">
        <w:t xml:space="preserve"> wird</w:t>
      </w:r>
      <w:r w:rsidR="00C22EBF">
        <w:t xml:space="preserve"> eine</w:t>
      </w:r>
      <w:r w:rsidR="00801E38">
        <w:t xml:space="preserve"> </w:t>
      </w:r>
      <w:r w:rsidR="00801E38">
        <w:rPr>
          <w:i/>
        </w:rPr>
        <w:t>in vivo</w:t>
      </w:r>
      <w:r w:rsidR="003C33A2">
        <w:t>-</w:t>
      </w:r>
      <w:r w:rsidR="00801E38">
        <w:t>Test</w:t>
      </w:r>
      <w:r w:rsidR="00C22EBF">
        <w:t>ung der</w:t>
      </w:r>
      <w:r w:rsidR="001271E0">
        <w:t xml:space="preserve"> magensaftresistenten</w:t>
      </w:r>
      <w:r w:rsidR="00C22EBF">
        <w:t xml:space="preserve"> Formulierung an Mäusen</w:t>
      </w:r>
      <w:bookmarkStart w:id="236" w:name="_Ref282289173"/>
      <w:r w:rsidR="00253003">
        <w:t xml:space="preserve"> ermöglicht</w:t>
      </w:r>
      <w:r w:rsidR="006233CD">
        <w:rPr>
          <w:rStyle w:val="Endnotenzeichen"/>
        </w:rPr>
        <w:endnoteReference w:id="142"/>
      </w:r>
      <w:bookmarkEnd w:id="236"/>
      <w:r w:rsidR="00C22EBF">
        <w:t>.</w:t>
      </w:r>
      <w:r w:rsidR="00276583">
        <w:t xml:space="preserve"> Daher wurde die Erstellung </w:t>
      </w:r>
      <w:r w:rsidR="000C397A">
        <w:t>eine</w:t>
      </w:r>
      <w:r w:rsidR="00276583">
        <w:t>r</w:t>
      </w:r>
      <w:r w:rsidR="000C397A">
        <w:t xml:space="preserve"> partik</w:t>
      </w:r>
      <w:r w:rsidR="00F6351A">
        <w:t>uläre</w:t>
      </w:r>
      <w:r w:rsidR="00276583">
        <w:t>n</w:t>
      </w:r>
      <w:r w:rsidR="00F6351A">
        <w:t xml:space="preserve"> magensaftresistente</w:t>
      </w:r>
      <w:r w:rsidR="00276583">
        <w:t>n</w:t>
      </w:r>
      <w:r w:rsidR="000C397A">
        <w:t xml:space="preserve"> Darreichungsform </w:t>
      </w:r>
      <w:r w:rsidR="00276583">
        <w:t>angestrebt</w:t>
      </w:r>
      <w:r w:rsidR="00E71065">
        <w:t>.</w:t>
      </w:r>
    </w:p>
    <w:p w14:paraId="277B55A9" w14:textId="77777777" w:rsidR="00276583" w:rsidRDefault="00253003" w:rsidP="00EC314A">
      <w:r>
        <w:t>Zhu et al. entwickelten</w:t>
      </w:r>
      <w:r w:rsidR="00C274FE">
        <w:t xml:space="preserve"> eine mikropartikuläre Darreichungsform</w:t>
      </w:r>
      <w:r>
        <w:t xml:space="preserve">, die eine gezielte pH-abhängige Freisetzung der </w:t>
      </w:r>
      <w:r w:rsidR="00C274FE">
        <w:t xml:space="preserve">darin </w:t>
      </w:r>
      <w:r>
        <w:t>enthaltenen Nanopartikel</w:t>
      </w:r>
      <w:r w:rsidR="00C274FE">
        <w:t xml:space="preserve"> in unterschiedlichen Darmabschnitten ermöglicht</w:t>
      </w:r>
      <w:r w:rsidR="00272680">
        <w:t>e</w:t>
      </w:r>
      <w:r w:rsidR="00C274FE">
        <w:rPr>
          <w:rStyle w:val="Endnotenzeichen"/>
        </w:rPr>
        <w:endnoteReference w:id="143"/>
      </w:r>
      <w:r w:rsidR="00C274FE">
        <w:t>.</w:t>
      </w:r>
      <w:r w:rsidR="00272680">
        <w:t xml:space="preserve"> Durch Verwendung von Eudragit</w:t>
      </w:r>
      <w:r w:rsidR="00272680" w:rsidRPr="006D0409">
        <w:rPr>
          <w:vertAlign w:val="superscript"/>
        </w:rPr>
        <w:sym w:font="Symbol" w:char="F0D2"/>
      </w:r>
      <w:r w:rsidR="00272680">
        <w:t xml:space="preserve"> FS 30 D zur Erstellung der Mikropartikel gelang eine gezielte Freisetzung der Nanopartikel im Dickdarm. Wurden die Nanopartikel hingegen in</w:t>
      </w:r>
      <w:r w:rsidR="006D0409">
        <w:t xml:space="preserve"> Mikropartikel aus</w:t>
      </w:r>
      <w:r w:rsidR="00272680">
        <w:t xml:space="preserve"> Eudragit</w:t>
      </w:r>
      <w:r w:rsidR="00272680" w:rsidRPr="00E93D21">
        <w:rPr>
          <w:vertAlign w:val="superscript"/>
        </w:rPr>
        <w:sym w:font="Symbol" w:char="F0D2"/>
      </w:r>
      <w:r w:rsidR="00272680">
        <w:t xml:space="preserve"> L 100-55 eingebettet, so erfolgte die Freisetzung bereits im Dünndarm.</w:t>
      </w:r>
    </w:p>
    <w:p w14:paraId="4191F702" w14:textId="77777777" w:rsidR="00C84DA0" w:rsidRDefault="00C84DA0" w:rsidP="00EC314A">
      <w:r>
        <w:t xml:space="preserve">Auf der Jahrestagung der CRS Germany Local Chapter im März 2013 wurde von </w:t>
      </w:r>
      <w:r w:rsidR="000C397A">
        <w:t>Schiller et a</w:t>
      </w:r>
      <w:r w:rsidR="00433FDE">
        <w:t>l.</w:t>
      </w:r>
      <w:r w:rsidR="000C397A">
        <w:t xml:space="preserve"> </w:t>
      </w:r>
      <w:r>
        <w:t xml:space="preserve">eine Methode vorgestellt, </w:t>
      </w:r>
      <w:r w:rsidR="000C397A">
        <w:t xml:space="preserve">die es ermöglicht, Nanopartikel aus PLGA in </w:t>
      </w:r>
      <w:r w:rsidR="003C33A2">
        <w:t xml:space="preserve">Mikropartikel aus </w:t>
      </w:r>
      <w:r w:rsidR="000C397A">
        <w:t>Eudragit</w:t>
      </w:r>
      <w:r w:rsidR="000C397A">
        <w:rPr>
          <w:vertAlign w:val="superscript"/>
        </w:rPr>
        <w:sym w:font="Symbol" w:char="F0D2"/>
      </w:r>
      <w:r w:rsidR="000C397A">
        <w:t xml:space="preserve"> L </w:t>
      </w:r>
      <w:r w:rsidR="001032DA">
        <w:t xml:space="preserve">mittels Sprühtrocknung </w:t>
      </w:r>
      <w:r w:rsidR="000C397A">
        <w:t xml:space="preserve">so einzubetten, </w:t>
      </w:r>
      <w:r w:rsidR="00B07294">
        <w:t xml:space="preserve">dass sie </w:t>
      </w:r>
      <w:r w:rsidR="001271E0">
        <w:t>erst nach der</w:t>
      </w:r>
      <w:r w:rsidR="00272680">
        <w:t xml:space="preserve"> Magenpassage im Dünndarm</w:t>
      </w:r>
      <w:r w:rsidR="000C397A">
        <w:t xml:space="preserve"> unverändert wieder freigesetzt werden</w:t>
      </w:r>
      <w:bookmarkStart w:id="237" w:name="_Ref275545826"/>
      <w:r w:rsidR="000C397A">
        <w:rPr>
          <w:rStyle w:val="Endnotenzeichen"/>
        </w:rPr>
        <w:endnoteReference w:id="144"/>
      </w:r>
      <w:bookmarkEnd w:id="237"/>
      <w:r w:rsidR="000C397A">
        <w:t>.</w:t>
      </w:r>
      <w:r w:rsidR="00B07294">
        <w:t xml:space="preserve"> </w:t>
      </w:r>
      <w:r>
        <w:t xml:space="preserve">Diese Arbeiten wurden mit einem </w:t>
      </w:r>
      <w:r w:rsidR="00890780">
        <w:t>Sprühtrockner der Firma ProCepT durchgeführt.</w:t>
      </w:r>
    </w:p>
    <w:p w14:paraId="17BDCD90" w14:textId="77777777" w:rsidR="00890780" w:rsidRDefault="00272680" w:rsidP="00EC314A">
      <w:r>
        <w:t>Die gezielte Freisetzung</w:t>
      </w:r>
      <w:r w:rsidR="006D0409">
        <w:t xml:space="preserve"> der enthaltenen Nanopartikel</w:t>
      </w:r>
      <w:r>
        <w:t xml:space="preserve"> im Dünndarm wird</w:t>
      </w:r>
      <w:r w:rsidR="00C84DA0">
        <w:t xml:space="preserve"> bei den beiden zitierten Verfahren</w:t>
      </w:r>
      <w:r>
        <w:t xml:space="preserve"> dadurch ermöglicht, dass sich die Eudragit</w:t>
      </w:r>
      <w:r w:rsidR="006D0409" w:rsidRPr="00E93D21">
        <w:rPr>
          <w:vertAlign w:val="superscript"/>
        </w:rPr>
        <w:sym w:font="Symbol" w:char="F0D2"/>
      </w:r>
      <w:r>
        <w:t xml:space="preserve"> Matrix der Mikropartikel noch nicht bereits im sauren Magensaft, sondern erst bei höheren pH-Werten</w:t>
      </w:r>
      <w:r w:rsidR="006D0409">
        <w:t xml:space="preserve"> um 5,5 im Dünndarm</w:t>
      </w:r>
      <w:r>
        <w:t xml:space="preserve"> auflöst</w:t>
      </w:r>
      <w:r w:rsidR="00332FB9">
        <w:t xml:space="preserve">. </w:t>
      </w:r>
    </w:p>
    <w:p w14:paraId="6783CBE0" w14:textId="77777777" w:rsidR="000C397A" w:rsidRDefault="00890780" w:rsidP="00EC314A">
      <w:r>
        <w:lastRenderedPageBreak/>
        <w:t>In der vorliegenden Arbeit wurde eine Methode nach Vorbild von Zhu et al. und Schiller et al. verwendet, um fluoreszenzmarkierte Nanopartikel aus PLGA und PEA in Eudragit</w:t>
      </w:r>
      <w:r w:rsidR="007E7407" w:rsidRPr="00902C2E">
        <w:rPr>
          <w:vertAlign w:val="superscript"/>
        </w:rPr>
        <w:t>®</w:t>
      </w:r>
      <w:r>
        <w:t xml:space="preserve"> L 30 </w:t>
      </w:r>
      <w:r w:rsidR="001032DA">
        <w:t>D-55 Mikropartikel einzubetten.</w:t>
      </w:r>
    </w:p>
    <w:p w14:paraId="463143EA" w14:textId="77777777" w:rsidR="00186C2E" w:rsidRDefault="00903FD7" w:rsidP="00186C2E">
      <w:pPr>
        <w:pStyle w:val="berschrift4"/>
      </w:pPr>
      <w:bookmarkStart w:id="238" w:name="_Toc294380254"/>
      <w:r>
        <w:t>Einbettung der</w:t>
      </w:r>
      <w:r w:rsidR="00186C2E">
        <w:t xml:space="preserve"> PLGA und PEA Nanopartikel in Eudragit</w:t>
      </w:r>
      <w:r w:rsidR="00186C2E">
        <w:rPr>
          <w:vertAlign w:val="superscript"/>
        </w:rPr>
        <w:sym w:font="Symbol" w:char="F0D2"/>
      </w:r>
      <w:r w:rsidR="00186C2E">
        <w:t xml:space="preserve"> Mikropartikel</w:t>
      </w:r>
      <w:bookmarkEnd w:id="238"/>
    </w:p>
    <w:p w14:paraId="6B07454B" w14:textId="77777777" w:rsidR="00186C2E" w:rsidRDefault="00187366" w:rsidP="00186C2E">
      <w:r>
        <w:t xml:space="preserve">Zunächst wurden </w:t>
      </w:r>
      <w:r w:rsidR="003C33A2">
        <w:t xml:space="preserve">jeweils </w:t>
      </w:r>
      <w:r>
        <w:t>mit Lumogen Re</w:t>
      </w:r>
      <w:r w:rsidR="00F6351A">
        <w:t>d</w:t>
      </w:r>
      <w:r w:rsidR="00491CCB">
        <w:rPr>
          <w:vertAlign w:val="superscript"/>
        </w:rPr>
        <w:sym w:font="Symbol" w:char="F0D2"/>
      </w:r>
      <w:r w:rsidR="00F6351A">
        <w:t xml:space="preserve"> beladene Nanopartikel aus Resomer</w:t>
      </w:r>
      <w:r w:rsidR="00F6351A">
        <w:rPr>
          <w:vertAlign w:val="superscript"/>
        </w:rPr>
        <w:sym w:font="Symbol" w:char="F0D2"/>
      </w:r>
      <w:r w:rsidR="00F6351A">
        <w:t> RG 503 H</w:t>
      </w:r>
      <w:r>
        <w:t xml:space="preserve"> und aus Cystein PEA mittels Doppelemulsionsmethode hergestellt. Di</w:t>
      </w:r>
      <w:r w:rsidR="00D90F0B">
        <w:t>e Agglomeration der Partikel</w:t>
      </w:r>
      <w:r>
        <w:t xml:space="preserve"> erfolgte durch Sprühtrocknung einer </w:t>
      </w:r>
      <w:r w:rsidR="00F6351A">
        <w:t xml:space="preserve">wässrigen </w:t>
      </w:r>
      <w:r>
        <w:t>Eudragit</w:t>
      </w:r>
      <w:r>
        <w:rPr>
          <w:vertAlign w:val="superscript"/>
        </w:rPr>
        <w:sym w:font="Symbol" w:char="F0D2"/>
      </w:r>
      <w:r w:rsidR="00F6351A">
        <w:t xml:space="preserve"> L haltigen</w:t>
      </w:r>
      <w:r w:rsidR="003C33A2">
        <w:t xml:space="preserve"> Suspension der</w:t>
      </w:r>
      <w:r w:rsidR="00F6351A">
        <w:t xml:space="preserve"> Nanopartikel.</w:t>
      </w:r>
      <w:r>
        <w:t xml:space="preserve"> </w:t>
      </w:r>
      <w:r w:rsidR="00B7652B">
        <w:t xml:space="preserve">Dazu </w:t>
      </w:r>
      <w:r w:rsidR="00516B7A">
        <w:t xml:space="preserve">wurde </w:t>
      </w:r>
      <w:r w:rsidR="00AF3F9D">
        <w:t>eine</w:t>
      </w:r>
      <w:r w:rsidR="00B7652B">
        <w:t xml:space="preserve"> Eudragit</w:t>
      </w:r>
      <w:r w:rsidR="007E7407" w:rsidRPr="00902C2E">
        <w:rPr>
          <w:vertAlign w:val="superscript"/>
        </w:rPr>
        <w:t>®</w:t>
      </w:r>
      <w:r w:rsidR="00B7652B">
        <w:t xml:space="preserve"> L 30 D-55 Dispersion zunächs</w:t>
      </w:r>
      <w:r w:rsidR="003C33A2">
        <w:t xml:space="preserve">t </w:t>
      </w:r>
      <w:r w:rsidR="005E26E0">
        <w:t xml:space="preserve">1:2 </w:t>
      </w:r>
      <w:r w:rsidR="003C33A2">
        <w:t>mit Wasser verdünnt und</w:t>
      </w:r>
      <w:r w:rsidR="00D505E6">
        <w:t xml:space="preserve"> mit 25%iger</w:t>
      </w:r>
      <w:r w:rsidR="00B7652B">
        <w:t xml:space="preserve"> Ammoniaklösung </w:t>
      </w:r>
      <w:r w:rsidR="003C33A2">
        <w:t xml:space="preserve">zu 15% </w:t>
      </w:r>
      <w:r w:rsidR="00B7652B">
        <w:t>teilneutralisiert. Zu dieser Dispersion wurde so viel von der wässrigen Suspension der Nanopartikel hinzugefügt, dass zwischen Partikeln und Eudragit</w:t>
      </w:r>
      <w:r w:rsidR="007E7407" w:rsidRPr="00902C2E">
        <w:rPr>
          <w:vertAlign w:val="superscript"/>
        </w:rPr>
        <w:t>®</w:t>
      </w:r>
      <w:r w:rsidR="00B7652B">
        <w:t xml:space="preserve"> ein Verhältnis von 1:2 resultiert</w:t>
      </w:r>
      <w:r w:rsidR="00F6351A">
        <w:t>e</w:t>
      </w:r>
      <w:r w:rsidR="00B7652B">
        <w:t xml:space="preserve">. </w:t>
      </w:r>
      <w:r w:rsidR="00AF3F9D">
        <w:t xml:space="preserve">Die Sprühtrocknung erfolgte anschließend ohne Zusatz weiterer Substanzen </w:t>
      </w:r>
      <w:r w:rsidR="00F6351A">
        <w:t xml:space="preserve">mit einem Nano B-90 Sprühtrockner (Büchi Labortechnik AG, Schweiz). </w:t>
      </w:r>
      <w:r w:rsidR="00F6351A" w:rsidRPr="00F6351A">
        <w:t>D</w:t>
      </w:r>
      <w:r w:rsidR="00A426B8">
        <w:t>ie Einlasstemperatur betrug 60 °</w:t>
      </w:r>
      <w:r w:rsidR="00F6351A" w:rsidRPr="00F6351A">
        <w:t>C, die A</w:t>
      </w:r>
      <w:r w:rsidR="00A426B8">
        <w:t>uslasstemperatur &lt; 37 °</w:t>
      </w:r>
      <w:r w:rsidR="00F6351A" w:rsidRPr="00F6351A">
        <w:t>C bei einem Luftstrom von 130 L/h, einer Sprührate von 80% und unter Verwendung einer Membran mit einer Porenweite von 7 µm.</w:t>
      </w:r>
    </w:p>
    <w:p w14:paraId="10FA2D8F" w14:textId="77777777" w:rsidR="00AF3F9D" w:rsidRDefault="00AF3F9D" w:rsidP="00AF3F9D">
      <w:pPr>
        <w:pStyle w:val="berschrift4"/>
      </w:pPr>
      <w:bookmarkStart w:id="239" w:name="_Toc294380255"/>
      <w:r>
        <w:t>Charakterisierung der</w:t>
      </w:r>
      <w:r w:rsidR="00720A22">
        <w:t xml:space="preserve"> PLGA-</w:t>
      </w:r>
      <w:r w:rsidR="00F97A0D">
        <w:t>haltigen</w:t>
      </w:r>
      <w:r>
        <w:t xml:space="preserve"> Eudragit</w:t>
      </w:r>
      <w:r>
        <w:rPr>
          <w:vertAlign w:val="superscript"/>
        </w:rPr>
        <w:sym w:font="Symbol" w:char="F0D2"/>
      </w:r>
      <w:r>
        <w:t xml:space="preserve"> Mik</w:t>
      </w:r>
      <w:r w:rsidR="00F97A0D">
        <w:t>ropartikel</w:t>
      </w:r>
      <w:bookmarkEnd w:id="239"/>
    </w:p>
    <w:p w14:paraId="68B27C39" w14:textId="77777777" w:rsidR="0012384C" w:rsidRDefault="00583489" w:rsidP="00AF3F9D">
      <w:r>
        <w:t>Zunächst wurde mittels Fluoreszenzmikroskopie untersucht, ob die mit Lumogen Red beladenen Nanopartikel aus Resomer</w:t>
      </w:r>
      <w:r w:rsidR="007E7407" w:rsidRPr="00902C2E">
        <w:rPr>
          <w:vertAlign w:val="superscript"/>
        </w:rPr>
        <w:t>®</w:t>
      </w:r>
      <w:r>
        <w:t> RG 503 H in die Eudragit</w:t>
      </w:r>
      <w:r>
        <w:rPr>
          <w:vertAlign w:val="superscript"/>
        </w:rPr>
        <w:sym w:font="Symbol" w:char="F0D2"/>
      </w:r>
      <w:r>
        <w:t xml:space="preserve"> </w:t>
      </w:r>
      <w:r w:rsidR="00F97A0D">
        <w:t xml:space="preserve">L </w:t>
      </w:r>
      <w:r w:rsidR="00F6351A">
        <w:t>Matrix eingebettet werden konnten</w:t>
      </w:r>
      <w:r>
        <w:t>.</w:t>
      </w:r>
      <w:r w:rsidR="0012384C">
        <w:t xml:space="preserve"> Dazu wurde eine Probe der</w:t>
      </w:r>
      <w:r w:rsidR="0055625E">
        <w:t xml:space="preserve"> sprühgetrockneten Mikropartikel in 0</w:t>
      </w:r>
      <w:r w:rsidR="0012384C">
        <w:t xml:space="preserve">,1 molarer Salzsäure </w:t>
      </w:r>
      <w:r w:rsidR="001D0806">
        <w:t xml:space="preserve">und </w:t>
      </w:r>
      <w:r w:rsidR="0012384C">
        <w:t>eine zweite P</w:t>
      </w:r>
      <w:r w:rsidR="00903FD7">
        <w:t>robe in PBS Puffer mit einem pH-</w:t>
      </w:r>
      <w:r w:rsidR="0012384C">
        <w:t xml:space="preserve">Wert von 6,8 dispergiert und </w:t>
      </w:r>
      <w:r w:rsidR="001D0806">
        <w:t>unter dem Fluoreszenzmikrosk</w:t>
      </w:r>
      <w:r w:rsidR="003C33A2">
        <w:t>op analysiert</w:t>
      </w:r>
      <w:r w:rsidR="00616668">
        <w:t xml:space="preserve">. In </w:t>
      </w:r>
      <w:r w:rsidR="00D16240">
        <w:fldChar w:fldCharType="begin"/>
      </w:r>
      <w:r w:rsidR="00616668">
        <w:instrText xml:space="preserve"> REF _Ref275557636 \h </w:instrText>
      </w:r>
      <w:r w:rsidR="00D16240">
        <w:fldChar w:fldCharType="separate"/>
      </w:r>
      <w:r w:rsidR="00711AB8" w:rsidRPr="0012384C">
        <w:t xml:space="preserve">Abbildung </w:t>
      </w:r>
      <w:r w:rsidR="00711AB8">
        <w:rPr>
          <w:noProof/>
        </w:rPr>
        <w:t>28</w:t>
      </w:r>
      <w:r w:rsidR="00D16240">
        <w:fldChar w:fldCharType="end"/>
      </w:r>
      <w:r w:rsidR="00616668">
        <w:t xml:space="preserve"> ist jeweils eine Aufnahme der beiden Proben gezeigt.</w:t>
      </w:r>
    </w:p>
    <w:p w14:paraId="2254762B" w14:textId="77777777" w:rsidR="001D0806" w:rsidRDefault="001D0806" w:rsidP="00616668">
      <w:pPr>
        <w:spacing w:after="0"/>
      </w:pPr>
    </w:p>
    <w:p w14:paraId="1D4612D6" w14:textId="77777777" w:rsidR="001D0806" w:rsidRDefault="00DE258C" w:rsidP="00616668">
      <w:pPr>
        <w:spacing w:after="0"/>
        <w:ind w:firstLine="708"/>
      </w:pPr>
      <w:r>
        <w:rPr>
          <w:noProof/>
          <w:lang w:eastAsia="de-DE"/>
        </w:rPr>
      </w:r>
      <w:r>
        <w:rPr>
          <w:noProof/>
          <w:lang w:eastAsia="de-DE"/>
        </w:rPr>
        <w:pict w14:anchorId="49343CC2">
          <v:group id="Gruppieren 13" o:spid="_x0000_s1026" style="width:225.35pt;height:168.35pt;mso-position-horizontal-relative:char;mso-position-vertical-relative:line" coordsize="4078789,3047547">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4078789;height:29248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xR&#10;p5vIAAAA3gAAAA8AAABkcnMvZG93bnJldi54bWxEj0FLw0AUhO9C/8PyCl6C3aRakdhtUUHx0EuT&#10;9tDbI/tMgtm3Ifuaxn/vCkKPw8x8w6y3k+vUSENoPRvIFiko4srblmsDh/L97glUEGSLnWcy8EMB&#10;tpvZzRpz6y+8p7GQWkUIhxwNNCJ9rnWoGnIYFr4njt6XHxxKlEOt7YCXCHedXqbpo3bYclxosKe3&#10;hqrv4uwM7I6yKu7HRM7j6eM1CTYpd2VizO18enkGJTTJNfzf/rQGltkqe4C/O/EK6M0vAA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AcUaebyAAAAN4AAAAPAAAAAAAAAAAAAAAA&#10;AJwCAABkcnMvZG93bnJldi54bWxQSwUGAAAAAAQABAD3AAAAkQMAAAAA&#10;">
              <v:imagedata r:id="rId57" o:title="Aufnahme-105247-0008" croptop="11658f" cropleft="3945f" cropright="5295f"/>
            </v:shape>
            <v:shapetype id="_x0000_t202" coordsize="21600,21600" o:spt="202" path="m0,0l0,21600,21600,21600,21600,0xe">
              <v:stroke joinstyle="miter"/>
              <v:path gradientshapeok="t" o:connecttype="rect"/>
            </v:shapetype>
            <v:shape id="Textfeld 21514" o:spid="_x0000_s1028" type="#_x0000_t202" style="position:absolute;left:4433;top:2443176;width:452569;height:6043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ISvgwwAA&#10;AN4AAAAPAAAAZHJzL2Rvd25yZXYueG1sRI/LisIwFIb3gu8QzoA7TbzidIwiiuBK0RkHZndojm2Z&#10;5qQ00da3NwvB5c9/41usWluKO9W+cKxhOFAgiFNnCs40/Hzv+nMQPiAbLB2Thgd5WC27nQUmxjV8&#10;ovs5ZCKOsE9QQx5ClUjp05ws+oGriKN3dbXFEGWdSVNjE8dtKUdKzaTFguNDjhVtckr/zzer4XK4&#10;/v1O1DHb2mnVuFZJtp9S695Hu/4CEagN7/CrvTcaRsPpOAJEnIgCcvk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ISvgwwAAAN4AAAAPAAAAAAAAAAAAAAAAAJcCAABkcnMvZG93&#10;bnJldi54bWxQSwUGAAAAAAQABAD1AAAAhwMAAAAA&#10;" filled="f" stroked="f">
              <v:textbox>
                <w:txbxContent>
                  <w:p w14:paraId="6D3C25CD" w14:textId="77777777" w:rsidR="00DD7FD7" w:rsidRPr="0012384C" w:rsidRDefault="00DD7FD7" w:rsidP="00AE5B17">
                    <w:pPr>
                      <w:pStyle w:val="StandardWeb"/>
                      <w:spacing w:before="0" w:beforeAutospacing="0" w:after="0" w:afterAutospacing="0"/>
                      <w:textAlignment w:val="baseline"/>
                      <w:rPr>
                        <w:sz w:val="36"/>
                        <w:szCs w:val="36"/>
                      </w:rPr>
                    </w:pPr>
                    <w:r w:rsidRPr="0012384C">
                      <w:rPr>
                        <w:rFonts w:ascii="Arial" w:eastAsia="MS PGothic" w:hAnsi="Arial" w:cs="MS PGothic"/>
                        <w:color w:val="FFFFFF" w:themeColor="background1"/>
                        <w:kern w:val="24"/>
                        <w:sz w:val="36"/>
                        <w:szCs w:val="36"/>
                      </w:rPr>
                      <w:t>a</w:t>
                    </w:r>
                  </w:p>
                </w:txbxContent>
              </v:textbox>
            </v:shape>
            <w10:wrap type="none"/>
            <w10:anchorlock/>
          </v:group>
        </w:pict>
      </w:r>
      <w:r w:rsidR="00616668">
        <w:t xml:space="preserve">        </w:t>
      </w:r>
      <w:r>
        <w:rPr>
          <w:rFonts w:asciiTheme="minorHAnsi" w:eastAsiaTheme="minorEastAsia" w:hAnsiTheme="minorHAnsi"/>
          <w:noProof/>
          <w:szCs w:val="24"/>
          <w:lang w:eastAsia="de-DE"/>
        </w:rPr>
      </w:r>
      <w:r>
        <w:rPr>
          <w:rFonts w:asciiTheme="minorHAnsi" w:eastAsiaTheme="minorEastAsia" w:hAnsiTheme="minorHAnsi"/>
          <w:noProof/>
          <w:szCs w:val="24"/>
          <w:lang w:eastAsia="de-DE"/>
        </w:rPr>
        <w:pict w14:anchorId="7FFB74FC">
          <v:group id="Gruppieren 10" o:spid="_x0000_s1029" style="width:145.4pt;height:168.3pt;mso-position-horizontal-relative:char;mso-position-vertical-relative:line" coordsize="2380436,2449745">
            <o:lock v:ext="edit" aspectratio="t"/>
            <v:shape id="Picture 4" o:spid="_x0000_s1030" type="#_x0000_t75" style="position:absolute;width:2380436;height:2449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sw&#10;qjXFAAAA3gAAAA8AAABkcnMvZG93bnJldi54bWxEj0FrAjEUhO+F/ofwCt5qdoWWujVKKxS8anvZ&#10;23Pz3F3cvKRJXKO/vhGEHoeZ+YZZrJIZxEg+9JYVlNMCBHFjdc+tgp/vr+c3ECEiaxwsk4ILBVgt&#10;Hx8WWGl75i2Nu9iKDOFQoYIuRldJGZqODIapdcTZO1hvMGbpW6k9njPcDHJWFK/SYM95oUNH646a&#10;4+5kFBzTfpPq68FdjEs1fV59/Tt6pSZP6eMdRKQU/8P39kYrmJUv5Rxud/IVkMs/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rMKo1xQAAAN4AAAAPAAAAAAAAAAAAAAAAAJwC&#10;AABkcnMvZG93bnJldi54bWxQSwUGAAAAAAQABAD3AAAAjgMAAAAA&#10;">
              <v:imagedata r:id="rId58" o:title="Aufnahme-111559-0014" croptop="20756f" cropleft="32932f"/>
            </v:shape>
            <v:shape id="Textfeld 21520" o:spid="_x0000_s1031" type="#_x0000_t202" style="position:absolute;top:2035494;width:324374;height:4142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L09wwAA&#10;AN4AAAAPAAAAZHJzL2Rvd25yZXYueG1sRI/LisIwFIb3wrxDOAOz08QyilONIsrArBQvI7g7NMe2&#10;2JyUJtr69mYhuPz5b3yzRWcrcafGl441DAcKBHHmTMm5huPhtz8B4QOywcoxaXiQh8X8ozfD1LiW&#10;d3Tfh1zEEfYpaihCqFMpfVaQRT9wNXH0Lq6xGKJscmkabOO4rWSi1FhaLDk+FFjTqqDsur9ZDf+b&#10;y/n0rbb52o7q1nVKsv2RWn99dsspiEBdeIdf7T+jIRmOkggQcSIKyPkT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L09wwAAAN4AAAAPAAAAAAAAAAAAAAAAAJcCAABkcnMvZG93&#10;bnJldi54bWxQSwUGAAAAAAQABAD1AAAAhwMAAAAA&#10;" filled="f" stroked="f">
              <v:textbox>
                <w:txbxContent>
                  <w:p w14:paraId="3CAF115C" w14:textId="77777777" w:rsidR="00DD7FD7" w:rsidRPr="0012384C" w:rsidRDefault="00DD7FD7" w:rsidP="00616668">
                    <w:pPr>
                      <w:pStyle w:val="StandardWeb"/>
                      <w:spacing w:before="0" w:beforeAutospacing="0" w:after="0" w:afterAutospacing="0"/>
                      <w:textAlignment w:val="baseline"/>
                      <w:rPr>
                        <w:sz w:val="36"/>
                        <w:szCs w:val="36"/>
                      </w:rPr>
                    </w:pPr>
                    <w:r w:rsidRPr="0012384C">
                      <w:rPr>
                        <w:rFonts w:ascii="Arial" w:eastAsia="MS PGothic" w:hAnsi="Arial" w:cs="MS PGothic"/>
                        <w:color w:val="FFFFFF" w:themeColor="background1"/>
                        <w:kern w:val="24"/>
                        <w:sz w:val="36"/>
                        <w:szCs w:val="36"/>
                      </w:rPr>
                      <w:t>b</w:t>
                    </w:r>
                  </w:p>
                </w:txbxContent>
              </v:textbox>
            </v:shape>
            <w10:wrap type="none"/>
            <w10:anchorlock/>
          </v:group>
        </w:pict>
      </w:r>
    </w:p>
    <w:p w14:paraId="244D4C99" w14:textId="77777777" w:rsidR="0012384C" w:rsidRPr="003375F3" w:rsidRDefault="0012384C" w:rsidP="007E7407">
      <w:pPr>
        <w:pStyle w:val="Beschriftung"/>
        <w:ind w:firstLine="0"/>
        <w:rPr>
          <w:b w:val="0"/>
        </w:rPr>
      </w:pPr>
      <w:bookmarkStart w:id="240" w:name="_Ref275557636"/>
      <w:r w:rsidRPr="0012384C">
        <w:t xml:space="preserve">Abbildung </w:t>
      </w:r>
      <w:fldSimple w:instr=" SEQ Abbildung \* ARABIC ">
        <w:r w:rsidR="00711AB8">
          <w:rPr>
            <w:noProof/>
          </w:rPr>
          <w:t>28</w:t>
        </w:r>
      </w:fldSimple>
      <w:bookmarkEnd w:id="240"/>
      <w:r>
        <w:t xml:space="preserve"> </w:t>
      </w:r>
      <w:r>
        <w:rPr>
          <w:b w:val="0"/>
        </w:rPr>
        <w:t>Fluoreszenzmikrosko</w:t>
      </w:r>
      <w:r w:rsidR="00616668">
        <w:rPr>
          <w:b w:val="0"/>
        </w:rPr>
        <w:t>pische Aufnahmen, a: Mit PLGA</w:t>
      </w:r>
      <w:r>
        <w:rPr>
          <w:b w:val="0"/>
        </w:rPr>
        <w:t xml:space="preserve"> Partikeln beladene L30 D-55 Mikropartikel dispergiert in 0,1 m</w:t>
      </w:r>
      <w:r w:rsidR="00616668">
        <w:rPr>
          <w:b w:val="0"/>
        </w:rPr>
        <w:t>olarer Salzsäure, b: mit PLGA</w:t>
      </w:r>
      <w:r>
        <w:rPr>
          <w:b w:val="0"/>
        </w:rPr>
        <w:t xml:space="preserve"> Partikeln beladene L30 D-55 Mikropartikel dispergiert in </w:t>
      </w:r>
      <w:r w:rsidR="00616668">
        <w:rPr>
          <w:b w:val="0"/>
        </w:rPr>
        <w:t xml:space="preserve">PBS </w:t>
      </w:r>
      <w:r>
        <w:rPr>
          <w:b w:val="0"/>
        </w:rPr>
        <w:t>Puffer pH 6,8</w:t>
      </w:r>
      <w:r w:rsidR="00720A22">
        <w:rPr>
          <w:b w:val="0"/>
        </w:rPr>
        <w:t>.</w:t>
      </w:r>
    </w:p>
    <w:p w14:paraId="44804D8B" w14:textId="77777777" w:rsidR="00616668" w:rsidRDefault="00616668" w:rsidP="0012384C">
      <w:r>
        <w:lastRenderedPageBreak/>
        <w:t xml:space="preserve">In 0,1 molarer Salzsäure sind fluoreszierende Mikropartikel mit </w:t>
      </w:r>
      <w:r w:rsidR="00914325">
        <w:t>einer Größe zwischen 1 µm und 12</w:t>
      </w:r>
      <w:r>
        <w:t> µm zu erkennen</w:t>
      </w:r>
      <w:r w:rsidR="00607FFC">
        <w:t xml:space="preserve"> (</w:t>
      </w:r>
      <w:r w:rsidR="00D16240">
        <w:fldChar w:fldCharType="begin"/>
      </w:r>
      <w:r w:rsidR="00607FFC">
        <w:instrText xml:space="preserve"> REF _Ref275557636 \h </w:instrText>
      </w:r>
      <w:r w:rsidR="00D16240">
        <w:fldChar w:fldCharType="separate"/>
      </w:r>
      <w:r w:rsidR="00711AB8" w:rsidRPr="0012384C">
        <w:t xml:space="preserve">Abbildung </w:t>
      </w:r>
      <w:r w:rsidR="00711AB8">
        <w:rPr>
          <w:noProof/>
        </w:rPr>
        <w:t>28</w:t>
      </w:r>
      <w:r w:rsidR="00D16240">
        <w:fldChar w:fldCharType="end"/>
      </w:r>
      <w:r w:rsidR="00607FFC">
        <w:t>a)</w:t>
      </w:r>
      <w:r>
        <w:t xml:space="preserve">. </w:t>
      </w:r>
      <w:r w:rsidR="004529F4">
        <w:t>Eine Fluoreszenz ist außschließlich i</w:t>
      </w:r>
      <w:r>
        <w:t>nnerhalb der Mikropartikel</w:t>
      </w:r>
      <w:r w:rsidR="004529F4">
        <w:t xml:space="preserve"> zu erkennen</w:t>
      </w:r>
      <w:r>
        <w:t>,</w:t>
      </w:r>
      <w:r w:rsidR="00607FFC">
        <w:t xml:space="preserve"> was darauf hindeutet, dass</w:t>
      </w:r>
      <w:r>
        <w:t xml:space="preserve"> die </w:t>
      </w:r>
      <w:r w:rsidR="00607FFC">
        <w:t>fluoreszenzmarkierten PLGA Nanopartike</w:t>
      </w:r>
      <w:r w:rsidR="00F6351A">
        <w:t xml:space="preserve">l </w:t>
      </w:r>
      <w:r w:rsidR="004529F4">
        <w:t xml:space="preserve">vollständig </w:t>
      </w:r>
      <w:r w:rsidR="00F6351A">
        <w:t>zu Mikropartikeln agglomeriert</w:t>
      </w:r>
      <w:r w:rsidR="00607FFC">
        <w:t xml:space="preserve"> sind. Dunklere Bereiche der Mikropartikel lassen darauf schließen, dass sie nicht ausschließlich aus agglomerierten PLGA Partikeln bestehen</w:t>
      </w:r>
      <w:r w:rsidR="00914325">
        <w:t>, sondern</w:t>
      </w:r>
      <w:r w:rsidR="005E26E0">
        <w:t xml:space="preserve"> dass diese vielmehr</w:t>
      </w:r>
      <w:r w:rsidR="00914325">
        <w:t xml:space="preserve"> in eine Art Matrix eingebettet wurden</w:t>
      </w:r>
      <w:r w:rsidR="00607FFC">
        <w:t>. In der Aufnahme</w:t>
      </w:r>
      <w:r w:rsidR="00903FD7">
        <w:t xml:space="preserve"> der in PBS Puffer mit einem pH-</w:t>
      </w:r>
      <w:r w:rsidR="00607FFC">
        <w:t xml:space="preserve">Wert von 6,8 dispergierten Probe sind keine </w:t>
      </w:r>
      <w:r w:rsidR="00914325">
        <w:t xml:space="preserve">derartigen größeren </w:t>
      </w:r>
      <w:r w:rsidR="00607FFC">
        <w:t>Agglomerate von fluoreszierenden Partikeln zu erkennen</w:t>
      </w:r>
      <w:r w:rsidR="00914325">
        <w:t xml:space="preserve"> (</w:t>
      </w:r>
      <w:r w:rsidR="00D16240">
        <w:fldChar w:fldCharType="begin"/>
      </w:r>
      <w:r w:rsidR="00914325">
        <w:instrText xml:space="preserve"> REF _Ref275557636 \h </w:instrText>
      </w:r>
      <w:r w:rsidR="00D16240">
        <w:fldChar w:fldCharType="separate"/>
      </w:r>
      <w:r w:rsidR="00711AB8" w:rsidRPr="0012384C">
        <w:t xml:space="preserve">Abbildung </w:t>
      </w:r>
      <w:r w:rsidR="00711AB8">
        <w:rPr>
          <w:noProof/>
        </w:rPr>
        <w:t>28</w:t>
      </w:r>
      <w:r w:rsidR="00D16240">
        <w:fldChar w:fldCharType="end"/>
      </w:r>
      <w:r w:rsidR="00914325">
        <w:t>b)</w:t>
      </w:r>
      <w:r w:rsidR="00607FFC">
        <w:t>.</w:t>
      </w:r>
      <w:r w:rsidR="005E26E0">
        <w:t xml:space="preserve"> Es ist</w:t>
      </w:r>
      <w:r w:rsidR="00914325">
        <w:t xml:space="preserve"> jedoch </w:t>
      </w:r>
      <w:r w:rsidR="00903FD7">
        <w:t>eine deutlich höhere</w:t>
      </w:r>
      <w:r w:rsidR="00914325">
        <w:t xml:space="preserve"> Anzahl an we</w:t>
      </w:r>
      <w:r w:rsidR="005E26E0">
        <w:t>sentlich kleineren Partikeln zu erkennen</w:t>
      </w:r>
      <w:r w:rsidR="00914325">
        <w:t>, deren Größe anhand des vorliegenden Maßstabes nicht genauer abgelesen werden kann.</w:t>
      </w:r>
    </w:p>
    <w:p w14:paraId="092B9DAC" w14:textId="77777777" w:rsidR="00914325" w:rsidRDefault="00914325" w:rsidP="0012384C">
      <w:r>
        <w:t>Die Beobachtungen der Fluo</w:t>
      </w:r>
      <w:r w:rsidR="00104942">
        <w:t>reszenzmikroskopie legen den Schluss nahe</w:t>
      </w:r>
      <w:r>
        <w:t>, dass die PLGA Nanopartikel in Mikropartikel aus Eudragit</w:t>
      </w:r>
      <w:r>
        <w:rPr>
          <w:vertAlign w:val="superscript"/>
        </w:rPr>
        <w:sym w:font="Symbol" w:char="F0D2"/>
      </w:r>
      <w:r w:rsidR="00104942">
        <w:t xml:space="preserve"> L eingebettet wurden. I</w:t>
      </w:r>
      <w:r>
        <w:t>n 0,1 molarer Salzsä</w:t>
      </w:r>
      <w:r w:rsidR="00F97A0D">
        <w:t xml:space="preserve">ure </w:t>
      </w:r>
      <w:r w:rsidR="005E26E0">
        <w:t>waren</w:t>
      </w:r>
      <w:r w:rsidR="00104942">
        <w:t xml:space="preserve"> die Mikropartikel stabil</w:t>
      </w:r>
      <w:r w:rsidR="00F97A0D">
        <w:t>,</w:t>
      </w:r>
      <w:r w:rsidR="005E26E0">
        <w:t xml:space="preserve"> lösten</w:t>
      </w:r>
      <w:r w:rsidR="00F97A0D">
        <w:t xml:space="preserve"> sich jedoch bei einem gepu</w:t>
      </w:r>
      <w:r w:rsidR="00903FD7">
        <w:t>fferten pH-</w:t>
      </w:r>
      <w:r w:rsidR="00104942">
        <w:t>Wert von 6,8 auf</w:t>
      </w:r>
      <w:r w:rsidR="00F97A0D">
        <w:t xml:space="preserve"> und </w:t>
      </w:r>
      <w:r w:rsidR="005E26E0">
        <w:t>setzten</w:t>
      </w:r>
      <w:r w:rsidR="00104942">
        <w:t xml:space="preserve"> </w:t>
      </w:r>
      <w:r w:rsidR="00F97A0D">
        <w:t xml:space="preserve">die fluoreszierenden </w:t>
      </w:r>
      <w:r w:rsidR="00104942">
        <w:t>PLGA Nanopartikel frei</w:t>
      </w:r>
      <w:r w:rsidR="00F97A0D">
        <w:t>.</w:t>
      </w:r>
      <w:r w:rsidR="00104942">
        <w:t xml:space="preserve"> </w:t>
      </w:r>
      <w:r w:rsidR="00104942" w:rsidRPr="00104942">
        <w:t>Aus der Überlagerung mit lic</w:t>
      </w:r>
      <w:r w:rsidR="005E26E0">
        <w:t>htmikroskopischen Aufnahmen ging</w:t>
      </w:r>
      <w:r w:rsidR="00104942" w:rsidRPr="00104942">
        <w:t xml:space="preserve"> hervor, dass sich die f</w:t>
      </w:r>
      <w:r w:rsidR="00104942">
        <w:t>luoreszierenden Nanopartikel vollständig</w:t>
      </w:r>
      <w:r w:rsidR="00104942" w:rsidRPr="00104942">
        <w:t xml:space="preserve"> inne</w:t>
      </w:r>
      <w:r w:rsidR="00925A9B">
        <w:t>rhalb der Mikropartikel befa</w:t>
      </w:r>
      <w:r w:rsidR="005E26E0">
        <w:t>nden</w:t>
      </w:r>
      <w:r w:rsidR="00104942" w:rsidRPr="00104942">
        <w:t>. PLGA und Eudragit</w:t>
      </w:r>
      <w:r w:rsidR="00104942">
        <w:rPr>
          <w:vertAlign w:val="superscript"/>
        </w:rPr>
        <w:sym w:font="Symbol" w:char="F0D2"/>
      </w:r>
      <w:r w:rsidR="001032DA">
        <w:t xml:space="preserve"> waren</w:t>
      </w:r>
      <w:r w:rsidR="00104942" w:rsidRPr="00104942">
        <w:t xml:space="preserve"> demnach kolokalisiert</w:t>
      </w:r>
      <w:r w:rsidR="00104942">
        <w:t xml:space="preserve"> und die PLGA Nanopartikel wurden vollständig in Eugragit</w:t>
      </w:r>
      <w:r w:rsidR="00104942">
        <w:rPr>
          <w:vertAlign w:val="superscript"/>
        </w:rPr>
        <w:sym w:font="Symbol" w:char="F0D2"/>
      </w:r>
      <w:r w:rsidR="00104942">
        <w:t xml:space="preserve"> Mikropartikel eingekapselt</w:t>
      </w:r>
      <w:r w:rsidR="00104942" w:rsidRPr="00104942">
        <w:t>.</w:t>
      </w:r>
      <w:r w:rsidR="006B4550">
        <w:t xml:space="preserve"> Die Überlagerung mit der lichtmikroskopischen Aufnahme wurde lediglich unter dem Mikroskop betrachtet. Hiervon existieren keine Aufnahmen.</w:t>
      </w:r>
    </w:p>
    <w:p w14:paraId="694C9098" w14:textId="77777777" w:rsidR="00F97A0D" w:rsidRDefault="005E26E0" w:rsidP="0012384C">
      <w:r>
        <w:t>Die pH-</w:t>
      </w:r>
      <w:r w:rsidR="00AE5FE0">
        <w:t>kontrollierte</w:t>
      </w:r>
      <w:r w:rsidR="00F97A0D">
        <w:t xml:space="preserve"> Freisetzung der PLGA Nanopartikel aus den magensaftresistenten Mikroparti</w:t>
      </w:r>
      <w:r w:rsidR="00835A90">
        <w:t>keln wurde</w:t>
      </w:r>
      <w:r w:rsidR="00104942">
        <w:t xml:space="preserve"> außerdem</w:t>
      </w:r>
      <w:r w:rsidR="00835A90">
        <w:t xml:space="preserve"> mittels DLS Messung der Partikelgrößenverteilung</w:t>
      </w:r>
      <w:r w:rsidR="00F97A0D">
        <w:t xml:space="preserve"> untersucht.</w:t>
      </w:r>
      <w:r w:rsidR="00835A90">
        <w:t xml:space="preserve"> Ein Teil der PLGA Partikelsuspension</w:t>
      </w:r>
      <w:r w:rsidR="00F97A0D">
        <w:t xml:space="preserve"> </w:t>
      </w:r>
      <w:r w:rsidR="00835A90">
        <w:t>wurde ohne Eudragit</w:t>
      </w:r>
      <w:r w:rsidR="00835A90">
        <w:rPr>
          <w:vertAlign w:val="superscript"/>
        </w:rPr>
        <w:sym w:font="Symbol" w:char="F0D2"/>
      </w:r>
      <w:r w:rsidR="00835A90">
        <w:t xml:space="preserve"> gefriergetrocknet, ein weiterer Teil der gleichen Suspension wurde wie oben beschrieben mit Eudragit</w:t>
      </w:r>
      <w:r w:rsidR="00835A90" w:rsidRPr="00835A90">
        <w:rPr>
          <w:vertAlign w:val="superscript"/>
        </w:rPr>
        <w:sym w:font="Symbol" w:char="F0D2"/>
      </w:r>
      <w:r w:rsidR="00835A90">
        <w:t xml:space="preserve"> L 30 D-55 sprühgetrocknet. Die Mikropartikel mit Eudragit</w:t>
      </w:r>
      <w:r w:rsidR="00835A90">
        <w:rPr>
          <w:vertAlign w:val="superscript"/>
        </w:rPr>
        <w:sym w:font="Symbol" w:char="F0D2"/>
      </w:r>
      <w:r w:rsidR="00835A90">
        <w:t xml:space="preserve"> wurden in 0,1 molarer Salzsäure und in PBS Puffer mit einem pH Wert von 6,8 dispergiert</w:t>
      </w:r>
      <w:r w:rsidR="00104942">
        <w:t xml:space="preserve"> und analysiert</w:t>
      </w:r>
      <w:r w:rsidR="00835A90">
        <w:t xml:space="preserve">. </w:t>
      </w:r>
      <w:r w:rsidR="00F97A0D">
        <w:t>Die Ergebnisse sind in</w:t>
      </w:r>
      <w:r w:rsidR="00AE5FE0">
        <w:t xml:space="preserve"> </w:t>
      </w:r>
      <w:r w:rsidR="00D16240">
        <w:fldChar w:fldCharType="begin"/>
      </w:r>
      <w:r w:rsidR="00AE5FE0">
        <w:instrText xml:space="preserve"> REF _Ref275560178 \h </w:instrText>
      </w:r>
      <w:r w:rsidR="00D16240">
        <w:fldChar w:fldCharType="separate"/>
      </w:r>
      <w:r w:rsidR="00711AB8" w:rsidRPr="00AE5FE0">
        <w:t xml:space="preserve">Abbildung </w:t>
      </w:r>
      <w:r w:rsidR="00711AB8">
        <w:rPr>
          <w:noProof/>
        </w:rPr>
        <w:t>29</w:t>
      </w:r>
      <w:r w:rsidR="00D16240">
        <w:fldChar w:fldCharType="end"/>
      </w:r>
      <w:r w:rsidR="00AE5FE0">
        <w:t xml:space="preserve"> dargestellt.</w:t>
      </w:r>
    </w:p>
    <w:p w14:paraId="39541181" w14:textId="77777777" w:rsidR="00F97A0D" w:rsidRDefault="00F97A0D" w:rsidP="00AE5FE0">
      <w:pPr>
        <w:spacing w:after="0"/>
      </w:pPr>
    </w:p>
    <w:p w14:paraId="6930461F" w14:textId="77777777" w:rsidR="00F97A0D" w:rsidRDefault="00F97A0D" w:rsidP="00AE5FE0">
      <w:pPr>
        <w:spacing w:after="120"/>
        <w:jc w:val="center"/>
      </w:pPr>
      <w:r>
        <w:rPr>
          <w:noProof/>
          <w:lang w:eastAsia="de-DE"/>
        </w:rPr>
        <w:lastRenderedPageBreak/>
        <w:drawing>
          <wp:inline distT="0" distB="0" distL="0" distR="0" wp14:anchorId="6CC3D637" wp14:editId="2FFDE0C3">
            <wp:extent cx="5485765" cy="3247146"/>
            <wp:effectExtent l="0" t="0" r="635" b="4445"/>
            <wp:docPr id="21522" name="Diagramm 215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BFEFF4E" w14:textId="77777777" w:rsidR="00AE5FE0" w:rsidRDefault="00AE5FE0" w:rsidP="00CD706C">
      <w:pPr>
        <w:pStyle w:val="Beschriftung"/>
        <w:spacing w:after="120"/>
        <w:ind w:firstLine="0"/>
        <w:rPr>
          <w:b w:val="0"/>
        </w:rPr>
      </w:pPr>
      <w:bookmarkStart w:id="241" w:name="_Ref275560178"/>
      <w:r w:rsidRPr="00AE5FE0">
        <w:t xml:space="preserve">Abbildung </w:t>
      </w:r>
      <w:fldSimple w:instr=" SEQ Abbildung \* ARABIC ">
        <w:r w:rsidR="00711AB8">
          <w:rPr>
            <w:noProof/>
          </w:rPr>
          <w:t>29</w:t>
        </w:r>
      </w:fldSimple>
      <w:bookmarkEnd w:id="241"/>
      <w:r>
        <w:t xml:space="preserve"> </w:t>
      </w:r>
      <w:r w:rsidR="00685E07">
        <w:rPr>
          <w:b w:val="0"/>
        </w:rPr>
        <w:t>DLS Messung der</w:t>
      </w:r>
      <w:r w:rsidR="00907401">
        <w:rPr>
          <w:b w:val="0"/>
        </w:rPr>
        <w:t xml:space="preserve"> Partikelgrößenverteilung</w:t>
      </w:r>
      <w:r w:rsidR="00720A22">
        <w:rPr>
          <w:b w:val="0"/>
        </w:rPr>
        <w:t xml:space="preserve"> zum Nachweis der pH-</w:t>
      </w:r>
      <w:r w:rsidR="00835A90">
        <w:rPr>
          <w:b w:val="0"/>
        </w:rPr>
        <w:t xml:space="preserve">kontrollierten </w:t>
      </w:r>
      <w:r w:rsidR="00C94A09">
        <w:rPr>
          <w:b w:val="0"/>
        </w:rPr>
        <w:t>Freisetzung von PLGA Partikeln</w:t>
      </w:r>
      <w:r w:rsidR="00907401">
        <w:rPr>
          <w:b w:val="0"/>
        </w:rPr>
        <w:t xml:space="preserve"> aus Eudragit</w:t>
      </w:r>
      <w:r w:rsidR="007E7407" w:rsidRPr="00902C2E">
        <w:rPr>
          <w:vertAlign w:val="superscript"/>
        </w:rPr>
        <w:t>®</w:t>
      </w:r>
      <w:r w:rsidR="00907401">
        <w:rPr>
          <w:b w:val="0"/>
        </w:rPr>
        <w:t xml:space="preserve"> L Mikropartikeln</w:t>
      </w:r>
      <w:r w:rsidR="00C94A09">
        <w:rPr>
          <w:b w:val="0"/>
        </w:rPr>
        <w:t xml:space="preserve">; rote Kurve: </w:t>
      </w:r>
      <w:r w:rsidR="00835A90">
        <w:rPr>
          <w:b w:val="0"/>
        </w:rPr>
        <w:t>gefriergetrocknete und in Wasser redispergierte Nanopartikel aus Resomer</w:t>
      </w:r>
      <w:r w:rsidR="00835A90">
        <w:rPr>
          <w:b w:val="0"/>
          <w:vertAlign w:val="superscript"/>
        </w:rPr>
        <w:sym w:font="Symbol" w:char="F0D2"/>
      </w:r>
      <w:r w:rsidR="00C94A09">
        <w:rPr>
          <w:b w:val="0"/>
        </w:rPr>
        <w:t> RG 503 H;</w:t>
      </w:r>
      <w:r w:rsidR="00835A90">
        <w:rPr>
          <w:b w:val="0"/>
        </w:rPr>
        <w:t xml:space="preserve"> schwarze Kurve: </w:t>
      </w:r>
      <w:r w:rsidR="00C94A09">
        <w:rPr>
          <w:b w:val="0"/>
        </w:rPr>
        <w:t xml:space="preserve">mit PLGA Partikeln beladene </w:t>
      </w:r>
      <w:r w:rsidR="00835A90">
        <w:rPr>
          <w:b w:val="0"/>
        </w:rPr>
        <w:t>Eudragit</w:t>
      </w:r>
      <w:r w:rsidR="00835A90">
        <w:rPr>
          <w:b w:val="0"/>
          <w:vertAlign w:val="superscript"/>
        </w:rPr>
        <w:sym w:font="Symbol" w:char="F0D2"/>
      </w:r>
      <w:r w:rsidR="00835A90">
        <w:rPr>
          <w:b w:val="0"/>
        </w:rPr>
        <w:t xml:space="preserve"> L Mikr</w:t>
      </w:r>
      <w:r w:rsidR="00C94A09">
        <w:rPr>
          <w:b w:val="0"/>
        </w:rPr>
        <w:t>opartikel</w:t>
      </w:r>
      <w:r w:rsidR="00835A90">
        <w:rPr>
          <w:b w:val="0"/>
        </w:rPr>
        <w:t xml:space="preserve"> dispe</w:t>
      </w:r>
      <w:r w:rsidR="00C94A09">
        <w:rPr>
          <w:b w:val="0"/>
        </w:rPr>
        <w:t>rgiert in 0,1 molarer Salzsäure;</w:t>
      </w:r>
      <w:r w:rsidR="00835A90">
        <w:rPr>
          <w:b w:val="0"/>
        </w:rPr>
        <w:t xml:space="preserve"> blaue Kurve: </w:t>
      </w:r>
      <w:r w:rsidR="00C94A09">
        <w:rPr>
          <w:b w:val="0"/>
        </w:rPr>
        <w:t xml:space="preserve">mit PLGA Partikeln beladene </w:t>
      </w:r>
      <w:r w:rsidR="00835A90">
        <w:rPr>
          <w:b w:val="0"/>
        </w:rPr>
        <w:t>Eudragit</w:t>
      </w:r>
      <w:r w:rsidR="007E7407" w:rsidRPr="00902C2E">
        <w:rPr>
          <w:vertAlign w:val="superscript"/>
        </w:rPr>
        <w:t>®</w:t>
      </w:r>
      <w:r w:rsidR="00835A90">
        <w:rPr>
          <w:b w:val="0"/>
        </w:rPr>
        <w:t xml:space="preserve"> L Mikr</w:t>
      </w:r>
      <w:r w:rsidR="00C94A09">
        <w:rPr>
          <w:b w:val="0"/>
        </w:rPr>
        <w:t>opartikel</w:t>
      </w:r>
      <w:r w:rsidR="00835A90">
        <w:rPr>
          <w:b w:val="0"/>
        </w:rPr>
        <w:t xml:space="preserve"> dispergiert in PBS Puffer pH 6,8</w:t>
      </w:r>
      <w:r w:rsidR="00720A22">
        <w:rPr>
          <w:b w:val="0"/>
        </w:rPr>
        <w:t>.</w:t>
      </w:r>
    </w:p>
    <w:p w14:paraId="009550B2" w14:textId="77777777" w:rsidR="001C38F8" w:rsidRPr="001C38F8" w:rsidRDefault="001C38F8" w:rsidP="001C38F8"/>
    <w:p w14:paraId="7B456BCA" w14:textId="77777777" w:rsidR="00903FD7" w:rsidRPr="00903FD7" w:rsidRDefault="00903FD7" w:rsidP="00903FD7">
      <w:pPr>
        <w:spacing w:after="0"/>
      </w:pPr>
      <w:r w:rsidRPr="00903FD7">
        <w:t>Als Ergebnis der</w:t>
      </w:r>
      <w:r>
        <w:t xml:space="preserve"> DLS Messung, die in </w:t>
      </w:r>
      <w:r w:rsidR="00D16240">
        <w:fldChar w:fldCharType="begin"/>
      </w:r>
      <w:r>
        <w:instrText xml:space="preserve"> REF _Ref275560178 \h </w:instrText>
      </w:r>
      <w:r w:rsidR="00D16240">
        <w:fldChar w:fldCharType="separate"/>
      </w:r>
      <w:r w:rsidR="00711AB8" w:rsidRPr="00AE5FE0">
        <w:t xml:space="preserve">Abbildung </w:t>
      </w:r>
      <w:r w:rsidR="00711AB8">
        <w:rPr>
          <w:noProof/>
        </w:rPr>
        <w:t>29</w:t>
      </w:r>
      <w:r w:rsidR="00D16240">
        <w:fldChar w:fldCharType="end"/>
      </w:r>
      <w:r w:rsidRPr="00903FD7">
        <w:t xml:space="preserve"> dargestellt ist, geht hervor, dass die verwendeten PLGA Nanopartikel erfolgreich und vollständig in </w:t>
      </w:r>
      <w:r>
        <w:t>Eudragit</w:t>
      </w:r>
      <w:r w:rsidRPr="00903FD7">
        <w:rPr>
          <w:vertAlign w:val="superscript"/>
        </w:rPr>
        <w:sym w:font="Symbol" w:char="F0D2"/>
      </w:r>
      <w:r>
        <w:t xml:space="preserve"> </w:t>
      </w:r>
      <w:r w:rsidRPr="00903FD7">
        <w:t>Mikropartikel mit einer Größe zwischen 1,2 µm und 2,0 µm eingeka</w:t>
      </w:r>
      <w:r w:rsidR="005E26E0">
        <w:t>pselt wurden</w:t>
      </w:r>
      <w:r w:rsidRPr="00903FD7">
        <w:t>.</w:t>
      </w:r>
    </w:p>
    <w:p w14:paraId="31452E41" w14:textId="77777777" w:rsidR="00AE5FE0" w:rsidRDefault="005E26E0" w:rsidP="00903FD7">
      <w:r>
        <w:t>In</w:t>
      </w:r>
      <w:r w:rsidR="00903FD7">
        <w:t xml:space="preserve"> Phosphatpuffer mit einem pH-</w:t>
      </w:r>
      <w:r w:rsidR="00903FD7" w:rsidRPr="00903FD7">
        <w:t>Wert von 6,8 wurden die Nanopartikel in unveränderter Form wieder aus den Eudragit</w:t>
      </w:r>
      <w:r w:rsidR="00903FD7">
        <w:rPr>
          <w:vertAlign w:val="superscript"/>
        </w:rPr>
        <w:sym w:font="Symbol" w:char="F0D2"/>
      </w:r>
      <w:r w:rsidR="00801A32">
        <w:t xml:space="preserve"> L Mikropartikeln freigesetzt (blaue und rote Kurve in </w:t>
      </w:r>
      <w:r w:rsidR="00D16240">
        <w:fldChar w:fldCharType="begin"/>
      </w:r>
      <w:r w:rsidR="00801A32">
        <w:instrText xml:space="preserve"> REF _Ref275560178 \h </w:instrText>
      </w:r>
      <w:r w:rsidR="00D16240">
        <w:fldChar w:fldCharType="separate"/>
      </w:r>
      <w:r w:rsidR="00711AB8" w:rsidRPr="00AE5FE0">
        <w:t xml:space="preserve">Abbildung </w:t>
      </w:r>
      <w:r w:rsidR="00711AB8">
        <w:rPr>
          <w:noProof/>
        </w:rPr>
        <w:t>29</w:t>
      </w:r>
      <w:r w:rsidR="00D16240">
        <w:fldChar w:fldCharType="end"/>
      </w:r>
      <w:r w:rsidR="00801A32">
        <w:t xml:space="preserve"> sind nahezu deckungsgleich).</w:t>
      </w:r>
      <w:r w:rsidR="00903FD7" w:rsidRPr="00903FD7">
        <w:t xml:space="preserve"> Die Eudragit</w:t>
      </w:r>
      <w:r w:rsidR="007E7407" w:rsidRPr="00902C2E">
        <w:rPr>
          <w:vertAlign w:val="superscript"/>
        </w:rPr>
        <w:t>®</w:t>
      </w:r>
      <w:r w:rsidR="00903FD7" w:rsidRPr="00903FD7">
        <w:t xml:space="preserve"> Matrix lö</w:t>
      </w:r>
      <w:r w:rsidR="00801A32">
        <w:t>st sich bei einem pH-Wert von 6,8</w:t>
      </w:r>
      <w:r w:rsidR="00903FD7" w:rsidRPr="00903FD7">
        <w:t xml:space="preserve"> aufgrund einer verstärkten positiven Teilladung nach Deprotonierung von Carboxyl-Seitengruppen der Methacrylsäure-Reste vollständig im Puffer auf.</w:t>
      </w:r>
      <w:r w:rsidR="005D09C6" w:rsidRPr="005D09C6">
        <w:t xml:space="preserve"> </w:t>
      </w:r>
      <w:r w:rsidR="005D09C6">
        <w:t xml:space="preserve">Da sich die Mikropartikel </w:t>
      </w:r>
      <w:r>
        <w:t xml:space="preserve">im PBS Puffer </w:t>
      </w:r>
      <w:r w:rsidR="005D09C6">
        <w:t>sehr schnell auflösten, wurde die Messung bere</w:t>
      </w:r>
      <w:r w:rsidR="006B5919">
        <w:t>its nach 5 bis 10 </w:t>
      </w:r>
      <w:r w:rsidR="005D09C6">
        <w:t>min durchgeführt.</w:t>
      </w:r>
    </w:p>
    <w:p w14:paraId="460C3B05" w14:textId="77777777" w:rsidR="00903FD7" w:rsidRDefault="00720A22" w:rsidP="00903FD7">
      <w:pPr>
        <w:pStyle w:val="berschrift4"/>
      </w:pPr>
      <w:bookmarkStart w:id="242" w:name="_Toc294380256"/>
      <w:r>
        <w:t>Charakterisierung der PEA-</w:t>
      </w:r>
      <w:r w:rsidR="00903FD7">
        <w:t>haltigen Eudragit</w:t>
      </w:r>
      <w:r w:rsidR="00903FD7">
        <w:rPr>
          <w:vertAlign w:val="superscript"/>
        </w:rPr>
        <w:sym w:font="Symbol" w:char="F0D2"/>
      </w:r>
      <w:r w:rsidR="00903FD7">
        <w:t xml:space="preserve"> Mikropartikel</w:t>
      </w:r>
      <w:bookmarkEnd w:id="242"/>
    </w:p>
    <w:p w14:paraId="5E410CA0" w14:textId="77777777" w:rsidR="001539E5" w:rsidRDefault="009408C4" w:rsidP="001539E5">
      <w:r>
        <w:t>Die pH-abhängige Freisetzung der in Eudragit</w:t>
      </w:r>
      <w:r w:rsidR="007E7407" w:rsidRPr="00902C2E">
        <w:rPr>
          <w:vertAlign w:val="superscript"/>
        </w:rPr>
        <w:t>®</w:t>
      </w:r>
      <w:r>
        <w:t xml:space="preserve"> eingekapselten PEA Cystein Nanopartikel wurde ebenfalls per DLS Messung der Partikelgrößenverteilung analysiert. Gemessen wurden gefriergetrocknete und in Wasser redispergierte Partikel ohne Eudragit</w:t>
      </w:r>
      <w:r>
        <w:rPr>
          <w:vertAlign w:val="superscript"/>
        </w:rPr>
        <w:sym w:font="Symbol" w:char="F0D2"/>
      </w:r>
      <w:r>
        <w:t xml:space="preserve"> sowie eine Probe der magensaftresistenten Mikropartikel, die zum einen in 0,1 molarer Salzsäure und zum anderen in PBS Puffer mit einem pH-Wert von 6,8 dispergiert wurde.</w:t>
      </w:r>
      <w:r w:rsidR="00D75A49">
        <w:t xml:space="preserve"> Die Ergebnisse sind in </w:t>
      </w:r>
      <w:r w:rsidR="00D16240">
        <w:fldChar w:fldCharType="begin"/>
      </w:r>
      <w:r w:rsidR="004F40CC">
        <w:instrText xml:space="preserve"> REF _Ref275634049 \h </w:instrText>
      </w:r>
      <w:r w:rsidR="00D16240">
        <w:fldChar w:fldCharType="separate"/>
      </w:r>
      <w:r w:rsidR="00711AB8" w:rsidRPr="00D75A49">
        <w:t xml:space="preserve">Abbildung </w:t>
      </w:r>
      <w:r w:rsidR="00711AB8">
        <w:rPr>
          <w:noProof/>
        </w:rPr>
        <w:t>30</w:t>
      </w:r>
      <w:r w:rsidR="00D16240">
        <w:fldChar w:fldCharType="end"/>
      </w:r>
      <w:r w:rsidR="004F40CC">
        <w:t xml:space="preserve"> dargestellt.</w:t>
      </w:r>
    </w:p>
    <w:p w14:paraId="008E3FDA" w14:textId="77777777" w:rsidR="00CD706C" w:rsidRDefault="00CD706C" w:rsidP="00CD706C">
      <w:pPr>
        <w:spacing w:after="0"/>
      </w:pPr>
    </w:p>
    <w:p w14:paraId="6C344CFC" w14:textId="77777777" w:rsidR="009408C4" w:rsidRDefault="009408C4" w:rsidP="004F40CC">
      <w:pPr>
        <w:spacing w:after="120"/>
        <w:jc w:val="center"/>
      </w:pPr>
      <w:r>
        <w:rPr>
          <w:noProof/>
          <w:lang w:eastAsia="de-DE"/>
        </w:rPr>
        <w:drawing>
          <wp:inline distT="0" distB="0" distL="0" distR="0" wp14:anchorId="39A45828" wp14:editId="70D6BCA9">
            <wp:extent cx="5485863" cy="3222527"/>
            <wp:effectExtent l="0" t="0" r="635" b="3810"/>
            <wp:docPr id="21507" name="Diagramm 2150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D7A41A1" w14:textId="77777777" w:rsidR="00D75A49" w:rsidRDefault="00D75A49" w:rsidP="00CD706C">
      <w:pPr>
        <w:pStyle w:val="Beschriftung"/>
        <w:spacing w:after="120"/>
        <w:ind w:firstLine="0"/>
        <w:rPr>
          <w:b w:val="0"/>
        </w:rPr>
      </w:pPr>
      <w:bookmarkStart w:id="243" w:name="_Ref275634049"/>
      <w:r w:rsidRPr="00D75A49">
        <w:t xml:space="preserve">Abbildung </w:t>
      </w:r>
      <w:fldSimple w:instr=" SEQ Abbildung \* ARABIC ">
        <w:r w:rsidR="00711AB8">
          <w:rPr>
            <w:noProof/>
          </w:rPr>
          <w:t>30</w:t>
        </w:r>
      </w:fldSimple>
      <w:bookmarkEnd w:id="243"/>
      <w:r>
        <w:t xml:space="preserve"> </w:t>
      </w:r>
      <w:r>
        <w:rPr>
          <w:b w:val="0"/>
        </w:rPr>
        <w:t>DLS Messung der Partikelgröße</w:t>
      </w:r>
      <w:r w:rsidR="00720A22">
        <w:rPr>
          <w:b w:val="0"/>
        </w:rPr>
        <w:t>nverteilung zum Nachweis der pH-</w:t>
      </w:r>
      <w:r>
        <w:rPr>
          <w:b w:val="0"/>
        </w:rPr>
        <w:t>kontrollierten Freisetzung von Cystein PEA Partikeln aus Eudragit</w:t>
      </w:r>
      <w:r w:rsidR="007E7407" w:rsidRPr="00902C2E">
        <w:rPr>
          <w:vertAlign w:val="superscript"/>
        </w:rPr>
        <w:t>®</w:t>
      </w:r>
      <w:r>
        <w:rPr>
          <w:b w:val="0"/>
        </w:rPr>
        <w:t xml:space="preserve"> L Mikropartikeln; rote Kurve: gefriergetrocknete und in Wasser redispergierte Nanopartikel aus Cystein PEA; schwarze Kurve: mit Cystein PEA Partikeln beladene Eudragit</w:t>
      </w:r>
      <w:r>
        <w:rPr>
          <w:b w:val="0"/>
          <w:vertAlign w:val="superscript"/>
        </w:rPr>
        <w:sym w:font="Symbol" w:char="F0D2"/>
      </w:r>
      <w:r>
        <w:rPr>
          <w:b w:val="0"/>
        </w:rPr>
        <w:t xml:space="preserve"> L Mikropartikel dispergiert in 0,1 molarer Salzsäure; blaue Kurve: mit Cystein PEA Partikeln beladene Eudragit</w:t>
      </w:r>
      <w:r w:rsidR="007E7407" w:rsidRPr="00902C2E">
        <w:rPr>
          <w:vertAlign w:val="superscript"/>
        </w:rPr>
        <w:t>®</w:t>
      </w:r>
      <w:r>
        <w:rPr>
          <w:b w:val="0"/>
        </w:rPr>
        <w:t xml:space="preserve"> L Mikropartikel dispergiert in PBS Puffer pH 6,8</w:t>
      </w:r>
      <w:r w:rsidR="00720A22">
        <w:rPr>
          <w:b w:val="0"/>
        </w:rPr>
        <w:t>.</w:t>
      </w:r>
    </w:p>
    <w:p w14:paraId="46349A06" w14:textId="77777777" w:rsidR="004F40CC" w:rsidRDefault="004F40CC" w:rsidP="004F40CC">
      <w:pPr>
        <w:spacing w:after="120"/>
      </w:pPr>
    </w:p>
    <w:p w14:paraId="6B05BE88" w14:textId="77777777" w:rsidR="006E0BC3" w:rsidRDefault="004F40CC" w:rsidP="004F40CC">
      <w:r>
        <w:t xml:space="preserve">Aus den DLS Messungen, deren Ergebnisse in </w:t>
      </w:r>
      <w:r w:rsidR="00D16240">
        <w:fldChar w:fldCharType="begin"/>
      </w:r>
      <w:r>
        <w:instrText xml:space="preserve"> REF _Ref275634049 \h </w:instrText>
      </w:r>
      <w:r w:rsidR="00D16240">
        <w:fldChar w:fldCharType="separate"/>
      </w:r>
      <w:r w:rsidR="00711AB8" w:rsidRPr="00D75A49">
        <w:t xml:space="preserve">Abbildung </w:t>
      </w:r>
      <w:r w:rsidR="00711AB8">
        <w:rPr>
          <w:noProof/>
        </w:rPr>
        <w:t>30</w:t>
      </w:r>
      <w:r w:rsidR="00D16240">
        <w:fldChar w:fldCharType="end"/>
      </w:r>
      <w:r>
        <w:t xml:space="preserve"> dargestellt sind, geht hervor, </w:t>
      </w:r>
      <w:r w:rsidR="00F1645B">
        <w:t>dass auch die Nanopartikel aus PEA Cystein vollständig in Eudragit</w:t>
      </w:r>
      <w:r w:rsidR="00F1645B">
        <w:rPr>
          <w:vertAlign w:val="superscript"/>
        </w:rPr>
        <w:sym w:font="Symbol" w:char="F0D2"/>
      </w:r>
      <w:r w:rsidR="00F1645B">
        <w:rPr>
          <w:vertAlign w:val="superscript"/>
        </w:rPr>
        <w:t xml:space="preserve"> </w:t>
      </w:r>
      <w:r w:rsidR="00F1645B" w:rsidRPr="00F1645B">
        <w:t xml:space="preserve">Mikropartikel </w:t>
      </w:r>
      <w:r w:rsidR="00F1645B">
        <w:t>verkapselt und in Abhängigkeit des pH-Wertes wieder nahezu unverändert freigesetzt werden konnten. Nach der Freisetzung der PEA Partikel in PBS Puffer mit einem pH-Wert von 6,8 war die Partikelgrößenverteilung gegenüber der ohne Eudragit</w:t>
      </w:r>
      <w:r w:rsidR="00F1645B">
        <w:rPr>
          <w:vertAlign w:val="superscript"/>
        </w:rPr>
        <w:sym w:font="Symbol" w:char="F0D2"/>
      </w:r>
      <w:r w:rsidR="00F1645B">
        <w:t xml:space="preserve"> getrockneten PEA Partikel (rote Kurve) leicht zu größeren Werten hin verschoben (blaue Kurve). Eine mögliche Erklärung hierfür ist, dass vor allem Partikel aus der kleineren Fraktion nicht vollständig aus den Mikropartikeln redispergiert werden konnten und Agglomerate bildeten. Die Partikelgrößenverteilungen überschneiden sich jedoch weitgehend.</w:t>
      </w:r>
      <w:r w:rsidR="006B4550">
        <w:t xml:space="preserve"> Die Abweichung der mittleren Partikeldurchmesser voneinander beträgt </w:t>
      </w:r>
      <w:r w:rsidR="006E0BC3">
        <w:t>72 nm.</w:t>
      </w:r>
      <w:r w:rsidR="00801A32">
        <w:t xml:space="preserve"> </w:t>
      </w:r>
    </w:p>
    <w:p w14:paraId="566B45E4" w14:textId="77777777" w:rsidR="004F40CC" w:rsidRDefault="00801A32" w:rsidP="004F40CC">
      <w:r>
        <w:t>In 0,1 molarer Salzsäure waren die Eudragit</w:t>
      </w:r>
      <w:r w:rsidR="007E7407" w:rsidRPr="00902C2E">
        <w:rPr>
          <w:vertAlign w:val="superscript"/>
        </w:rPr>
        <w:t>®</w:t>
      </w:r>
      <w:r>
        <w:t xml:space="preserve"> Mikropartikel </w:t>
      </w:r>
      <w:r w:rsidR="00101ED5">
        <w:t>sehr leicht dispergierbar</w:t>
      </w:r>
      <w:r>
        <w:t xml:space="preserve"> und setzten keine Nanopartikel frei. Sie hatten einen mittleren Partikeldurchmesser zwischen 1</w:t>
      </w:r>
      <w:r w:rsidR="005E26E0">
        <w:t>.</w:t>
      </w:r>
      <w:r>
        <w:t>800 nm bis zu mehr als 3</w:t>
      </w:r>
      <w:r w:rsidR="005E26E0">
        <w:t>.</w:t>
      </w:r>
      <w:r>
        <w:t>000 nm.</w:t>
      </w:r>
      <w:r w:rsidR="00625DD9">
        <w:t xml:space="preserve"> Die Partikelgrößenmessung mittels DLS Methode gerät hier an ihre Grenzen, Partikel mit einem Durchmesser von mehr als 3</w:t>
      </w:r>
      <w:r w:rsidR="005E26E0">
        <w:t>.</w:t>
      </w:r>
      <w:r w:rsidR="00625DD9">
        <w:t>000 nm können nicht mehr zuverlässig gemessen werden.</w:t>
      </w:r>
    </w:p>
    <w:p w14:paraId="6C65179D" w14:textId="77777777" w:rsidR="00801A32" w:rsidRDefault="002A520F" w:rsidP="002A520F">
      <w:pPr>
        <w:pStyle w:val="berschrift4"/>
      </w:pPr>
      <w:bookmarkStart w:id="244" w:name="_Toc294380257"/>
      <w:r>
        <w:lastRenderedPageBreak/>
        <w:t>In vitro-Freisetzung des Modellwirkstoffes aus PEA haltigen Eudragit</w:t>
      </w:r>
      <w:r>
        <w:rPr>
          <w:vertAlign w:val="superscript"/>
        </w:rPr>
        <w:sym w:font="Symbol" w:char="F0D2"/>
      </w:r>
      <w:r>
        <w:t xml:space="preserve"> Mikropartikeln</w:t>
      </w:r>
      <w:bookmarkEnd w:id="244"/>
    </w:p>
    <w:p w14:paraId="7D47CF6D" w14:textId="77777777" w:rsidR="003449AC" w:rsidRDefault="002A520F" w:rsidP="00F06553">
      <w:r>
        <w:t xml:space="preserve">Im folgenden Abschnitt dieses Kapitels wird die Freisetzung </w:t>
      </w:r>
      <w:r w:rsidR="00C54C38">
        <w:t xml:space="preserve">des Modellpeptides </w:t>
      </w:r>
      <w:r>
        <w:t xml:space="preserve">aus </w:t>
      </w:r>
      <w:r w:rsidR="00C54C38">
        <w:t>Eudragit</w:t>
      </w:r>
      <w:r w:rsidR="00C54C38">
        <w:rPr>
          <w:vertAlign w:val="superscript"/>
        </w:rPr>
        <w:sym w:font="Symbol" w:char="F0D2"/>
      </w:r>
      <w:r w:rsidR="00D21DF8">
        <w:t xml:space="preserve"> Mikropartikeln, die</w:t>
      </w:r>
      <w:r w:rsidR="003E7BCF">
        <w:t xml:space="preserve"> </w:t>
      </w:r>
      <w:r w:rsidR="00821BF8">
        <w:t>Desmopressin-</w:t>
      </w:r>
      <w:r w:rsidR="001539E5">
        <w:t>beladene</w:t>
      </w:r>
      <w:r w:rsidR="00C54C38">
        <w:t xml:space="preserve"> </w:t>
      </w:r>
      <w:r>
        <w:t>Cy</w:t>
      </w:r>
      <w:r w:rsidR="00C54C38">
        <w:t>stein PEA Nanopartikel enthalten,</w:t>
      </w:r>
      <w:r>
        <w:t xml:space="preserve"> beschrieben.</w:t>
      </w:r>
      <w:r w:rsidR="00C54C38">
        <w:t xml:space="preserve"> </w:t>
      </w:r>
      <w:r w:rsidR="004F019A">
        <w:t xml:space="preserve">Der Freisetzungstest wurde analog zu der in Kapitel </w:t>
      </w:r>
      <w:r w:rsidR="00D16240">
        <w:fldChar w:fldCharType="begin"/>
      </w:r>
      <w:r w:rsidR="004F019A">
        <w:instrText xml:space="preserve"> REF _Ref273305455 \n \h </w:instrText>
      </w:r>
      <w:r w:rsidR="00D16240">
        <w:fldChar w:fldCharType="separate"/>
      </w:r>
      <w:r w:rsidR="00711AB8">
        <w:t>4.1.6</w:t>
      </w:r>
      <w:r w:rsidR="00D16240">
        <w:fldChar w:fldCharType="end"/>
      </w:r>
      <w:r w:rsidR="004F019A">
        <w:t xml:space="preserve"> im Abschnitt „</w:t>
      </w:r>
      <w:r w:rsidR="00D16240">
        <w:fldChar w:fldCharType="begin"/>
      </w:r>
      <w:r w:rsidR="004F019A">
        <w:instrText xml:space="preserve"> REF _Ref275638771 \h </w:instrText>
      </w:r>
      <w:r w:rsidR="00D16240">
        <w:fldChar w:fldCharType="separate"/>
      </w:r>
      <w:r w:rsidR="00711AB8">
        <w:t>Untersuchung der Wirkstofffreisetzung</w:t>
      </w:r>
      <w:r w:rsidR="00D16240">
        <w:fldChar w:fldCharType="end"/>
      </w:r>
      <w:r w:rsidR="004F019A">
        <w:t>“</w:t>
      </w:r>
      <w:r w:rsidR="00D21DF8">
        <w:t xml:space="preserve"> beschriebenen Methode</w:t>
      </w:r>
      <w:r w:rsidR="004F019A">
        <w:t xml:space="preserve"> dur</w:t>
      </w:r>
      <w:r w:rsidR="007C03AB">
        <w:t xml:space="preserve">chgeführt. Proben wurden nach 5 min, 30 </w:t>
      </w:r>
      <w:r w:rsidR="004F019A">
        <w:t>min</w:t>
      </w:r>
      <w:r w:rsidR="00D21DF8">
        <w:t>,</w:t>
      </w:r>
      <w:r w:rsidR="007C03AB">
        <w:t xml:space="preserve"> 3h, 5h, 20h und 48</w:t>
      </w:r>
      <w:r w:rsidR="004F019A">
        <w:t>h gezogen. Die Freisetzung aus den Eudragit</w:t>
      </w:r>
      <w:r w:rsidR="004F019A">
        <w:rPr>
          <w:vertAlign w:val="superscript"/>
        </w:rPr>
        <w:sym w:font="Symbol" w:char="F0D2"/>
      </w:r>
      <w:r w:rsidR="00D21DF8">
        <w:t xml:space="preserve"> </w:t>
      </w:r>
      <w:r w:rsidR="004F019A">
        <w:t>Mikropartikeln wu</w:t>
      </w:r>
      <w:r w:rsidR="001539E5">
        <w:t>rde in 0,1 molarer Salzsäure sowie</w:t>
      </w:r>
      <w:r w:rsidR="004F019A">
        <w:t xml:space="preserve"> in PBS Puffer mit eine</w:t>
      </w:r>
      <w:r w:rsidR="003449AC">
        <w:t>m pH-Wert von 6,8 durchgeführt. Für die Freisetzungsuntersuchung aus den Cystein PEA Nanopartikeln ohne Eudragit</w:t>
      </w:r>
      <w:r w:rsidR="003449AC">
        <w:rPr>
          <w:vertAlign w:val="superscript"/>
        </w:rPr>
        <w:sym w:font="Symbol" w:char="F0D2"/>
      </w:r>
      <w:r w:rsidR="003449AC">
        <w:t xml:space="preserve"> wurde ein PBS Puffer</w:t>
      </w:r>
      <w:r w:rsidR="00F06553">
        <w:t xml:space="preserve"> mit einem pH-Wert von</w:t>
      </w:r>
      <w:r w:rsidR="003449AC">
        <w:t xml:space="preserve"> 6,8 verwendet. </w:t>
      </w:r>
    </w:p>
    <w:p w14:paraId="46ED904B" w14:textId="77777777" w:rsidR="002A520F" w:rsidRDefault="00C54C38" w:rsidP="00F06553">
      <w:r>
        <w:t xml:space="preserve">Die Ergebnisse der Freisetzungsuntersuchung sind in </w:t>
      </w:r>
      <w:r w:rsidR="00D16240">
        <w:fldChar w:fldCharType="begin"/>
      </w:r>
      <w:r>
        <w:instrText xml:space="preserve"> REF _Ref275637478 \h </w:instrText>
      </w:r>
      <w:r w:rsidR="00D16240">
        <w:fldChar w:fldCharType="separate"/>
      </w:r>
      <w:r w:rsidR="00711AB8" w:rsidRPr="00C54C38">
        <w:t xml:space="preserve">Abbildung </w:t>
      </w:r>
      <w:r w:rsidR="00711AB8">
        <w:rPr>
          <w:noProof/>
        </w:rPr>
        <w:t>31</w:t>
      </w:r>
      <w:r w:rsidR="00D16240">
        <w:fldChar w:fldCharType="end"/>
      </w:r>
      <w:r>
        <w:t xml:space="preserve"> dargestellt.</w:t>
      </w:r>
    </w:p>
    <w:p w14:paraId="22C5654A" w14:textId="77777777" w:rsidR="00C54C38" w:rsidRDefault="00C54C38" w:rsidP="00F06553">
      <w:pPr>
        <w:spacing w:after="0"/>
      </w:pPr>
    </w:p>
    <w:p w14:paraId="09CB8BC5" w14:textId="77777777" w:rsidR="00397B88" w:rsidRDefault="007C5E45" w:rsidP="00C54C38">
      <w:pPr>
        <w:spacing w:after="120"/>
        <w:jc w:val="center"/>
      </w:pPr>
      <w:r>
        <w:rPr>
          <w:noProof/>
          <w:lang w:eastAsia="de-DE"/>
        </w:rPr>
        <w:drawing>
          <wp:inline distT="0" distB="0" distL="0" distR="0" wp14:anchorId="7910A031" wp14:editId="0DDE814C">
            <wp:extent cx="6057265" cy="3442482"/>
            <wp:effectExtent l="0" t="0" r="0" b="12065"/>
            <wp:docPr id="21517" name="Diagramm 215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0BDCDC5" w14:textId="77777777" w:rsidR="00C54C38" w:rsidRDefault="00C54C38" w:rsidP="00CD706C">
      <w:pPr>
        <w:pStyle w:val="Beschriftung"/>
        <w:spacing w:after="120"/>
        <w:ind w:firstLine="0"/>
        <w:rPr>
          <w:b w:val="0"/>
        </w:rPr>
      </w:pPr>
      <w:bookmarkStart w:id="245" w:name="_Ref275637478"/>
      <w:r w:rsidRPr="00C54C38">
        <w:t xml:space="preserve">Abbildung </w:t>
      </w:r>
      <w:fldSimple w:instr=" SEQ Abbildung \* ARABIC ">
        <w:r w:rsidR="00711AB8">
          <w:rPr>
            <w:noProof/>
          </w:rPr>
          <w:t>31</w:t>
        </w:r>
      </w:fldSimple>
      <w:bookmarkEnd w:id="245"/>
      <w:r>
        <w:t xml:space="preserve"> </w:t>
      </w:r>
      <w:r>
        <w:rPr>
          <w:b w:val="0"/>
        </w:rPr>
        <w:t xml:space="preserve">Desmopressin Freisetzung aus </w:t>
      </w:r>
      <w:r w:rsidR="00820133">
        <w:rPr>
          <w:b w:val="0"/>
        </w:rPr>
        <w:t xml:space="preserve">Formulierungen mit Cystein PEA über einen Zeitraum von 48 Stunden; </w:t>
      </w:r>
      <w:r w:rsidR="00332FB9">
        <w:rPr>
          <w:b w:val="0"/>
        </w:rPr>
        <w:t xml:space="preserve">100% Desmopressin stellt den gesamten Wirkstoffgehalt der Formulierung dar; </w:t>
      </w:r>
      <w:r w:rsidR="00820133">
        <w:rPr>
          <w:b w:val="0"/>
        </w:rPr>
        <w:t xml:space="preserve">blaue Kurve: </w:t>
      </w:r>
      <w:r w:rsidR="00F06553">
        <w:rPr>
          <w:b w:val="0"/>
        </w:rPr>
        <w:t>Freisetzung aus Cystein PEA Nanopartikeln ohne Eudragit</w:t>
      </w:r>
      <w:r w:rsidR="00F06553">
        <w:rPr>
          <w:b w:val="0"/>
          <w:vertAlign w:val="superscript"/>
        </w:rPr>
        <w:sym w:font="Symbol" w:char="F0D2"/>
      </w:r>
      <w:r w:rsidR="00F06553">
        <w:rPr>
          <w:b w:val="0"/>
        </w:rPr>
        <w:t xml:space="preserve"> in PBS pH 6,8; grüne Kurve: Freisetzung aus PEA </w:t>
      </w:r>
      <w:r w:rsidR="005257CD">
        <w:rPr>
          <w:b w:val="0"/>
        </w:rPr>
        <w:t>Nanop</w:t>
      </w:r>
      <w:r w:rsidR="00821BF8">
        <w:rPr>
          <w:b w:val="0"/>
        </w:rPr>
        <w:t>artikel-</w:t>
      </w:r>
      <w:r w:rsidR="00F06553">
        <w:rPr>
          <w:b w:val="0"/>
        </w:rPr>
        <w:t>haltigen Eudragit</w:t>
      </w:r>
      <w:r w:rsidR="00F06553">
        <w:rPr>
          <w:b w:val="0"/>
          <w:vertAlign w:val="superscript"/>
        </w:rPr>
        <w:sym w:font="Symbol" w:char="F0D2"/>
      </w:r>
      <w:r w:rsidR="00F06553">
        <w:rPr>
          <w:b w:val="0"/>
        </w:rPr>
        <w:t xml:space="preserve"> Mikropartikeln in PBS pH 6,8; rote Kurv</w:t>
      </w:r>
      <w:r w:rsidR="00821BF8">
        <w:rPr>
          <w:b w:val="0"/>
        </w:rPr>
        <w:t>e: Freisetzung aus PEA Partikel-</w:t>
      </w:r>
      <w:r w:rsidR="00F06553">
        <w:rPr>
          <w:b w:val="0"/>
        </w:rPr>
        <w:t>haltigen Eudragit</w:t>
      </w:r>
      <w:r w:rsidR="00F06553">
        <w:rPr>
          <w:b w:val="0"/>
          <w:vertAlign w:val="superscript"/>
        </w:rPr>
        <w:sym w:font="Symbol" w:char="F0D2"/>
      </w:r>
      <w:r w:rsidR="00F06553">
        <w:rPr>
          <w:b w:val="0"/>
        </w:rPr>
        <w:t xml:space="preserve"> Mikropartikeln in verdünnter Salzsäure pH 1,0</w:t>
      </w:r>
      <w:r w:rsidR="00720A22">
        <w:rPr>
          <w:b w:val="0"/>
        </w:rPr>
        <w:t>.</w:t>
      </w:r>
    </w:p>
    <w:p w14:paraId="6C8BEA29" w14:textId="77777777" w:rsidR="00F06553" w:rsidRDefault="00F06553" w:rsidP="00B75B4C">
      <w:pPr>
        <w:spacing w:after="0"/>
      </w:pPr>
    </w:p>
    <w:p w14:paraId="4EA320CD" w14:textId="77777777" w:rsidR="00834F64" w:rsidRDefault="00101ED5" w:rsidP="00F06553">
      <w:r>
        <w:t>Der bereits nach 5 min frei</w:t>
      </w:r>
      <w:r w:rsidR="00653164">
        <w:t>gesetzte Wirkstoffanteil betrug</w:t>
      </w:r>
      <w:r>
        <w:t xml:space="preserve"> bei der Formulierung ohne Eudragit</w:t>
      </w:r>
      <w:r>
        <w:rPr>
          <w:vertAlign w:val="superscript"/>
        </w:rPr>
        <w:sym w:font="Symbol" w:char="F0D2"/>
      </w:r>
      <w:r>
        <w:t xml:space="preserve"> 74</w:t>
      </w:r>
      <w:r w:rsidR="00653164">
        <w:t>,7%, bei den Mikropartikeln waren</w:t>
      </w:r>
      <w:r>
        <w:t xml:space="preserve"> es in Salzsäure </w:t>
      </w:r>
      <w:r w:rsidR="00581A51">
        <w:t xml:space="preserve">25,4% und in PBS Puffer 66,9%. Es </w:t>
      </w:r>
      <w:r w:rsidR="001032DA">
        <w:t>liegt nahe, dass es sich hierbei</w:t>
      </w:r>
      <w:r w:rsidR="00581A51">
        <w:t xml:space="preserve"> um den Wirkstoffanteil handel</w:t>
      </w:r>
      <w:r w:rsidR="007C5D64">
        <w:t>t, der nicht in PEA Nanopartikel</w:t>
      </w:r>
      <w:r w:rsidR="00F34DCA">
        <w:t xml:space="preserve"> eingekapselt war,</w:t>
      </w:r>
      <w:r w:rsidR="007C5D64">
        <w:t xml:space="preserve"> sondern frei in der Eudragit</w:t>
      </w:r>
      <w:r w:rsidR="007C5D64" w:rsidRPr="007C5D64">
        <w:rPr>
          <w:vertAlign w:val="superscript"/>
        </w:rPr>
        <w:sym w:font="Symbol" w:char="F0D2"/>
      </w:r>
      <w:r w:rsidR="007C5D64">
        <w:t>- bzw. Zuckermatrix vorlag.</w:t>
      </w:r>
      <w:r w:rsidR="00581A51">
        <w:t xml:space="preserve"> </w:t>
      </w:r>
      <w:r w:rsidR="006E5FD9">
        <w:t xml:space="preserve">Im Anschluss an den </w:t>
      </w:r>
      <w:r w:rsidR="006E5FD9">
        <w:rPr>
          <w:i/>
        </w:rPr>
        <w:t xml:space="preserve">burst release </w:t>
      </w:r>
      <w:r w:rsidR="006E5FD9">
        <w:t>wurde i</w:t>
      </w:r>
      <w:r w:rsidR="005257CD">
        <w:t>nnerh</w:t>
      </w:r>
      <w:r w:rsidR="006E5FD9">
        <w:t>alb der darauffolgenden fünf Stunden</w:t>
      </w:r>
      <w:r w:rsidR="005257CD">
        <w:t xml:space="preserve"> bei allen </w:t>
      </w:r>
      <w:r w:rsidR="005257CD">
        <w:lastRenderedPageBreak/>
        <w:t xml:space="preserve">drei Proben ein Wirkstoffanteil zwischen </w:t>
      </w:r>
      <w:r w:rsidR="00720A22">
        <w:t>10% und 15% retardiert</w:t>
      </w:r>
      <w:r w:rsidR="005257CD">
        <w:t xml:space="preserve"> freigesetzt</w:t>
      </w:r>
      <w:r w:rsidR="00720A22">
        <w:t>. Bei den PEA Nanopartikeln wurde</w:t>
      </w:r>
      <w:r w:rsidR="005257CD">
        <w:t xml:space="preserve"> dann </w:t>
      </w:r>
      <w:r w:rsidR="00653164">
        <w:t>ein Wert von 88,5% erreicht. Aus</w:t>
      </w:r>
      <w:r w:rsidR="005257CD">
        <w:t xml:space="preserve"> den Formulierungen mit Eudragit</w:t>
      </w:r>
      <w:r w:rsidR="005257CD">
        <w:rPr>
          <w:vertAlign w:val="superscript"/>
        </w:rPr>
        <w:sym w:font="Symbol" w:char="F0D2"/>
      </w:r>
      <w:r w:rsidR="00653164">
        <w:t xml:space="preserve"> wurden nach 5 Stunden</w:t>
      </w:r>
      <w:r w:rsidR="00625DD9">
        <w:t xml:space="preserve"> in Salzsäure</w:t>
      </w:r>
      <w:r w:rsidR="00653164">
        <w:t xml:space="preserve"> 39,1% </w:t>
      </w:r>
      <w:r w:rsidR="00625DD9">
        <w:t>Desmopressin freigesetzt und bei</w:t>
      </w:r>
      <w:r w:rsidR="007C5D64">
        <w:t xml:space="preserve"> einem pH-</w:t>
      </w:r>
      <w:r w:rsidR="00653164">
        <w:t xml:space="preserve">Wert von 6,8 waren es 76,8%. </w:t>
      </w:r>
      <w:r w:rsidR="008C3CE6">
        <w:t xml:space="preserve">Innerhalb der nächsten 15 Stunden wurden aus den PEA Nanopartikeln weitere 5,2% Desmopressin freigesetzt, aus den Mikropartikeln in PBS Puffer waren es lediglich noch weitere 1,7%. Zwischen dem Zeitpunkt von 20 Stunden und 48 Stunden </w:t>
      </w:r>
      <w:r w:rsidR="00834F64">
        <w:t xml:space="preserve">wurden lediglich aus den </w:t>
      </w:r>
      <w:r w:rsidR="00076153">
        <w:t>Eudragit</w:t>
      </w:r>
      <w:r w:rsidR="00076153">
        <w:rPr>
          <w:vertAlign w:val="superscript"/>
        </w:rPr>
        <w:sym w:font="Symbol" w:char="F0D2"/>
      </w:r>
      <w:r w:rsidR="00076153">
        <w:t xml:space="preserve"> </w:t>
      </w:r>
      <w:r w:rsidR="00834F64">
        <w:t>Mikropartikeln in Salzsäure größere Wirkstoffanteile freigesetzt (20,4%). Die Magensaftr</w:t>
      </w:r>
      <w:r w:rsidR="00C60EFC">
        <w:t>esistenz der Formulierung brach</w:t>
      </w:r>
      <w:r w:rsidR="00834F64">
        <w:t xml:space="preserve"> nach mehr al</w:t>
      </w:r>
      <w:r w:rsidR="00076153">
        <w:t>s 20 Stunden deutlich ein</w:t>
      </w:r>
      <w:r w:rsidR="00834F64">
        <w:t xml:space="preserve">, nach 48 Stunden wurden insgesamt 65% des Wirkstoffes freigesetzt, damit jedoch immer noch deutlich weniger als in PBS Puffer. Aus den </w:t>
      </w:r>
      <w:r w:rsidR="00076153">
        <w:t>reinen Nanopartikeln wurden nach 48 Stunden</w:t>
      </w:r>
      <w:r w:rsidR="00834F64">
        <w:t xml:space="preserve"> insgesamt 95,3% und aus der magensaftresistenten Formulierung</w:t>
      </w:r>
      <w:r w:rsidR="00381DDC">
        <w:t xml:space="preserve"> insgesamt</w:t>
      </w:r>
      <w:r w:rsidR="00832E51">
        <w:t xml:space="preserve"> 80,4% freig</w:t>
      </w:r>
      <w:r w:rsidR="002B5036">
        <w:t>esetzt. Dass aus der magensaftre</w:t>
      </w:r>
      <w:r w:rsidR="0041197E">
        <w:t xml:space="preserve">sistenten Formulierung im Anschluss an den </w:t>
      </w:r>
      <w:r w:rsidR="0041197E" w:rsidRPr="0041197E">
        <w:rPr>
          <w:i/>
        </w:rPr>
        <w:t>burst release</w:t>
      </w:r>
      <w:r w:rsidR="002B5036">
        <w:t xml:space="preserve"> weniger Desmopressin</w:t>
      </w:r>
      <w:r w:rsidR="0041197E">
        <w:t xml:space="preserve"> retardiert</w:t>
      </w:r>
      <w:r w:rsidR="002B5036">
        <w:t xml:space="preserve"> freigesetzt wurde als aus den reinen Nanopartikeln</w:t>
      </w:r>
      <w:r w:rsidR="00394702">
        <w:t>,</w:t>
      </w:r>
      <w:r w:rsidR="002B5036">
        <w:t xml:space="preserve"> kann dadurch erklärt werden, dass während der Herstellung der Mikropartikel </w:t>
      </w:r>
      <w:r w:rsidR="00076153">
        <w:t xml:space="preserve">im Vergleich zur Herstellung der reinen Nanopartikel </w:t>
      </w:r>
      <w:r w:rsidR="002B5036">
        <w:t>ein größerer Teil des verkapselten Desmopressins bereits wieder freigesetz</w:t>
      </w:r>
      <w:r w:rsidR="00076153">
        <w:t>t wurde</w:t>
      </w:r>
      <w:r w:rsidR="002B5036">
        <w:t>. Bei der Mikroverkapselung in Eudragit</w:t>
      </w:r>
      <w:r w:rsidR="002B5036">
        <w:rPr>
          <w:vertAlign w:val="superscript"/>
        </w:rPr>
        <w:sym w:font="Symbol" w:char="F0D2"/>
      </w:r>
      <w:r w:rsidR="00394702">
        <w:t xml:space="preserve"> wurde</w:t>
      </w:r>
      <w:r w:rsidR="002B5036">
        <w:t xml:space="preserve"> die Suspension der Nanopartikel stärker verdünnt </w:t>
      </w:r>
      <w:r w:rsidR="00394702">
        <w:t>als die Probe für die Gefriertrocknung und es verging</w:t>
      </w:r>
      <w:r w:rsidR="002B5036">
        <w:t xml:space="preserve"> mehr Zeit bis zur Trocknung</w:t>
      </w:r>
      <w:r w:rsidR="00076153">
        <w:t xml:space="preserve">. </w:t>
      </w:r>
      <w:r w:rsidR="00394702">
        <w:t>Bei der Gefriertrocknung wurde die Freisetzung durch sofortiges Einfrieren der Suspension direkt nach der Herstellung deutli</w:t>
      </w:r>
      <w:r w:rsidR="00C60EFC">
        <w:t>ch verlangsamt. Zum Zeitpunkt 5 min betrug</w:t>
      </w:r>
      <w:r w:rsidR="00394702">
        <w:t xml:space="preserve"> die Differenz zwischen beiden Proben ledigli</w:t>
      </w:r>
      <w:r w:rsidR="00C60EFC">
        <w:t>ch 7,8% und nach 48 Stunden waren</w:t>
      </w:r>
      <w:r w:rsidR="00394702">
        <w:t xml:space="preserve"> es 14,9%. Dies bestätigt, dass di</w:t>
      </w:r>
      <w:r w:rsidR="00076153">
        <w:t>e Differenz in der Freisetzung auf Unterschiede im verkapselten Anteil zurückzuführen ist.</w:t>
      </w:r>
    </w:p>
    <w:p w14:paraId="632E46B1" w14:textId="77777777" w:rsidR="00B75B4C" w:rsidRPr="005D09C6" w:rsidRDefault="00C60EFC" w:rsidP="00F06553">
      <w:r>
        <w:t>Die retardierte</w:t>
      </w:r>
      <w:r w:rsidR="008C3CE6">
        <w:t xml:space="preserve"> Wirkstofffreisetzung in</w:t>
      </w:r>
      <w:r w:rsidR="00625DD9">
        <w:t xml:space="preserve"> PBS Puffermedi</w:t>
      </w:r>
      <w:r w:rsidR="00834F64">
        <w:t>um</w:t>
      </w:r>
      <w:r w:rsidR="002B5036">
        <w:t xml:space="preserve"> mit einem pH-Wert von 6,8</w:t>
      </w:r>
      <w:r w:rsidR="00834F64">
        <w:t xml:space="preserve"> beschreibt </w:t>
      </w:r>
      <w:r w:rsidR="00381DDC">
        <w:t>bei den reinen Nanopartikeln sowie</w:t>
      </w:r>
      <w:r w:rsidR="00834F64">
        <w:t xml:space="preserve"> </w:t>
      </w:r>
      <w:r w:rsidR="00381DDC">
        <w:t xml:space="preserve">bei </w:t>
      </w:r>
      <w:r w:rsidR="00834F64">
        <w:t>den Mikropartikeln mit Eudragit</w:t>
      </w:r>
      <w:r w:rsidR="00834F64">
        <w:rPr>
          <w:vertAlign w:val="superscript"/>
        </w:rPr>
        <w:sym w:font="Symbol" w:char="F0D2"/>
      </w:r>
      <w:r w:rsidR="005D09C6">
        <w:t xml:space="preserve"> die Freisetzung aus den PEA Nanopartikeln. Weiter oben in </w:t>
      </w:r>
      <w:r w:rsidR="0034285C">
        <w:t>diesem Kapitel wurde bereits erwähnt</w:t>
      </w:r>
      <w:r w:rsidR="005D09C6">
        <w:t>, dass die Freisetzung der Nanopartikel aus den Eudragit</w:t>
      </w:r>
      <w:r w:rsidR="005D09C6">
        <w:rPr>
          <w:vertAlign w:val="superscript"/>
        </w:rPr>
        <w:sym w:font="Symbol" w:char="F0D2"/>
      </w:r>
      <w:r w:rsidR="005D09C6">
        <w:t xml:space="preserve"> </w:t>
      </w:r>
      <w:r w:rsidR="0034285C">
        <w:t xml:space="preserve">Mikropartikeln </w:t>
      </w:r>
      <w:r w:rsidR="008C3CE6">
        <w:t xml:space="preserve">bei einem pH-Wert von 6,8 </w:t>
      </w:r>
      <w:r w:rsidR="0034285C">
        <w:t xml:space="preserve">bereits </w:t>
      </w:r>
      <w:r w:rsidR="005D09C6">
        <w:t>nach 5 bi</w:t>
      </w:r>
      <w:r w:rsidR="00381DDC">
        <w:t>s 10 min vollständig erfolgte</w:t>
      </w:r>
      <w:r w:rsidR="005D09C6">
        <w:t>.</w:t>
      </w:r>
      <w:r w:rsidR="00385125">
        <w:t xml:space="preserve"> Der Auflösungsprozess der Mikropartikel verzögert</w:t>
      </w:r>
      <w:r>
        <w:t>e</w:t>
      </w:r>
      <w:r w:rsidR="00385125">
        <w:t xml:space="preserve"> die Wirkstofffreisetzung nicht merklich.</w:t>
      </w:r>
      <w:r w:rsidR="00834F64">
        <w:t xml:space="preserve"> Bei den</w:t>
      </w:r>
      <w:r w:rsidR="00381DDC">
        <w:t xml:space="preserve"> beiden</w:t>
      </w:r>
      <w:r w:rsidR="00834F64">
        <w:t xml:space="preserve"> Proben in PBS Puffer war die </w:t>
      </w:r>
      <w:r w:rsidR="00381DDC">
        <w:t xml:space="preserve">Desmopressin </w:t>
      </w:r>
      <w:r w:rsidR="00834F64">
        <w:t>Freisetzung nach 5 Stunden zum größten Teil abgeschlossen.</w:t>
      </w:r>
      <w:r w:rsidR="00381DDC">
        <w:t xml:space="preserve"> In Salzsäure wurden nach diesem Zeitraum und bis zu 20 Stunden erheblich geringere Mengen Desmopressin freigesetzt. 60,9% des enthaltenen Wirkstoffes konnten durch die Eudragit</w:t>
      </w:r>
      <w:r w:rsidR="00381DDC">
        <w:rPr>
          <w:vertAlign w:val="superscript"/>
        </w:rPr>
        <w:sym w:font="Symbol" w:char="F0D2"/>
      </w:r>
      <w:r w:rsidR="00381DDC">
        <w:t xml:space="preserve"> Partikel bis zu 5 Stunden und 55,4% bis zu 20 Stunden vor </w:t>
      </w:r>
      <w:r w:rsidR="00207E4F">
        <w:t>einer Freisetzung in</w:t>
      </w:r>
      <w:r w:rsidR="00385125">
        <w:t xml:space="preserve"> Salzsäure geschützt werden.</w:t>
      </w:r>
    </w:p>
    <w:p w14:paraId="015AD590" w14:textId="77777777" w:rsidR="002A520F" w:rsidRDefault="002A520F" w:rsidP="002A520F">
      <w:pPr>
        <w:pStyle w:val="berschrift4"/>
      </w:pPr>
      <w:bookmarkStart w:id="246" w:name="_Toc294380258"/>
      <w:r>
        <w:t>Zusammenfassung magensaftresistente Darreichungsform</w:t>
      </w:r>
      <w:bookmarkEnd w:id="246"/>
    </w:p>
    <w:p w14:paraId="14BF9FF3" w14:textId="77777777" w:rsidR="003162B5" w:rsidRDefault="00076153" w:rsidP="00F666B1">
      <w:r>
        <w:t xml:space="preserve">Eine </w:t>
      </w:r>
      <w:r w:rsidR="00F666B1" w:rsidRPr="00F666B1">
        <w:t>Freisetzung d</w:t>
      </w:r>
      <w:r w:rsidR="00F90769">
        <w:t>er nanoskaligen Wirkstoffträger</w:t>
      </w:r>
      <w:r w:rsidR="00B54DD3">
        <w:t xml:space="preserve"> in den</w:t>
      </w:r>
      <w:r w:rsidR="003162B5">
        <w:t xml:space="preserve"> sauren Magensaft k</w:t>
      </w:r>
      <w:r w:rsidR="00366EC1">
        <w:t>onnte</w:t>
      </w:r>
      <w:r w:rsidR="00F666B1">
        <w:t xml:space="preserve"> durch die Mikrov</w:t>
      </w:r>
      <w:r w:rsidR="003162B5">
        <w:t>erkapselung von</w:t>
      </w:r>
      <w:r w:rsidR="00B54DD3">
        <w:t xml:space="preserve"> </w:t>
      </w:r>
      <w:r w:rsidR="003162B5">
        <w:t xml:space="preserve">PLGA oder PEA </w:t>
      </w:r>
      <w:r w:rsidR="00B54DD3">
        <w:t>Nanopartikel</w:t>
      </w:r>
      <w:r w:rsidR="003162B5">
        <w:t xml:space="preserve">n </w:t>
      </w:r>
      <w:r w:rsidR="00B54DD3">
        <w:t>in</w:t>
      </w:r>
      <w:r w:rsidR="00F666B1">
        <w:t xml:space="preserve"> Eudragit</w:t>
      </w:r>
      <w:r w:rsidR="00F666B1">
        <w:rPr>
          <w:vertAlign w:val="superscript"/>
        </w:rPr>
        <w:sym w:font="Symbol" w:char="F0D2"/>
      </w:r>
      <w:r w:rsidR="00F666B1">
        <w:t xml:space="preserve"> L 30 D-55 </w:t>
      </w:r>
      <w:r w:rsidR="00B54DD3">
        <w:t xml:space="preserve">nahezu </w:t>
      </w:r>
      <w:r w:rsidR="00B54DD3">
        <w:lastRenderedPageBreak/>
        <w:t xml:space="preserve">vollständig </w:t>
      </w:r>
      <w:r w:rsidR="00F666B1" w:rsidRPr="00F666B1">
        <w:t>verhindert</w:t>
      </w:r>
      <w:r w:rsidR="00F90769">
        <w:t xml:space="preserve"> werden</w:t>
      </w:r>
      <w:r w:rsidR="003162B5">
        <w:t>. Damit ist ein sehr effizienter Schutz der Nanopartikel vor einem Abbau durch die Magensäure gewährleistet.</w:t>
      </w:r>
    </w:p>
    <w:p w14:paraId="1667EE52" w14:textId="77777777" w:rsidR="005F75CD" w:rsidRDefault="003162B5" w:rsidP="00F666B1">
      <w:r>
        <w:t xml:space="preserve">In 0,1 molarer Salzsäure </w:t>
      </w:r>
      <w:r w:rsidR="00551DA4">
        <w:t>wurde</w:t>
      </w:r>
      <w:r>
        <w:t>n aus den Eudragit</w:t>
      </w:r>
      <w:r w:rsidR="007E7407" w:rsidRPr="00902C2E">
        <w:rPr>
          <w:vertAlign w:val="superscript"/>
        </w:rPr>
        <w:t>®</w:t>
      </w:r>
      <w:r>
        <w:t xml:space="preserve"> Mikropartikeln bis zu einer Dauer von 20 Stunden ca. 50% weniger Desmopressin freigesetzt als in PBS Puffer mit einem pH-Wert von 6,8. </w:t>
      </w:r>
      <w:r w:rsidR="00F666B1">
        <w:t>Die Eudragit</w:t>
      </w:r>
      <w:r w:rsidR="00F666B1">
        <w:rPr>
          <w:vertAlign w:val="superscript"/>
        </w:rPr>
        <w:sym w:font="Symbol" w:char="F0D2"/>
      </w:r>
      <w:r w:rsidR="00551DA4">
        <w:t xml:space="preserve"> Matrix löst sich entsprechend den</w:t>
      </w:r>
      <w:r w:rsidR="00F666B1">
        <w:t xml:space="preserve"> Herstellerangaben erst bei pH-Werten oberhalb von 5,5 auf und setzt die Wirkstoffträger </w:t>
      </w:r>
      <w:r>
        <w:t xml:space="preserve">und damit den Wirkstoff </w:t>
      </w:r>
      <w:r w:rsidR="00551DA4">
        <w:t xml:space="preserve">auf diese Weise </w:t>
      </w:r>
      <w:r w:rsidR="00F666B1">
        <w:t>am gewünschten Resorptionsort</w:t>
      </w:r>
      <w:r w:rsidR="00F666B1" w:rsidRPr="00F666B1">
        <w:t xml:space="preserve"> im Dünndarm</w:t>
      </w:r>
      <w:r w:rsidR="00F666B1">
        <w:t xml:space="preserve"> frei</w:t>
      </w:r>
      <w:r w:rsidR="00F666B1" w:rsidRPr="00F666B1">
        <w:t>.</w:t>
      </w:r>
      <w:r w:rsidR="00F666B1">
        <w:t xml:space="preserve"> </w:t>
      </w:r>
      <w:r w:rsidR="00F06553">
        <w:t>D</w:t>
      </w:r>
      <w:r w:rsidR="00F666B1">
        <w:t xml:space="preserve">urch </w:t>
      </w:r>
      <w:r w:rsidR="00F666B1">
        <w:rPr>
          <w:i/>
        </w:rPr>
        <w:t>in vitro</w:t>
      </w:r>
      <w:r w:rsidR="00F666B1">
        <w:t xml:space="preserve">-Untersuchungen </w:t>
      </w:r>
      <w:r w:rsidR="00925A9B">
        <w:t>mit einem simulierten</w:t>
      </w:r>
      <w:r w:rsidR="00F06553">
        <w:t xml:space="preserve"> Magen pH-We</w:t>
      </w:r>
      <w:r w:rsidR="00551DA4">
        <w:t>rt von 1,0 und einem simulierten</w:t>
      </w:r>
      <w:r w:rsidR="00F06553">
        <w:t xml:space="preserve"> Darm pH-Wert von 6,8 konnte </w:t>
      </w:r>
      <w:r w:rsidR="00B54DD3">
        <w:t xml:space="preserve">erfolgreich </w:t>
      </w:r>
      <w:r w:rsidR="00F666B1">
        <w:t xml:space="preserve">gezeigt werden, dass das System </w:t>
      </w:r>
      <w:r w:rsidR="003E0D93">
        <w:t xml:space="preserve">prinzipiell </w:t>
      </w:r>
      <w:r w:rsidR="00551DA4">
        <w:t xml:space="preserve">funktioniert. </w:t>
      </w:r>
    </w:p>
    <w:p w14:paraId="2C2E71E1" w14:textId="77777777" w:rsidR="00830B4C" w:rsidRDefault="003162B5" w:rsidP="00F666B1">
      <w:r>
        <w:t>Vor allem für</w:t>
      </w:r>
      <w:r w:rsidR="00551DA4">
        <w:t xml:space="preserve"> besonders säureempfindliche Wirkstoffe </w:t>
      </w:r>
      <w:r>
        <w:t xml:space="preserve">ist ein Schutz </w:t>
      </w:r>
      <w:r w:rsidR="00830B4C">
        <w:t>von 50%</w:t>
      </w:r>
      <w:r w:rsidR="00366EC1">
        <w:t xml:space="preserve"> </w:t>
      </w:r>
      <w:r w:rsidR="00D75E1B">
        <w:t xml:space="preserve">noch </w:t>
      </w:r>
      <w:r w:rsidR="00366EC1">
        <w:t xml:space="preserve">nicht zufriedenstellend. </w:t>
      </w:r>
      <w:r w:rsidR="00830B4C">
        <w:t>Da die zu erwartende Magenverweilzeit der Arz</w:t>
      </w:r>
      <w:r w:rsidR="006E0BC3">
        <w:t>n</w:t>
      </w:r>
      <w:r w:rsidR="00830B4C">
        <w:t xml:space="preserve">eiform allerdings deutlich weniger als 20 Stunden beträgt, kann davon </w:t>
      </w:r>
      <w:r w:rsidR="00D75E1B">
        <w:t>augegangen werden, dass</w:t>
      </w:r>
      <w:r w:rsidR="00B25469">
        <w:t xml:space="preserve"> im Magen</w:t>
      </w:r>
      <w:r w:rsidR="00830B4C">
        <w:t xml:space="preserve"> </w:t>
      </w:r>
      <w:r w:rsidR="00D75E1B">
        <w:t>keine</w:t>
      </w:r>
      <w:r w:rsidR="00830B4C">
        <w:t xml:space="preserve"> nennenswerten Wirks</w:t>
      </w:r>
      <w:r w:rsidR="00D75E1B">
        <w:t xml:space="preserve">toffanteile, die über den </w:t>
      </w:r>
      <w:r w:rsidR="00D75E1B" w:rsidRPr="00D75E1B">
        <w:rPr>
          <w:i/>
        </w:rPr>
        <w:t>burst release</w:t>
      </w:r>
      <w:r w:rsidR="00D75E1B">
        <w:t xml:space="preserve"> </w:t>
      </w:r>
      <w:r w:rsidR="00B25469">
        <w:t xml:space="preserve">von 25% </w:t>
      </w:r>
      <w:r w:rsidR="00D75E1B">
        <w:t>hinausgehen, freigesetzt werden.</w:t>
      </w:r>
    </w:p>
    <w:p w14:paraId="0CD39BC5" w14:textId="77777777" w:rsidR="00F666B1" w:rsidRPr="00F666B1" w:rsidRDefault="00366EC1" w:rsidP="00F666B1">
      <w:r>
        <w:t xml:space="preserve">Durch Variation unterschiedlicher Prozessparameter wie beispielsweise </w:t>
      </w:r>
      <w:r w:rsidR="005F75CD">
        <w:t>des</w:t>
      </w:r>
      <w:r>
        <w:t xml:space="preserve"> Mengenverhältnis</w:t>
      </w:r>
      <w:r w:rsidR="005F75CD">
        <w:t>ses</w:t>
      </w:r>
      <w:r>
        <w:t xml:space="preserve"> zwischen Eudragit</w:t>
      </w:r>
      <w:r>
        <w:rPr>
          <w:vertAlign w:val="superscript"/>
        </w:rPr>
        <w:sym w:font="Symbol" w:char="F0D2"/>
      </w:r>
      <w:r>
        <w:t xml:space="preserve"> und Partikeln</w:t>
      </w:r>
      <w:r w:rsidR="005F75CD">
        <w:t xml:space="preserve"> oder</w:t>
      </w:r>
      <w:r>
        <w:t xml:space="preserve"> des Neutralisierungsgrades</w:t>
      </w:r>
      <w:r w:rsidR="005F75CD">
        <w:t xml:space="preserve"> sind in weitergehenden Versuchen die optimalen Bedingungen zu evaluieren. Hier besteht gewiss noch Raum zur Optimierung der magensaftresistenten Mikropartikel.</w:t>
      </w:r>
    </w:p>
    <w:p w14:paraId="2D0B9A4A" w14:textId="77777777" w:rsidR="003B37C5" w:rsidRPr="003B37C5" w:rsidRDefault="003B37C5" w:rsidP="007C61EF">
      <w:pPr>
        <w:pStyle w:val="berschrift2"/>
      </w:pPr>
      <w:r w:rsidRPr="003B37C5">
        <w:tab/>
      </w:r>
      <w:bookmarkStart w:id="247" w:name="_Ref269138638"/>
      <w:bookmarkStart w:id="248" w:name="_Toc294380259"/>
      <w:r w:rsidRPr="003B37C5">
        <w:t>Partikelherstellung aus überkri</w:t>
      </w:r>
      <w:r w:rsidR="00996F38">
        <w:t>tischen Lösungen</w:t>
      </w:r>
      <w:bookmarkEnd w:id="247"/>
      <w:bookmarkEnd w:id="248"/>
    </w:p>
    <w:p w14:paraId="312AD02E" w14:textId="77777777" w:rsidR="00831E75" w:rsidRPr="007C61EF" w:rsidRDefault="00831E75" w:rsidP="007C61EF">
      <w:pPr>
        <w:spacing w:after="120"/>
        <w:rPr>
          <w:rFonts w:cs="Times New Roman"/>
          <w:szCs w:val="24"/>
        </w:rPr>
      </w:pPr>
      <w:r w:rsidRPr="007C61EF">
        <w:rPr>
          <w:rFonts w:cs="Times New Roman"/>
          <w:szCs w:val="24"/>
        </w:rPr>
        <w:t>Die akademische Forschung im Bereich der pharmazeutischen Nanotechnologie brachte seit den 1970er Jahren vielfältige Erkenntnisse hervor, die Lücke zur industriellen Verwertbarkeit d</w:t>
      </w:r>
      <w:r w:rsidR="00045BC0" w:rsidRPr="007C61EF">
        <w:rPr>
          <w:rFonts w:cs="Times New Roman"/>
          <w:szCs w:val="24"/>
        </w:rPr>
        <w:t>ieser</w:t>
      </w:r>
      <w:r w:rsidRPr="007C61EF">
        <w:rPr>
          <w:rFonts w:cs="Times New Roman"/>
          <w:szCs w:val="24"/>
        </w:rPr>
        <w:t xml:space="preserve"> Ansätze konnte jedoch bislang nicht geschlossen werden.</w:t>
      </w:r>
    </w:p>
    <w:p w14:paraId="528134E3" w14:textId="77777777" w:rsidR="00831E75" w:rsidRPr="007C61EF" w:rsidRDefault="00831E75" w:rsidP="007C61EF">
      <w:pPr>
        <w:spacing w:after="120"/>
        <w:rPr>
          <w:rFonts w:cs="Times New Roman"/>
          <w:szCs w:val="24"/>
        </w:rPr>
      </w:pPr>
      <w:r w:rsidRPr="007C61EF">
        <w:rPr>
          <w:rFonts w:cs="Times New Roman"/>
          <w:szCs w:val="24"/>
        </w:rPr>
        <w:t>Die in der Fachliteratur viel beschriebenen Standardherstellungsmethoden von Nanopartikeln aus bioabbaubaren Polyestern für pharmazeutische Anwendungen erlauben in der Regel keine ökonomisch attraktive Übertragung in einen industriellen Produktionsmaßstab. Die Prozesse ermöglichen keine kontinuierliche Produktionsweise und sind durch die Abhängigkeit vieler schwer kont</w:t>
      </w:r>
      <w:r w:rsidR="00045BC0" w:rsidRPr="007C61EF">
        <w:rPr>
          <w:rFonts w:cs="Times New Roman"/>
          <w:szCs w:val="24"/>
        </w:rPr>
        <w:t>rollierbarer Einflussfaktoren in großem</w:t>
      </w:r>
      <w:r w:rsidRPr="007C61EF">
        <w:rPr>
          <w:rFonts w:cs="Times New Roman"/>
          <w:szCs w:val="24"/>
        </w:rPr>
        <w:t xml:space="preserve"> Maßstab kaum reproduzierbar. Die Herstellung ist nur chargenweise bei jeweils kleiner Ansatzgröße und </w:t>
      </w:r>
      <w:r w:rsidR="002F4DBA" w:rsidRPr="007C61EF">
        <w:rPr>
          <w:rFonts w:cs="Times New Roman"/>
          <w:szCs w:val="24"/>
        </w:rPr>
        <w:t xml:space="preserve">mit </w:t>
      </w:r>
      <w:r w:rsidRPr="007C61EF">
        <w:rPr>
          <w:rFonts w:cs="Times New Roman"/>
          <w:szCs w:val="24"/>
        </w:rPr>
        <w:t>vielen Prozessschritten möglich. Die dadurch bedingt extrem hohen Produktionskosten machen die bisher bekannten Herstellungsmethoden für eine industrielle Umsetzung unattraktiv. Ein weiterer Nachteil der meisten bekannten Herstellungsmethoden für Polymernanopartikel besteht darin, dass in der Regel nicht auf toxikologisch zum Teil sehr bedenkliche organische Lösungsmittel und Stabilisatoren verzichtet werden kann.</w:t>
      </w:r>
      <w:r w:rsidR="004F5831" w:rsidRPr="004F5831">
        <w:rPr>
          <w:rFonts w:cs="Times New Roman"/>
          <w:szCs w:val="24"/>
        </w:rPr>
        <w:t xml:space="preserve"> </w:t>
      </w:r>
      <w:r w:rsidR="004F5831">
        <w:rPr>
          <w:rFonts w:cs="Times New Roman"/>
          <w:szCs w:val="24"/>
        </w:rPr>
        <w:t>Dies gilt grundsätzlich auch für die in</w:t>
      </w:r>
      <w:r w:rsidR="00925A9B">
        <w:rPr>
          <w:rFonts w:cs="Times New Roman"/>
          <w:szCs w:val="24"/>
        </w:rPr>
        <w:t xml:space="preserve"> den</w:t>
      </w:r>
      <w:r w:rsidR="004F5831">
        <w:rPr>
          <w:rFonts w:cs="Times New Roman"/>
          <w:szCs w:val="24"/>
        </w:rPr>
        <w:t xml:space="preserve"> Kapitel</w:t>
      </w:r>
      <w:r w:rsidR="00925A9B">
        <w:rPr>
          <w:rFonts w:cs="Times New Roman"/>
          <w:szCs w:val="24"/>
        </w:rPr>
        <w:t>n</w:t>
      </w:r>
      <w:r w:rsidR="004F5831">
        <w:rPr>
          <w:rFonts w:cs="Times New Roman"/>
          <w:szCs w:val="24"/>
        </w:rPr>
        <w:t xml:space="preserve"> </w:t>
      </w:r>
      <w:r w:rsidR="00D16240">
        <w:rPr>
          <w:rFonts w:cs="Times New Roman"/>
          <w:szCs w:val="24"/>
        </w:rPr>
        <w:fldChar w:fldCharType="begin"/>
      </w:r>
      <w:r w:rsidR="004F5831">
        <w:rPr>
          <w:rFonts w:cs="Times New Roman"/>
          <w:szCs w:val="24"/>
        </w:rPr>
        <w:instrText xml:space="preserve"> REF _Ref272957759 \n \h </w:instrText>
      </w:r>
      <w:r w:rsidR="00D16240">
        <w:rPr>
          <w:rFonts w:cs="Times New Roman"/>
          <w:szCs w:val="24"/>
        </w:rPr>
      </w:r>
      <w:r w:rsidR="00D16240">
        <w:rPr>
          <w:rFonts w:cs="Times New Roman"/>
          <w:szCs w:val="24"/>
        </w:rPr>
        <w:fldChar w:fldCharType="separate"/>
      </w:r>
      <w:r w:rsidR="00711AB8">
        <w:rPr>
          <w:rFonts w:cs="Times New Roman"/>
          <w:szCs w:val="24"/>
        </w:rPr>
        <w:t>4.2</w:t>
      </w:r>
      <w:r w:rsidR="00D16240">
        <w:rPr>
          <w:rFonts w:cs="Times New Roman"/>
          <w:szCs w:val="24"/>
        </w:rPr>
        <w:fldChar w:fldCharType="end"/>
      </w:r>
      <w:r w:rsidR="004F5831">
        <w:rPr>
          <w:rFonts w:cs="Times New Roman"/>
          <w:szCs w:val="24"/>
        </w:rPr>
        <w:t xml:space="preserve"> und </w:t>
      </w:r>
      <w:r w:rsidR="00D16240">
        <w:rPr>
          <w:rFonts w:cs="Times New Roman"/>
          <w:szCs w:val="24"/>
        </w:rPr>
        <w:fldChar w:fldCharType="begin"/>
      </w:r>
      <w:r w:rsidR="004F5831">
        <w:rPr>
          <w:rFonts w:cs="Times New Roman"/>
          <w:szCs w:val="24"/>
        </w:rPr>
        <w:instrText xml:space="preserve"> REF _Ref272957767 \n \h </w:instrText>
      </w:r>
      <w:r w:rsidR="00D16240">
        <w:rPr>
          <w:rFonts w:cs="Times New Roman"/>
          <w:szCs w:val="24"/>
        </w:rPr>
      </w:r>
      <w:r w:rsidR="00D16240">
        <w:rPr>
          <w:rFonts w:cs="Times New Roman"/>
          <w:szCs w:val="24"/>
        </w:rPr>
        <w:fldChar w:fldCharType="separate"/>
      </w:r>
      <w:r w:rsidR="00711AB8">
        <w:rPr>
          <w:rFonts w:cs="Times New Roman"/>
          <w:szCs w:val="24"/>
        </w:rPr>
        <w:t>4.3</w:t>
      </w:r>
      <w:r w:rsidR="00D16240">
        <w:rPr>
          <w:rFonts w:cs="Times New Roman"/>
          <w:szCs w:val="24"/>
        </w:rPr>
        <w:fldChar w:fldCharType="end"/>
      </w:r>
      <w:r w:rsidR="004F5831">
        <w:rPr>
          <w:rFonts w:cs="Times New Roman"/>
          <w:szCs w:val="24"/>
        </w:rPr>
        <w:t xml:space="preserve"> beschriebene Doppelemulsionsmethode, auch wenn durch </w:t>
      </w:r>
      <w:r w:rsidR="004F5831">
        <w:rPr>
          <w:rFonts w:cs="Times New Roman"/>
          <w:szCs w:val="24"/>
        </w:rPr>
        <w:lastRenderedPageBreak/>
        <w:t>Verwendung des Mic</w:t>
      </w:r>
      <w:r w:rsidR="00385125">
        <w:rPr>
          <w:rFonts w:cs="Times New Roman"/>
          <w:szCs w:val="24"/>
        </w:rPr>
        <w:t>rofluidizers</w:t>
      </w:r>
      <w:r w:rsidR="00D75E1B">
        <w:rPr>
          <w:rFonts w:cs="Times New Roman"/>
          <w:szCs w:val="24"/>
        </w:rPr>
        <w:t xml:space="preserve"> das Potential zur Übertragung dieser Methode auf größere Maßstäbe voraussichtlich verbessert werden k</w:t>
      </w:r>
      <w:r w:rsidR="00B25469">
        <w:rPr>
          <w:rFonts w:cs="Times New Roman"/>
          <w:szCs w:val="24"/>
        </w:rPr>
        <w:t>onnte</w:t>
      </w:r>
      <w:r w:rsidR="00D75E1B">
        <w:rPr>
          <w:rFonts w:cs="Times New Roman"/>
          <w:szCs w:val="24"/>
        </w:rPr>
        <w:t>.</w:t>
      </w:r>
    </w:p>
    <w:p w14:paraId="41D6C530" w14:textId="77777777" w:rsidR="00831E75" w:rsidRPr="007C61EF" w:rsidRDefault="00831E75" w:rsidP="007C61EF">
      <w:pPr>
        <w:spacing w:after="120"/>
        <w:rPr>
          <w:rFonts w:cs="Times New Roman"/>
          <w:szCs w:val="24"/>
        </w:rPr>
      </w:pPr>
      <w:r w:rsidRPr="007C61EF">
        <w:rPr>
          <w:rFonts w:cs="Times New Roman"/>
          <w:szCs w:val="24"/>
        </w:rPr>
        <w:t>Die Partikelherstellung mithilfe überkritischer Medien bietet gegenüber den etablierten M</w:t>
      </w:r>
      <w:r w:rsidR="00045BC0" w:rsidRPr="007C61EF">
        <w:rPr>
          <w:rFonts w:cs="Times New Roman"/>
          <w:szCs w:val="24"/>
        </w:rPr>
        <w:t>ethoden</w:t>
      </w:r>
      <w:r w:rsidR="00D9628D">
        <w:rPr>
          <w:rFonts w:cs="Times New Roman"/>
          <w:szCs w:val="24"/>
        </w:rPr>
        <w:t>, wie beispielsweise der Doppelemulsionsmethode,</w:t>
      </w:r>
      <w:r w:rsidR="00045BC0" w:rsidRPr="007C61EF">
        <w:rPr>
          <w:rFonts w:cs="Times New Roman"/>
          <w:szCs w:val="24"/>
        </w:rPr>
        <w:t xml:space="preserve"> den erheblichen Vorteil</w:t>
      </w:r>
      <w:r w:rsidRPr="007C61EF">
        <w:rPr>
          <w:rFonts w:cs="Times New Roman"/>
          <w:szCs w:val="24"/>
        </w:rPr>
        <w:t xml:space="preserve"> ganz ohne die Verwendung </w:t>
      </w:r>
      <w:r w:rsidR="0016520F" w:rsidRPr="007C61EF">
        <w:rPr>
          <w:rFonts w:cs="Times New Roman"/>
          <w:szCs w:val="24"/>
        </w:rPr>
        <w:t xml:space="preserve">toxikologisch </w:t>
      </w:r>
      <w:r w:rsidRPr="007C61EF">
        <w:rPr>
          <w:rFonts w:cs="Times New Roman"/>
          <w:szCs w:val="24"/>
        </w:rPr>
        <w:t xml:space="preserve">bedenklicher organischer Lösungsmittel auszukommen. Das sogenannte RESS-Verfahren (Rapid Expansion of Supercritical Solution) ist bereits seit einigen Jahrzehnten als Partikelherstellungsmethode bekannt und nach wie vor Gegenstand aktueller Forschung. </w:t>
      </w:r>
      <w:r w:rsidR="0016520F" w:rsidRPr="007C61EF">
        <w:rPr>
          <w:rFonts w:cs="Times New Roman"/>
          <w:szCs w:val="24"/>
        </w:rPr>
        <w:t>Aufgrund der milden Prozessbedingungen eignet sich die Meth</w:t>
      </w:r>
      <w:r w:rsidR="002F4DBA" w:rsidRPr="007C61EF">
        <w:rPr>
          <w:rFonts w:cs="Times New Roman"/>
          <w:szCs w:val="24"/>
        </w:rPr>
        <w:t>ode</w:t>
      </w:r>
      <w:r w:rsidR="0016520F" w:rsidRPr="007C61EF">
        <w:rPr>
          <w:rFonts w:cs="Times New Roman"/>
          <w:szCs w:val="24"/>
        </w:rPr>
        <w:t xml:space="preserve"> zur Bearbeitung und Verkapselung </w:t>
      </w:r>
      <w:r w:rsidR="002F4DBA" w:rsidRPr="007C61EF">
        <w:rPr>
          <w:rFonts w:cs="Times New Roman"/>
          <w:szCs w:val="24"/>
        </w:rPr>
        <w:t>besonders</w:t>
      </w:r>
      <w:r w:rsidR="0016520F" w:rsidRPr="007C61EF">
        <w:rPr>
          <w:rFonts w:cs="Times New Roman"/>
          <w:szCs w:val="24"/>
        </w:rPr>
        <w:t xml:space="preserve"> labile</w:t>
      </w:r>
      <w:r w:rsidR="00AD1584">
        <w:rPr>
          <w:rFonts w:cs="Times New Roman"/>
          <w:szCs w:val="24"/>
        </w:rPr>
        <w:t xml:space="preserve">r Substanzen wie beispielsweise </w:t>
      </w:r>
      <w:r w:rsidR="0016520F" w:rsidRPr="007C61EF">
        <w:rPr>
          <w:rFonts w:cs="Times New Roman"/>
          <w:szCs w:val="24"/>
        </w:rPr>
        <w:t>Proteine</w:t>
      </w:r>
      <w:r w:rsidR="002F4DBA" w:rsidRPr="007C61EF">
        <w:rPr>
          <w:rStyle w:val="Endnotenzeichen"/>
          <w:rFonts w:cs="Times New Roman"/>
          <w:szCs w:val="24"/>
        </w:rPr>
        <w:endnoteReference w:id="145"/>
      </w:r>
      <w:r w:rsidR="0016520F" w:rsidRPr="007C61EF">
        <w:rPr>
          <w:rFonts w:cs="Times New Roman"/>
          <w:szCs w:val="24"/>
        </w:rPr>
        <w:t xml:space="preserve">. </w:t>
      </w:r>
      <w:r w:rsidRPr="007C61EF">
        <w:rPr>
          <w:rFonts w:cs="Times New Roman"/>
          <w:szCs w:val="24"/>
        </w:rPr>
        <w:t>Allgemein wird diesem Verfahren neben dem bereits erwähnten Vorteil im Hinblick auf die pharmazeutische Anwendung ein hohes Potential zur Übertragung auf industrielle Produktionsmaßstäbe zugeschrieben. Neben der Bearbeitung von Wirkstoffen</w:t>
      </w:r>
      <w:r w:rsidR="00E5633B" w:rsidRPr="007C61EF">
        <w:rPr>
          <w:rFonts w:cs="Times New Roman"/>
          <w:szCs w:val="24"/>
        </w:rPr>
        <w:t xml:space="preserve"> zur Löslichkeitsverbesserung wurde die Methode auch</w:t>
      </w:r>
      <w:r w:rsidR="00B2611F" w:rsidRPr="007C61EF">
        <w:rPr>
          <w:rFonts w:cs="Times New Roman"/>
          <w:szCs w:val="24"/>
        </w:rPr>
        <w:t xml:space="preserve"> bereits in der Vergangenheit</w:t>
      </w:r>
      <w:r w:rsidR="00E5633B" w:rsidRPr="007C61EF">
        <w:rPr>
          <w:rFonts w:cs="Times New Roman"/>
          <w:szCs w:val="24"/>
        </w:rPr>
        <w:t xml:space="preserve"> zur Herstellung von Polymerpartikeln herangezogen</w:t>
      </w:r>
      <w:r w:rsidRPr="007C61EF">
        <w:rPr>
          <w:rFonts w:cs="Times New Roman"/>
          <w:szCs w:val="24"/>
        </w:rPr>
        <w:t>. Die Umsetzung mit bioabbaubaren PLGA</w:t>
      </w:r>
      <w:r w:rsidR="00045BC0" w:rsidRPr="007C61EF">
        <w:rPr>
          <w:rFonts w:cs="Times New Roman"/>
          <w:szCs w:val="24"/>
        </w:rPr>
        <w:t xml:space="preserve"> Polymeren scheiterte jedoch</w:t>
      </w:r>
      <w:r w:rsidRPr="007C61EF">
        <w:rPr>
          <w:rFonts w:cs="Times New Roman"/>
          <w:szCs w:val="24"/>
        </w:rPr>
        <w:t xml:space="preserve"> in der Regel an der </w:t>
      </w:r>
      <w:r w:rsidR="00045BC0" w:rsidRPr="007C61EF">
        <w:rPr>
          <w:rFonts w:cs="Times New Roman"/>
          <w:szCs w:val="24"/>
        </w:rPr>
        <w:t>geringen</w:t>
      </w:r>
      <w:r w:rsidRPr="007C61EF">
        <w:rPr>
          <w:rFonts w:cs="Times New Roman"/>
          <w:szCs w:val="24"/>
        </w:rPr>
        <w:t xml:space="preserve"> Löslichkeit in überkri</w:t>
      </w:r>
      <w:r w:rsidR="00E5633B" w:rsidRPr="007C61EF">
        <w:rPr>
          <w:rFonts w:cs="Times New Roman"/>
          <w:szCs w:val="24"/>
        </w:rPr>
        <w:t xml:space="preserve">tischem Kohlenstoffdioxid. </w:t>
      </w:r>
      <w:r w:rsidR="00045BC0" w:rsidRPr="007C61EF">
        <w:rPr>
          <w:rFonts w:cs="Times New Roman"/>
          <w:szCs w:val="24"/>
        </w:rPr>
        <w:t>Die vollständige Löslichkeit des Substrats im überkritischen Fluid stellt allerdings eine notwendige Voraussetzung z</w:t>
      </w:r>
      <w:r w:rsidR="00E5633B" w:rsidRPr="007C61EF">
        <w:rPr>
          <w:rFonts w:cs="Times New Roman"/>
          <w:szCs w:val="24"/>
        </w:rPr>
        <w:t>ur erfolgreichen Durc</w:t>
      </w:r>
      <w:r w:rsidR="00045BC0" w:rsidRPr="007C61EF">
        <w:rPr>
          <w:rFonts w:cs="Times New Roman"/>
          <w:szCs w:val="24"/>
        </w:rPr>
        <w:t xml:space="preserve">hführung des RESS-Prozesses dar. Hieraus ergab sich eine der wesentlichen Aufgabenstellungen der Arbeit, die Verbesserung der Löslichkeit der Polymere </w:t>
      </w:r>
      <w:r w:rsidR="00312CFF" w:rsidRPr="007C61EF">
        <w:rPr>
          <w:rFonts w:cs="Times New Roman"/>
          <w:szCs w:val="24"/>
        </w:rPr>
        <w:t>in überkritischem Fluid</w:t>
      </w:r>
      <w:r w:rsidR="00045BC0" w:rsidRPr="007C61EF">
        <w:rPr>
          <w:rFonts w:cs="Times New Roman"/>
          <w:szCs w:val="24"/>
        </w:rPr>
        <w:t xml:space="preserve"> bzw. die Identifikation löslicher Polymertypen.</w:t>
      </w:r>
      <w:r w:rsidR="00AC601D" w:rsidRPr="007C61EF">
        <w:rPr>
          <w:rFonts w:cs="Times New Roman"/>
          <w:szCs w:val="24"/>
        </w:rPr>
        <w:t xml:space="preserve"> </w:t>
      </w:r>
      <w:r w:rsidR="001D050F">
        <w:rPr>
          <w:rFonts w:cs="Times New Roman"/>
          <w:szCs w:val="24"/>
        </w:rPr>
        <w:t>Ein weiteres Ziel dieser</w:t>
      </w:r>
      <w:r w:rsidR="00B2611F" w:rsidRPr="007C61EF">
        <w:rPr>
          <w:rFonts w:cs="Times New Roman"/>
          <w:szCs w:val="24"/>
        </w:rPr>
        <w:t xml:space="preserve"> Arbeit war, den Prozess möglichst effi</w:t>
      </w:r>
      <w:r w:rsidR="00D9628D">
        <w:rPr>
          <w:rFonts w:cs="Times New Roman"/>
          <w:szCs w:val="24"/>
        </w:rPr>
        <w:t>zient zu gestalten und somit dessen</w:t>
      </w:r>
      <w:r w:rsidR="00B2611F" w:rsidRPr="007C61EF">
        <w:rPr>
          <w:rFonts w:cs="Times New Roman"/>
          <w:szCs w:val="24"/>
        </w:rPr>
        <w:t xml:space="preserve"> Attraktivität für eine industrielle Nutzung zu steigern.</w:t>
      </w:r>
    </w:p>
    <w:p w14:paraId="6757A6FD" w14:textId="77777777" w:rsidR="003B37C5" w:rsidRDefault="003B37C5" w:rsidP="00996F38">
      <w:pPr>
        <w:pStyle w:val="berschrift3"/>
      </w:pPr>
      <w:bookmarkStart w:id="249" w:name="_Toc294380260"/>
      <w:r>
        <w:t>Theorie und Grundlagen</w:t>
      </w:r>
      <w:bookmarkEnd w:id="249"/>
    </w:p>
    <w:p w14:paraId="28AE2EF9" w14:textId="77777777" w:rsidR="006318E5" w:rsidRPr="007C61EF" w:rsidRDefault="006318E5" w:rsidP="007C61EF">
      <w:pPr>
        <w:spacing w:after="120"/>
        <w:rPr>
          <w:rFonts w:cs="Times New Roman"/>
          <w:bCs/>
          <w:szCs w:val="24"/>
        </w:rPr>
      </w:pPr>
      <w:r w:rsidRPr="007C61EF">
        <w:rPr>
          <w:rFonts w:cs="Times New Roman"/>
          <w:bCs/>
          <w:szCs w:val="24"/>
        </w:rPr>
        <w:t>Die Entdeckung, dass ein Feststoff in einem überkritischen Fluid gelöst werden kann, stammt aus dem 19</w:t>
      </w:r>
      <w:r w:rsidR="00B82771" w:rsidRPr="007C61EF">
        <w:rPr>
          <w:rFonts w:cs="Times New Roman"/>
          <w:bCs/>
          <w:szCs w:val="24"/>
        </w:rPr>
        <w:t xml:space="preserve">. Jahrhundert und geht auf </w:t>
      </w:r>
      <w:r w:rsidR="00721170" w:rsidRPr="007C61EF">
        <w:rPr>
          <w:rFonts w:cs="Times New Roman"/>
          <w:bCs/>
          <w:szCs w:val="24"/>
        </w:rPr>
        <w:t xml:space="preserve">Arbeiten von Hannay und </w:t>
      </w:r>
      <w:r w:rsidR="00B82771" w:rsidRPr="007C61EF">
        <w:rPr>
          <w:rFonts w:cs="Times New Roman"/>
          <w:bCs/>
          <w:szCs w:val="24"/>
        </w:rPr>
        <w:t>Hogar</w:t>
      </w:r>
      <w:r w:rsidRPr="007C61EF">
        <w:rPr>
          <w:rFonts w:cs="Times New Roman"/>
          <w:bCs/>
          <w:szCs w:val="24"/>
        </w:rPr>
        <w:t>th zurück</w:t>
      </w:r>
      <w:r w:rsidRPr="007C61EF">
        <w:rPr>
          <w:rFonts w:cs="Times New Roman"/>
          <w:bCs/>
          <w:szCs w:val="24"/>
          <w:vertAlign w:val="superscript"/>
        </w:rPr>
        <w:endnoteReference w:id="146"/>
      </w:r>
      <w:r w:rsidRPr="007C61EF">
        <w:rPr>
          <w:rFonts w:cs="Times New Roman"/>
          <w:bCs/>
          <w:szCs w:val="24"/>
        </w:rPr>
        <w:t>. Spätere Arbeiten auf diesem Gebiet, woraus sich schließlich der RESS-Prozess entwickelte, stammen von einem Team des Battelle Instituts (USA) in den 1980er Jahren</w:t>
      </w:r>
      <w:r w:rsidRPr="007C61EF">
        <w:rPr>
          <w:rFonts w:cs="Times New Roman"/>
          <w:bCs/>
          <w:szCs w:val="24"/>
          <w:vertAlign w:val="superscript"/>
        </w:rPr>
        <w:endnoteReference w:id="147"/>
      </w:r>
      <w:r w:rsidR="00385125" w:rsidRPr="00385125">
        <w:rPr>
          <w:rFonts w:cs="Times New Roman"/>
          <w:bCs/>
          <w:szCs w:val="24"/>
          <w:vertAlign w:val="superscript"/>
        </w:rPr>
        <w:t>,</w:t>
      </w:r>
      <w:r w:rsidRPr="007C61EF">
        <w:rPr>
          <w:rFonts w:cs="Times New Roman"/>
          <w:bCs/>
          <w:szCs w:val="24"/>
          <w:vertAlign w:val="superscript"/>
        </w:rPr>
        <w:endnoteReference w:id="148"/>
      </w:r>
      <w:r w:rsidR="00385125">
        <w:rPr>
          <w:rFonts w:cs="Times New Roman"/>
          <w:bCs/>
          <w:szCs w:val="24"/>
          <w:vertAlign w:val="superscript"/>
        </w:rPr>
        <w:t>,</w:t>
      </w:r>
      <w:r w:rsidRPr="007C61EF">
        <w:rPr>
          <w:rFonts w:cs="Times New Roman"/>
          <w:bCs/>
          <w:szCs w:val="24"/>
          <w:vertAlign w:val="superscript"/>
        </w:rPr>
        <w:endnoteReference w:id="149"/>
      </w:r>
      <w:r w:rsidRPr="007C61EF">
        <w:rPr>
          <w:rFonts w:cs="Times New Roman"/>
          <w:bCs/>
          <w:szCs w:val="24"/>
        </w:rPr>
        <w:t>.</w:t>
      </w:r>
      <w:r w:rsidR="00721170" w:rsidRPr="007C61EF">
        <w:rPr>
          <w:rFonts w:cs="Times New Roman"/>
          <w:bCs/>
          <w:szCs w:val="24"/>
        </w:rPr>
        <w:t xml:space="preserve"> Einen sehr guten Überblick über Prozesse mit überkritischen Fluiden zur Erzeugung von Partikeln bietet die Literatur- und Patentrecherche von J. Jung </w:t>
      </w:r>
      <w:bookmarkStart w:id="250" w:name="_Ref384911076"/>
      <w:r w:rsidR="0097098D" w:rsidRPr="007C61EF">
        <w:rPr>
          <w:rFonts w:cs="Times New Roman"/>
          <w:bCs/>
          <w:szCs w:val="24"/>
        </w:rPr>
        <w:t>und M. Perrut aus dem Jahre 2001</w:t>
      </w:r>
      <w:r w:rsidR="00721170" w:rsidRPr="007C61EF">
        <w:rPr>
          <w:rFonts w:cs="Times New Roman"/>
          <w:bCs/>
          <w:szCs w:val="24"/>
          <w:vertAlign w:val="superscript"/>
        </w:rPr>
        <w:endnoteReference w:id="150"/>
      </w:r>
      <w:bookmarkEnd w:id="250"/>
      <w:r w:rsidR="0097098D" w:rsidRPr="007C61EF">
        <w:rPr>
          <w:rFonts w:cs="Times New Roman"/>
          <w:bCs/>
          <w:szCs w:val="24"/>
        </w:rPr>
        <w:t>. Darin werden</w:t>
      </w:r>
      <w:r w:rsidR="00721170" w:rsidRPr="007C61EF">
        <w:rPr>
          <w:rFonts w:cs="Times New Roman"/>
          <w:bCs/>
          <w:szCs w:val="24"/>
        </w:rPr>
        <w:t xml:space="preserve"> unterschiedliche Ve</w:t>
      </w:r>
      <w:r w:rsidR="0097098D" w:rsidRPr="007C61EF">
        <w:rPr>
          <w:rFonts w:cs="Times New Roman"/>
          <w:bCs/>
          <w:szCs w:val="24"/>
        </w:rPr>
        <w:t>rfahren sowie</w:t>
      </w:r>
      <w:r w:rsidR="00721170" w:rsidRPr="007C61EF">
        <w:rPr>
          <w:rFonts w:cs="Times New Roman"/>
          <w:bCs/>
          <w:szCs w:val="24"/>
        </w:rPr>
        <w:t xml:space="preserve"> bereits angemeldete Patente</w:t>
      </w:r>
      <w:r w:rsidR="0097098D" w:rsidRPr="007C61EF">
        <w:rPr>
          <w:rFonts w:cs="Times New Roman"/>
          <w:bCs/>
          <w:szCs w:val="24"/>
        </w:rPr>
        <w:t xml:space="preserve"> beschrieben</w:t>
      </w:r>
      <w:r w:rsidR="00721170" w:rsidRPr="007C61EF">
        <w:rPr>
          <w:rFonts w:cs="Times New Roman"/>
          <w:bCs/>
          <w:szCs w:val="24"/>
        </w:rPr>
        <w:t>. Neuere Zusammenfassungen über Veröffentlichungen von Arbeiten mit überkritischen Fluiden zur Partikelgenese haben Fanges et al. (2004)</w:t>
      </w:r>
      <w:r w:rsidR="00721170" w:rsidRPr="007C61EF">
        <w:rPr>
          <w:rFonts w:cs="Times New Roman"/>
          <w:bCs/>
          <w:szCs w:val="24"/>
          <w:vertAlign w:val="superscript"/>
        </w:rPr>
        <w:endnoteReference w:id="151"/>
      </w:r>
      <w:r w:rsidR="0097098D" w:rsidRPr="007C61EF">
        <w:rPr>
          <w:rFonts w:cs="Times New Roman"/>
          <w:bCs/>
          <w:szCs w:val="24"/>
        </w:rPr>
        <w:t>, S. Yeo und E. Kiran (2005</w:t>
      </w:r>
      <w:r w:rsidR="00721170" w:rsidRPr="007C61EF">
        <w:rPr>
          <w:rFonts w:cs="Times New Roman"/>
          <w:bCs/>
          <w:szCs w:val="24"/>
        </w:rPr>
        <w:t>)</w:t>
      </w:r>
      <w:r w:rsidR="00721170" w:rsidRPr="007C61EF">
        <w:rPr>
          <w:rFonts w:cs="Times New Roman"/>
          <w:bCs/>
          <w:szCs w:val="24"/>
          <w:vertAlign w:val="superscript"/>
        </w:rPr>
        <w:endnoteReference w:id="152"/>
      </w:r>
      <w:r w:rsidR="00721170" w:rsidRPr="007C61EF">
        <w:rPr>
          <w:rFonts w:cs="Times New Roman"/>
          <w:bCs/>
          <w:szCs w:val="24"/>
        </w:rPr>
        <w:t>, K. Mishima (2008)</w:t>
      </w:r>
      <w:r w:rsidR="00721170" w:rsidRPr="007C61EF">
        <w:rPr>
          <w:rFonts w:cs="Times New Roman"/>
          <w:bCs/>
          <w:szCs w:val="24"/>
          <w:vertAlign w:val="superscript"/>
        </w:rPr>
        <w:endnoteReference w:id="153"/>
      </w:r>
      <w:r w:rsidR="0097098D" w:rsidRPr="007C61EF">
        <w:rPr>
          <w:rFonts w:cs="Times New Roman"/>
          <w:bCs/>
          <w:szCs w:val="24"/>
        </w:rPr>
        <w:t>, M. Türk (2009</w:t>
      </w:r>
      <w:r w:rsidR="00721170" w:rsidRPr="007C61EF">
        <w:rPr>
          <w:rFonts w:cs="Times New Roman"/>
          <w:bCs/>
          <w:szCs w:val="24"/>
        </w:rPr>
        <w:t>)</w:t>
      </w:r>
      <w:bookmarkStart w:id="251" w:name="_Ref384910260"/>
      <w:r w:rsidR="00721170" w:rsidRPr="007C61EF">
        <w:rPr>
          <w:rFonts w:cs="Times New Roman"/>
          <w:bCs/>
          <w:szCs w:val="24"/>
          <w:vertAlign w:val="superscript"/>
        </w:rPr>
        <w:endnoteReference w:id="154"/>
      </w:r>
      <w:bookmarkEnd w:id="251"/>
      <w:r w:rsidR="00721170" w:rsidRPr="007C61EF">
        <w:rPr>
          <w:rFonts w:cs="Times New Roman"/>
          <w:bCs/>
          <w:szCs w:val="24"/>
        </w:rPr>
        <w:t xml:space="preserve"> und Reverchon et al. (2009)</w:t>
      </w:r>
      <w:r w:rsidR="00721170" w:rsidRPr="007C61EF">
        <w:rPr>
          <w:rFonts w:cs="Times New Roman"/>
          <w:bCs/>
          <w:szCs w:val="24"/>
          <w:vertAlign w:val="superscript"/>
        </w:rPr>
        <w:endnoteReference w:id="155"/>
      </w:r>
      <w:r w:rsidR="003053A1" w:rsidRPr="007C61EF">
        <w:rPr>
          <w:rFonts w:cs="Times New Roman"/>
          <w:bCs/>
          <w:szCs w:val="24"/>
        </w:rPr>
        <w:t xml:space="preserve"> ausgearbeitet</w:t>
      </w:r>
      <w:r w:rsidR="00721170" w:rsidRPr="007C61EF">
        <w:rPr>
          <w:rFonts w:cs="Times New Roman"/>
          <w:bCs/>
          <w:szCs w:val="24"/>
        </w:rPr>
        <w:t>. Eine der aktuellsten Veröffentlichungen über Prozessdesign mit überkritischen Fluiden stammt aus dem Jahre 2013 von Priamo et al.</w:t>
      </w:r>
      <w:r w:rsidR="00721170" w:rsidRPr="007C61EF">
        <w:rPr>
          <w:rFonts w:cs="Times New Roman"/>
          <w:bCs/>
          <w:szCs w:val="24"/>
          <w:vertAlign w:val="superscript"/>
        </w:rPr>
        <w:endnoteReference w:id="156"/>
      </w:r>
      <w:r w:rsidR="00721170" w:rsidRPr="007C61EF">
        <w:rPr>
          <w:rFonts w:cs="Times New Roman"/>
          <w:bCs/>
          <w:szCs w:val="24"/>
        </w:rPr>
        <w:t>.</w:t>
      </w:r>
    </w:p>
    <w:p w14:paraId="3D4CD1FC" w14:textId="77777777" w:rsidR="00A41F47" w:rsidRDefault="00A41F47" w:rsidP="007C61EF">
      <w:pPr>
        <w:spacing w:after="120"/>
        <w:rPr>
          <w:rFonts w:cs="Times New Roman"/>
          <w:bCs/>
          <w:szCs w:val="24"/>
        </w:rPr>
      </w:pPr>
      <w:r w:rsidRPr="007C61EF">
        <w:rPr>
          <w:rFonts w:cs="Times New Roman"/>
          <w:bCs/>
          <w:szCs w:val="24"/>
        </w:rPr>
        <w:t>Beim RESS-Verfahren wird das Substrat in</w:t>
      </w:r>
      <w:r w:rsidR="00CE759C" w:rsidRPr="007C61EF">
        <w:rPr>
          <w:rFonts w:cs="Times New Roman"/>
          <w:bCs/>
          <w:szCs w:val="24"/>
        </w:rPr>
        <w:t xml:space="preserve"> einem überkritischen</w:t>
      </w:r>
      <w:r w:rsidRPr="007C61EF">
        <w:rPr>
          <w:rFonts w:cs="Times New Roman"/>
          <w:bCs/>
          <w:szCs w:val="24"/>
        </w:rPr>
        <w:t xml:space="preserve"> </w:t>
      </w:r>
      <w:r w:rsidR="00385125">
        <w:rPr>
          <w:rFonts w:cs="Times New Roman"/>
          <w:bCs/>
          <w:szCs w:val="24"/>
        </w:rPr>
        <w:t xml:space="preserve">Gas (meist </w:t>
      </w:r>
      <w:r w:rsidR="00CE759C" w:rsidRPr="007C61EF">
        <w:rPr>
          <w:rFonts w:cs="Times New Roman"/>
          <w:bCs/>
          <w:szCs w:val="24"/>
        </w:rPr>
        <w:t xml:space="preserve">Kohlenstoffdioxid = </w:t>
      </w:r>
      <w:r w:rsidRPr="007C61EF">
        <w:rPr>
          <w:rFonts w:cs="Times New Roman"/>
          <w:bCs/>
          <w:szCs w:val="24"/>
        </w:rPr>
        <w:t>CO</w:t>
      </w:r>
      <w:r w:rsidRPr="007C61EF">
        <w:rPr>
          <w:rFonts w:cs="Times New Roman"/>
          <w:bCs/>
          <w:szCs w:val="24"/>
          <w:vertAlign w:val="subscript"/>
        </w:rPr>
        <w:t>2</w:t>
      </w:r>
      <w:r w:rsidR="00C14A24">
        <w:rPr>
          <w:rFonts w:cs="Times New Roman"/>
          <w:bCs/>
          <w:szCs w:val="24"/>
        </w:rPr>
        <w:t>) gelöst und durch</w:t>
      </w:r>
      <w:r w:rsidRPr="007C61EF">
        <w:rPr>
          <w:rFonts w:cs="Times New Roman"/>
          <w:bCs/>
          <w:szCs w:val="24"/>
        </w:rPr>
        <w:t xml:space="preserve"> eine Düse in e</w:t>
      </w:r>
      <w:r w:rsidR="00426FE9" w:rsidRPr="007C61EF">
        <w:rPr>
          <w:rFonts w:cs="Times New Roman"/>
          <w:bCs/>
          <w:szCs w:val="24"/>
        </w:rPr>
        <w:t xml:space="preserve">inen Sammelbehälter gesprüht. </w:t>
      </w:r>
      <w:r w:rsidR="00426FE9" w:rsidRPr="007C61EF">
        <w:rPr>
          <w:rFonts w:cs="Times New Roman"/>
          <w:bCs/>
          <w:szCs w:val="24"/>
        </w:rPr>
        <w:lastRenderedPageBreak/>
        <w:t>D</w:t>
      </w:r>
      <w:r w:rsidRPr="007C61EF">
        <w:rPr>
          <w:rFonts w:cs="Times New Roman"/>
          <w:bCs/>
          <w:szCs w:val="24"/>
        </w:rPr>
        <w:t xml:space="preserve">abei </w:t>
      </w:r>
      <w:r w:rsidR="00426FE9" w:rsidRPr="007C61EF">
        <w:rPr>
          <w:rFonts w:cs="Times New Roman"/>
          <w:bCs/>
          <w:szCs w:val="24"/>
        </w:rPr>
        <w:t xml:space="preserve">wird die überkritische Lösung </w:t>
      </w:r>
      <w:r w:rsidRPr="007C61EF">
        <w:rPr>
          <w:rFonts w:cs="Times New Roman"/>
          <w:bCs/>
          <w:szCs w:val="24"/>
        </w:rPr>
        <w:t>schlagartig auf a</w:t>
      </w:r>
      <w:r w:rsidR="00936188" w:rsidRPr="007C61EF">
        <w:rPr>
          <w:rFonts w:cs="Times New Roman"/>
          <w:bCs/>
          <w:szCs w:val="24"/>
        </w:rPr>
        <w:t xml:space="preserve">tmosphärischen Druck entspannt. </w:t>
      </w:r>
      <w:r w:rsidRPr="007C61EF">
        <w:rPr>
          <w:rFonts w:cs="Times New Roman"/>
          <w:bCs/>
          <w:szCs w:val="24"/>
        </w:rPr>
        <w:t>Die</w:t>
      </w:r>
      <w:r w:rsidR="00426FE9" w:rsidRPr="007C61EF">
        <w:rPr>
          <w:rFonts w:cs="Times New Roman"/>
          <w:bCs/>
          <w:szCs w:val="24"/>
        </w:rPr>
        <w:t>se extrem</w:t>
      </w:r>
      <w:r w:rsidRPr="007C61EF">
        <w:rPr>
          <w:rFonts w:cs="Times New Roman"/>
          <w:bCs/>
          <w:szCs w:val="24"/>
        </w:rPr>
        <w:t xml:space="preserve"> schelle Druckabsenkung bewirkt einen sprunghaften Übergang </w:t>
      </w:r>
      <w:r w:rsidR="00426FE9" w:rsidRPr="007C61EF">
        <w:rPr>
          <w:rFonts w:cs="Times New Roman"/>
          <w:bCs/>
          <w:szCs w:val="24"/>
        </w:rPr>
        <w:t xml:space="preserve">des Kohlenstoffdioxids </w:t>
      </w:r>
      <w:r w:rsidRPr="007C61EF">
        <w:rPr>
          <w:rFonts w:cs="Times New Roman"/>
          <w:bCs/>
          <w:szCs w:val="24"/>
        </w:rPr>
        <w:t>vom überk</w:t>
      </w:r>
      <w:r w:rsidR="002F4DBA" w:rsidRPr="007C61EF">
        <w:rPr>
          <w:rFonts w:cs="Times New Roman"/>
          <w:bCs/>
          <w:szCs w:val="24"/>
        </w:rPr>
        <w:t>ritischen in den gasförmigen</w:t>
      </w:r>
      <w:r w:rsidRPr="007C61EF">
        <w:rPr>
          <w:rFonts w:cs="Times New Roman"/>
          <w:bCs/>
          <w:szCs w:val="24"/>
        </w:rPr>
        <w:t xml:space="preserve"> Aggregatzustand. Damit wird aus dem Lösungsmittel schlagartig ein Nichtlösungsmittel für das Substrat, die Löslichkeitsgrenze wird sprunghaft überschritten und das Substrat fällt als Feststoff</w:t>
      </w:r>
      <w:r w:rsidR="00C14A24">
        <w:rPr>
          <w:rFonts w:cs="Times New Roman"/>
          <w:bCs/>
          <w:szCs w:val="24"/>
        </w:rPr>
        <w:t xml:space="preserve"> in feinpartikulärer Form</w:t>
      </w:r>
      <w:r w:rsidRPr="007C61EF">
        <w:rPr>
          <w:rFonts w:cs="Times New Roman"/>
          <w:bCs/>
          <w:szCs w:val="24"/>
        </w:rPr>
        <w:t xml:space="preserve"> aus.</w:t>
      </w:r>
      <w:r w:rsidR="002F4DBA" w:rsidRPr="007C61EF">
        <w:rPr>
          <w:rFonts w:cs="Times New Roman"/>
          <w:bCs/>
          <w:szCs w:val="24"/>
        </w:rPr>
        <w:t xml:space="preserve"> Ein allgemeiner Aufbau einer RESS-Versuchsanlage wird in </w:t>
      </w:r>
      <w:r w:rsidR="00D16240" w:rsidRPr="007C61EF">
        <w:rPr>
          <w:rFonts w:cs="Times New Roman"/>
          <w:bCs/>
          <w:szCs w:val="24"/>
        </w:rPr>
        <w:fldChar w:fldCharType="begin"/>
      </w:r>
      <w:r w:rsidR="002F4DBA" w:rsidRPr="007C61EF">
        <w:rPr>
          <w:rFonts w:cs="Times New Roman"/>
          <w:bCs/>
          <w:szCs w:val="24"/>
        </w:rPr>
        <w:instrText xml:space="preserve"> REF _Ref267264651 \h </w:instrText>
      </w:r>
      <w:r w:rsidR="00D16240" w:rsidRPr="007C61EF">
        <w:rPr>
          <w:rFonts w:cs="Times New Roman"/>
          <w:bCs/>
          <w:szCs w:val="24"/>
        </w:rPr>
      </w:r>
      <w:r w:rsidR="00D16240" w:rsidRPr="007C61EF">
        <w:rPr>
          <w:rFonts w:cs="Times New Roman"/>
          <w:bCs/>
          <w:szCs w:val="24"/>
        </w:rPr>
        <w:fldChar w:fldCharType="separate"/>
      </w:r>
      <w:r w:rsidR="00711AB8" w:rsidRPr="000177AA">
        <w:t xml:space="preserve">Abbildung </w:t>
      </w:r>
      <w:r w:rsidR="00711AB8">
        <w:rPr>
          <w:noProof/>
        </w:rPr>
        <w:t>32</w:t>
      </w:r>
      <w:r w:rsidR="00D16240" w:rsidRPr="007C61EF">
        <w:rPr>
          <w:rFonts w:cs="Times New Roman"/>
          <w:bCs/>
          <w:szCs w:val="24"/>
        </w:rPr>
        <w:fldChar w:fldCharType="end"/>
      </w:r>
      <w:r w:rsidR="002F4DBA" w:rsidRPr="007C61EF">
        <w:rPr>
          <w:rFonts w:cs="Times New Roman"/>
          <w:bCs/>
          <w:szCs w:val="24"/>
        </w:rPr>
        <w:t xml:space="preserve"> skizziert.</w:t>
      </w:r>
    </w:p>
    <w:p w14:paraId="47208DFB" w14:textId="77777777" w:rsidR="00281C03" w:rsidRPr="007C61EF" w:rsidRDefault="00281C03" w:rsidP="007C61EF">
      <w:pPr>
        <w:spacing w:after="120"/>
        <w:rPr>
          <w:rFonts w:cs="Times New Roman"/>
          <w:bCs/>
          <w:szCs w:val="24"/>
        </w:rPr>
      </w:pPr>
    </w:p>
    <w:p w14:paraId="46F3C36E" w14:textId="77777777" w:rsidR="000177AA" w:rsidRDefault="000177AA" w:rsidP="00AA0A0C">
      <w:pPr>
        <w:widowControl w:val="0"/>
        <w:autoSpaceDE w:val="0"/>
        <w:autoSpaceDN w:val="0"/>
        <w:adjustRightInd w:val="0"/>
        <w:spacing w:line="240" w:lineRule="auto"/>
        <w:rPr>
          <w:rFonts w:ascii="Times" w:hAnsi="Times" w:cs="Times"/>
          <w:szCs w:val="24"/>
        </w:rPr>
      </w:pPr>
      <w:r>
        <w:rPr>
          <w:rFonts w:ascii="Times" w:hAnsi="Times" w:cs="Times"/>
          <w:noProof/>
          <w:szCs w:val="24"/>
          <w:lang w:eastAsia="de-DE"/>
        </w:rPr>
        <w:drawing>
          <wp:anchor distT="0" distB="0" distL="114300" distR="114300" simplePos="0" relativeHeight="251680768" behindDoc="0" locked="0" layoutInCell="1" allowOverlap="1" wp14:anchorId="2C130013" wp14:editId="6FF6ACF8">
            <wp:simplePos x="0" y="0"/>
            <wp:positionH relativeFrom="column">
              <wp:posOffset>899795</wp:posOffset>
            </wp:positionH>
            <wp:positionV relativeFrom="paragraph">
              <wp:align>top</wp:align>
            </wp:positionV>
            <wp:extent cx="4627880" cy="2407920"/>
            <wp:effectExtent l="19050" t="0" r="1270" b="0"/>
            <wp:wrapSquare wrapText="bothSides"/>
            <wp:docPr id="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27880" cy="2407920"/>
                    </a:xfrm>
                    <a:prstGeom prst="rect">
                      <a:avLst/>
                    </a:prstGeom>
                    <a:noFill/>
                    <a:ln>
                      <a:noFill/>
                    </a:ln>
                  </pic:spPr>
                </pic:pic>
              </a:graphicData>
            </a:graphic>
          </wp:anchor>
        </w:drawing>
      </w:r>
      <w:r w:rsidR="00AA0A0C">
        <w:rPr>
          <w:rFonts w:ascii="Times" w:hAnsi="Times" w:cs="Times"/>
          <w:szCs w:val="24"/>
        </w:rPr>
        <w:br w:type="textWrapping" w:clear="all"/>
      </w:r>
    </w:p>
    <w:p w14:paraId="109D265C" w14:textId="77777777" w:rsidR="00281C03" w:rsidRPr="007E7407" w:rsidRDefault="000177AA" w:rsidP="007E7407">
      <w:pPr>
        <w:pStyle w:val="Beschriftung"/>
        <w:spacing w:after="240"/>
        <w:ind w:firstLine="0"/>
        <w:rPr>
          <w:b w:val="0"/>
        </w:rPr>
      </w:pPr>
      <w:bookmarkStart w:id="252" w:name="_Ref267264651"/>
      <w:r w:rsidRPr="000177AA">
        <w:t xml:space="preserve">Abbildung </w:t>
      </w:r>
      <w:fldSimple w:instr=" SEQ Abbildung \* ARABIC ">
        <w:r w:rsidR="00711AB8">
          <w:rPr>
            <w:noProof/>
          </w:rPr>
          <w:t>32</w:t>
        </w:r>
      </w:fldSimple>
      <w:bookmarkEnd w:id="252"/>
      <w:r>
        <w:t xml:space="preserve"> </w:t>
      </w:r>
      <w:r>
        <w:rPr>
          <w:b w:val="0"/>
        </w:rPr>
        <w:t>Allgemeiner Aufbau einer RESS-Versuchsanlage; links: Druckgasflasche mit Pumpe; Mitte: Druckbehälter mit Rührvorrichtung, enthält die überkritische Lösung; rechts: Düse und Sammelbehälter für das Produkt</w:t>
      </w:r>
      <w:r w:rsidR="006E5FD9">
        <w:rPr>
          <w:b w:val="0"/>
        </w:rPr>
        <w:t>.</w:t>
      </w:r>
    </w:p>
    <w:p w14:paraId="77D55143" w14:textId="77777777" w:rsidR="00B2611F" w:rsidRDefault="003B37C5" w:rsidP="001539E5">
      <w:pPr>
        <w:pStyle w:val="berschrift3"/>
        <w:spacing w:before="480" w:after="120"/>
      </w:pPr>
      <w:bookmarkStart w:id="253" w:name="_Ref268459720"/>
      <w:bookmarkStart w:id="254" w:name="_Toc294380261"/>
      <w:r>
        <w:t>Aufbau der Versuchsanlage</w:t>
      </w:r>
      <w:r w:rsidR="00533AA6">
        <w:t xml:space="preserve"> und Versuchsbeschreibung</w:t>
      </w:r>
      <w:bookmarkEnd w:id="253"/>
      <w:bookmarkEnd w:id="254"/>
    </w:p>
    <w:p w14:paraId="4D9B803C" w14:textId="77777777" w:rsidR="00273F43" w:rsidRPr="00743A8B" w:rsidRDefault="00193D15" w:rsidP="001539E5">
      <w:pPr>
        <w:pStyle w:val="berschrift4"/>
        <w:spacing w:before="240"/>
        <w:ind w:left="862" w:hanging="862"/>
      </w:pPr>
      <w:bookmarkStart w:id="255" w:name="_Toc294380262"/>
      <w:r w:rsidRPr="00743A8B">
        <w:t xml:space="preserve">Vorläufiger </w:t>
      </w:r>
      <w:r w:rsidR="00273F43" w:rsidRPr="00743A8B">
        <w:t>Aufbau für den Machbarkeitsnachweis</w:t>
      </w:r>
      <w:bookmarkEnd w:id="255"/>
    </w:p>
    <w:p w14:paraId="6193523D" w14:textId="77777777" w:rsidR="00B2611F" w:rsidRPr="007C61EF" w:rsidRDefault="004C1F86" w:rsidP="007C61EF">
      <w:r w:rsidRPr="007C61EF">
        <w:t>Zunächst wurde</w:t>
      </w:r>
      <w:r w:rsidR="00B2611F" w:rsidRPr="007C61EF">
        <w:t xml:space="preserve"> ein einfacher Versuchsaufbau nach Vorbild einer von Kongsombut et al. bes</w:t>
      </w:r>
      <w:r w:rsidRPr="007C61EF">
        <w:t xml:space="preserve">chriebenen </w:t>
      </w:r>
      <w:r w:rsidR="00426FE9" w:rsidRPr="007C61EF">
        <w:t>Versuchsa</w:t>
      </w:r>
      <w:r w:rsidRPr="007C61EF">
        <w:t>nlage gewählt</w:t>
      </w:r>
      <w:r w:rsidR="00B2611F" w:rsidRPr="007C61EF">
        <w:t>, um den Machbarkeitsnachweis für die Partikelherstellung aus PLGA zu erbringen</w:t>
      </w:r>
      <w:r w:rsidR="00B2611F" w:rsidRPr="007C61EF">
        <w:rPr>
          <w:vertAlign w:val="superscript"/>
        </w:rPr>
        <w:endnoteReference w:id="157"/>
      </w:r>
      <w:r w:rsidR="00B2611F" w:rsidRPr="007C61EF">
        <w:t>. Kongsombut zeigte, dass durch die Verwendung von Ethanol als Lösungsvermittler die Löslichkeit von PLGA</w:t>
      </w:r>
      <w:r w:rsidR="007970F4">
        <w:t xml:space="preserve"> in CO</w:t>
      </w:r>
      <w:r w:rsidR="007970F4">
        <w:rPr>
          <w:vertAlign w:val="subscript"/>
        </w:rPr>
        <w:t>2</w:t>
      </w:r>
      <w:r w:rsidR="00B2611F" w:rsidRPr="007C61EF">
        <w:t xml:space="preserve"> deutlich erhöht werden kann. Da die Verwendung von Ethanol in pharmazeutischen Produkten weit verbreitet und unter toxikologischen Gesichtspunkten gerade im Vergleich zu anderen organischen Lösungsmitteln</w:t>
      </w:r>
      <w:r w:rsidR="000C522C" w:rsidRPr="007C61EF">
        <w:t xml:space="preserve"> unbedenklich ist, wurde</w:t>
      </w:r>
      <w:r w:rsidR="00CF2C4F" w:rsidRPr="007C61EF">
        <w:t xml:space="preserve"> es</w:t>
      </w:r>
      <w:r w:rsidR="00B2611F" w:rsidRPr="007C61EF">
        <w:t xml:space="preserve"> in der vorliegenden Arbeit als Cosolvens eingesetzt.</w:t>
      </w:r>
    </w:p>
    <w:p w14:paraId="6BC6E332" w14:textId="77777777" w:rsidR="00CF2C4F" w:rsidRPr="007C61EF" w:rsidRDefault="00CF2C4F" w:rsidP="007C61EF">
      <w:pPr>
        <w:spacing w:after="120"/>
        <w:rPr>
          <w:rFonts w:cs="Times New Roman"/>
          <w:szCs w:val="24"/>
        </w:rPr>
      </w:pPr>
      <w:r w:rsidRPr="007C61EF">
        <w:rPr>
          <w:rFonts w:cs="Times New Roman"/>
          <w:szCs w:val="24"/>
        </w:rPr>
        <w:t>Bei diesem vorläufigen Aufbau bestand keine Möglichkeit während des Entspannungsvorganges CO</w:t>
      </w:r>
      <w:r w:rsidRPr="007C61EF">
        <w:rPr>
          <w:rFonts w:cs="Times New Roman"/>
          <w:szCs w:val="24"/>
          <w:vertAlign w:val="subscript"/>
        </w:rPr>
        <w:t>2</w:t>
      </w:r>
      <w:r w:rsidR="000177AA" w:rsidRPr="007C61EF">
        <w:rPr>
          <w:rFonts w:cs="Times New Roman"/>
          <w:szCs w:val="24"/>
        </w:rPr>
        <w:t xml:space="preserve"> und Cosolvens nachzufördern</w:t>
      </w:r>
      <w:r w:rsidRPr="007C61EF">
        <w:rPr>
          <w:rFonts w:cs="Times New Roman"/>
          <w:szCs w:val="24"/>
        </w:rPr>
        <w:t>. Nach dem Befüllen des Druckbehälters mit Polymer, Ethanol und CO</w:t>
      </w:r>
      <w:r w:rsidRPr="007C61EF">
        <w:rPr>
          <w:rFonts w:cs="Times New Roman"/>
          <w:szCs w:val="24"/>
          <w:vertAlign w:val="subscript"/>
        </w:rPr>
        <w:t>2</w:t>
      </w:r>
      <w:r w:rsidR="00677733" w:rsidRPr="007C61EF">
        <w:rPr>
          <w:rFonts w:cs="Times New Roman"/>
          <w:szCs w:val="24"/>
        </w:rPr>
        <w:t xml:space="preserve"> und einer Lös</w:t>
      </w:r>
      <w:r w:rsidR="00533AA6" w:rsidRPr="007C61EF">
        <w:rPr>
          <w:rFonts w:cs="Times New Roman"/>
          <w:szCs w:val="24"/>
        </w:rPr>
        <w:t>ungsphase von drei</w:t>
      </w:r>
      <w:r w:rsidR="00677733" w:rsidRPr="007C61EF">
        <w:rPr>
          <w:rFonts w:cs="Times New Roman"/>
          <w:szCs w:val="24"/>
        </w:rPr>
        <w:t xml:space="preserve"> Stunden wurde das </w:t>
      </w:r>
      <w:r w:rsidR="00533AA6" w:rsidRPr="007C61EF">
        <w:rPr>
          <w:rFonts w:cs="Times New Roman"/>
          <w:szCs w:val="24"/>
        </w:rPr>
        <w:t xml:space="preserve">überkritische </w:t>
      </w:r>
      <w:r w:rsidR="00677733" w:rsidRPr="007C61EF">
        <w:rPr>
          <w:rFonts w:cs="Times New Roman"/>
          <w:szCs w:val="24"/>
        </w:rPr>
        <w:t>Gemisch durc</w:t>
      </w:r>
      <w:r w:rsidR="00533AA6" w:rsidRPr="007C61EF">
        <w:rPr>
          <w:rFonts w:cs="Times New Roman"/>
          <w:szCs w:val="24"/>
        </w:rPr>
        <w:t>h eine beheizte Düse entspannt, während der Druck im Sprühbehälter abfiel.</w:t>
      </w:r>
    </w:p>
    <w:p w14:paraId="4806EABA" w14:textId="77777777" w:rsidR="003053A1" w:rsidRPr="007C61EF" w:rsidRDefault="003053A1" w:rsidP="007C61EF">
      <w:pPr>
        <w:spacing w:after="120"/>
        <w:rPr>
          <w:rFonts w:cs="Times New Roman"/>
          <w:szCs w:val="24"/>
        </w:rPr>
      </w:pPr>
    </w:p>
    <w:p w14:paraId="4C67BB42" w14:textId="77777777" w:rsidR="00B2611F" w:rsidRDefault="00B2611F" w:rsidP="006E5FD9">
      <w:pPr>
        <w:spacing w:line="240" w:lineRule="auto"/>
        <w:jc w:val="center"/>
      </w:pPr>
      <w:r w:rsidRPr="00A0224A">
        <w:rPr>
          <w:rFonts w:ascii="Arial" w:eastAsia="SimSun" w:hAnsi="Arial" w:cs="Times New Roman"/>
          <w:noProof/>
          <w:lang w:eastAsia="de-DE"/>
        </w:rPr>
        <w:drawing>
          <wp:inline distT="0" distB="0" distL="0" distR="0" wp14:anchorId="65569EA7" wp14:editId="4711508C">
            <wp:extent cx="5248275" cy="3333750"/>
            <wp:effectExtent l="0" t="0" r="952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48275" cy="3333750"/>
                    </a:xfrm>
                    <a:prstGeom prst="rect">
                      <a:avLst/>
                    </a:prstGeom>
                    <a:noFill/>
                    <a:ln>
                      <a:noFill/>
                    </a:ln>
                  </pic:spPr>
                </pic:pic>
              </a:graphicData>
            </a:graphic>
          </wp:inline>
        </w:drawing>
      </w:r>
    </w:p>
    <w:p w14:paraId="4287BD13" w14:textId="77777777" w:rsidR="00C12130" w:rsidRDefault="00C12130" w:rsidP="007E7407">
      <w:pPr>
        <w:pStyle w:val="Beschriftung"/>
        <w:ind w:firstLine="0"/>
        <w:rPr>
          <w:b w:val="0"/>
        </w:rPr>
      </w:pPr>
      <w:r w:rsidRPr="00C12130">
        <w:t xml:space="preserve">Abbildung </w:t>
      </w:r>
      <w:fldSimple w:instr=" SEQ Abbildung \* ARABIC ">
        <w:r w:rsidR="00711AB8">
          <w:rPr>
            <w:noProof/>
          </w:rPr>
          <w:t>33</w:t>
        </w:r>
      </w:fldSimple>
      <w:r w:rsidRPr="00C12130">
        <w:t xml:space="preserve"> </w:t>
      </w:r>
      <w:r>
        <w:rPr>
          <w:b w:val="0"/>
        </w:rPr>
        <w:t>Schematische Skizze der RESS-Versuchsanlage zur Durchführung der Vorversuche zur Erbringung des Machbarkeitsnachweises</w:t>
      </w:r>
      <w:r w:rsidR="000177AA">
        <w:rPr>
          <w:b w:val="0"/>
        </w:rPr>
        <w:t xml:space="preserve"> der Erzeugung von PLGA Nanopartikeln</w:t>
      </w:r>
      <w:r w:rsidR="006E5FD9">
        <w:rPr>
          <w:b w:val="0"/>
        </w:rPr>
        <w:t>.</w:t>
      </w:r>
    </w:p>
    <w:p w14:paraId="6C6D6388" w14:textId="77777777" w:rsidR="00C14A24" w:rsidRPr="00C14A24" w:rsidRDefault="00C14A24" w:rsidP="009F351E">
      <w:pPr>
        <w:spacing w:after="0"/>
      </w:pPr>
    </w:p>
    <w:p w14:paraId="3B904C3F" w14:textId="77777777" w:rsidR="003053A1" w:rsidRPr="007C61EF" w:rsidRDefault="003053A1" w:rsidP="007C61EF">
      <w:pPr>
        <w:spacing w:after="240"/>
        <w:rPr>
          <w:szCs w:val="24"/>
        </w:rPr>
      </w:pPr>
      <w:r w:rsidRPr="007C61EF">
        <w:rPr>
          <w:szCs w:val="24"/>
        </w:rPr>
        <w:t>Das Produkt wurde nicht quantitativ gesammelt, der Düsenausgang mündete in einen Abzug. Proben für die spätere Analytik der erzeugten Polymerpartikel mit einem Rasterelektronenmikroskop (REM) wurden direkt aus dem Sprühstrahl gezogen. Hierzu wurden unterschiedliche Targets im Abstand von 10 bis 30 cm zur Düse für 3 bis 10 Sekunden in den Sprühstrahl eingebracht. Als Target wurden zum einen mit Aluminiumfolie bespannte Glasplatten verwendet und zum anderen mit Kohlenstoff beschicht</w:t>
      </w:r>
      <w:r w:rsidR="00AD1584">
        <w:rPr>
          <w:szCs w:val="24"/>
        </w:rPr>
        <w:t>etet Kupfernetze, die üblicher</w:t>
      </w:r>
      <w:r w:rsidR="00A43F16">
        <w:rPr>
          <w:szCs w:val="24"/>
        </w:rPr>
        <w:t>w</w:t>
      </w:r>
      <w:r w:rsidRPr="007C61EF">
        <w:rPr>
          <w:szCs w:val="24"/>
        </w:rPr>
        <w:t>eise in der Transmissionselektronenmikroskopie (TEM) Verwendung finden. Alternativ wurden außerdem Kohlenstoff Leitpads besprüht und analysiert.</w:t>
      </w:r>
    </w:p>
    <w:p w14:paraId="29C9DFD6" w14:textId="77777777" w:rsidR="00273F43" w:rsidRPr="00737C27" w:rsidRDefault="00BC02F1" w:rsidP="00ED4563">
      <w:pPr>
        <w:pStyle w:val="berschrift4"/>
      </w:pPr>
      <w:bookmarkStart w:id="256" w:name="_Toc294380263"/>
      <w:r>
        <w:t>Aufbau</w:t>
      </w:r>
      <w:r w:rsidR="00273F43" w:rsidRPr="00737C27">
        <w:t xml:space="preserve"> für den kontinuierlichen Betrieb</w:t>
      </w:r>
      <w:bookmarkEnd w:id="256"/>
    </w:p>
    <w:p w14:paraId="409CCB24" w14:textId="77777777" w:rsidR="00B2611F" w:rsidRDefault="00B2611F" w:rsidP="006030EF">
      <w:pPr>
        <w:spacing w:after="120"/>
      </w:pPr>
      <w:r w:rsidRPr="00B2611F">
        <w:t>Nach Absc</w:t>
      </w:r>
      <w:r w:rsidR="00385125">
        <w:t>hluss der Vorversuche wurde</w:t>
      </w:r>
      <w:r w:rsidRPr="00B2611F">
        <w:t xml:space="preserve"> die Anlage zur Steigerung der Effizi</w:t>
      </w:r>
      <w:r w:rsidR="00385125">
        <w:t>enz dahingehend erweitert</w:t>
      </w:r>
      <w:r w:rsidRPr="00B2611F">
        <w:t xml:space="preserve">, dass ein kontinuierlicher Sprühvorgang zur vollständigen Umsetzung des </w:t>
      </w:r>
      <w:r w:rsidR="00677733">
        <w:t xml:space="preserve">im Druckbehälter </w:t>
      </w:r>
      <w:r w:rsidR="003053A1">
        <w:t>vorgelegten Po</w:t>
      </w:r>
      <w:r w:rsidR="00385125">
        <w:t>lymeres durchgeführt werden konnte</w:t>
      </w:r>
      <w:r w:rsidRPr="00B2611F">
        <w:t>. Voraussetzung hierfür war, dass die Betriebsparameter Druck und Temperatur während des Sprühvorganges durch Nachspeisung von Cosolvens und CO</w:t>
      </w:r>
      <w:r w:rsidRPr="00B2611F">
        <w:rPr>
          <w:vertAlign w:val="subscript"/>
        </w:rPr>
        <w:t>2</w:t>
      </w:r>
      <w:r w:rsidRPr="00B2611F">
        <w:t xml:space="preserve"> konstant gehalten werden. Außerdem galt es eine Sprühkammer zur Sammlung des Produktes zu konzipieren und zu erproben.</w:t>
      </w:r>
      <w:r w:rsidR="00193D15">
        <w:t xml:space="preserve"> Der exakte Aufbau der RESS-Anlage mit Erweiterungen für den kontinuierlichen Sprühbetrieb kann dem Rohrleitungs- und Instrumentenfließschema (R&amp;I) in </w:t>
      </w:r>
      <w:r w:rsidR="00057BAF">
        <w:fldChar w:fldCharType="begin"/>
      </w:r>
      <w:r w:rsidR="00057BAF">
        <w:instrText xml:space="preserve"> REF _Ref267863751 \h  \* MERGEFORMAT </w:instrText>
      </w:r>
      <w:r w:rsidR="00057BAF">
        <w:fldChar w:fldCharType="separate"/>
      </w:r>
      <w:r w:rsidR="00711AB8" w:rsidRPr="000C522C">
        <w:t xml:space="preserve">Abbildung </w:t>
      </w:r>
      <w:r w:rsidR="00711AB8">
        <w:rPr>
          <w:noProof/>
        </w:rPr>
        <w:t>34</w:t>
      </w:r>
      <w:r w:rsidR="00057BAF">
        <w:fldChar w:fldCharType="end"/>
      </w:r>
      <w:r w:rsidR="007A09D0">
        <w:t xml:space="preserve"> entnommen werden.</w:t>
      </w:r>
    </w:p>
    <w:p w14:paraId="5A29F8F8" w14:textId="77777777" w:rsidR="000C522C" w:rsidRPr="00B2611F" w:rsidRDefault="000C522C" w:rsidP="00B2611F">
      <w:pPr>
        <w:spacing w:after="120" w:line="240" w:lineRule="auto"/>
      </w:pPr>
      <w:r>
        <w:rPr>
          <w:noProof/>
          <w:lang w:eastAsia="de-DE"/>
        </w:rPr>
        <w:lastRenderedPageBreak/>
        <w:drawing>
          <wp:inline distT="0" distB="0" distL="0" distR="0" wp14:anchorId="7E4BE991" wp14:editId="414C504B">
            <wp:extent cx="5718502" cy="3497861"/>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I zum Versuch.pdf"/>
                    <pic:cNvPicPr/>
                  </pic:nvPicPr>
                  <pic:blipFill rotWithShape="1">
                    <a:blip r:embed="rId64">
                      <a:extLst>
                        <a:ext uri="{28A0092B-C50C-407E-A947-70E740481C1C}">
                          <a14:useLocalDpi xmlns:a14="http://schemas.microsoft.com/office/drawing/2010/main" val="0"/>
                        </a:ext>
                      </a:extLst>
                    </a:blip>
                    <a:srcRect l="2672" t="3113" r="2492" b="14839"/>
                    <a:stretch/>
                  </pic:blipFill>
                  <pic:spPr bwMode="auto">
                    <a:xfrm>
                      <a:off x="0" y="0"/>
                      <a:ext cx="5723443" cy="3500883"/>
                    </a:xfrm>
                    <a:prstGeom prst="rect">
                      <a:avLst/>
                    </a:prstGeom>
                    <a:ln>
                      <a:noFill/>
                    </a:ln>
                    <a:extLst>
                      <a:ext uri="{53640926-AAD7-44d8-BBD7-CCE9431645EC}">
                        <a14:shadowObscured xmlns:a14="http://schemas.microsoft.com/office/drawing/2010/main"/>
                      </a:ext>
                    </a:extLst>
                  </pic:spPr>
                </pic:pic>
              </a:graphicData>
            </a:graphic>
          </wp:inline>
        </w:drawing>
      </w:r>
    </w:p>
    <w:p w14:paraId="17413A95" w14:textId="77777777" w:rsidR="00332AE2" w:rsidRDefault="000C522C" w:rsidP="007E7407">
      <w:pPr>
        <w:pStyle w:val="Beschriftung"/>
        <w:ind w:firstLine="0"/>
        <w:rPr>
          <w:b w:val="0"/>
        </w:rPr>
      </w:pPr>
      <w:bookmarkStart w:id="257" w:name="_Ref267863751"/>
      <w:r w:rsidRPr="000C522C">
        <w:t xml:space="preserve">Abbildung </w:t>
      </w:r>
      <w:fldSimple w:instr=" SEQ Abbildung \* ARABIC ">
        <w:r w:rsidR="00711AB8">
          <w:rPr>
            <w:noProof/>
          </w:rPr>
          <w:t>34</w:t>
        </w:r>
      </w:fldSimple>
      <w:bookmarkEnd w:id="257"/>
      <w:r>
        <w:t xml:space="preserve"> </w:t>
      </w:r>
      <w:r w:rsidR="00943631">
        <w:rPr>
          <w:b w:val="0"/>
        </w:rPr>
        <w:t xml:space="preserve">Rohrleitungs- und Instrumenten Fließschema der erweiterten </w:t>
      </w:r>
      <w:r w:rsidR="00CF2C4F">
        <w:rPr>
          <w:b w:val="0"/>
        </w:rPr>
        <w:t>RESS-Anlage für kontinuierlichen Sprühbetrieb</w:t>
      </w:r>
      <w:r w:rsidR="006E5FD9">
        <w:rPr>
          <w:b w:val="0"/>
        </w:rPr>
        <w:t>.</w:t>
      </w:r>
    </w:p>
    <w:p w14:paraId="3C711C9A" w14:textId="77777777" w:rsidR="002759E7" w:rsidRPr="002759E7" w:rsidRDefault="002759E7" w:rsidP="002759E7">
      <w:pPr>
        <w:spacing w:after="0"/>
      </w:pPr>
    </w:p>
    <w:p w14:paraId="5A631BCE" w14:textId="77777777" w:rsidR="00C14A24" w:rsidRDefault="00332AE2" w:rsidP="00332AE2">
      <w:r w:rsidRPr="00332AE2">
        <w:t>Die genaue Funktion der einzelnen Anlagenteile wird im folgenden</w:t>
      </w:r>
      <w:r w:rsidR="00BC02F1">
        <w:t xml:space="preserve"> Abschnitt entlang des Weges, den das CO</w:t>
      </w:r>
      <w:r w:rsidR="00BC02F1">
        <w:rPr>
          <w:vertAlign w:val="subscript"/>
        </w:rPr>
        <w:t>2</w:t>
      </w:r>
      <w:r w:rsidR="00BC02F1">
        <w:t xml:space="preserve"> nimmt</w:t>
      </w:r>
      <w:r w:rsidR="002759E7">
        <w:t>,</w:t>
      </w:r>
      <w:r>
        <w:t xml:space="preserve"> detailliert beschrieben.</w:t>
      </w:r>
    </w:p>
    <w:p w14:paraId="272EA234" w14:textId="77777777" w:rsidR="00BC02F1" w:rsidRPr="00BB5F15" w:rsidRDefault="00BC02F1" w:rsidP="00BC02F1">
      <w:r>
        <w:t>Kohlenstoffdioxid wird handelsüblich in druckverflüssigter Form in Steigrohrflaschen (B-500) zur Verfügung gestellt. Um das Gas in den überkritischen Agg</w:t>
      </w:r>
      <w:r w:rsidR="00BE5871">
        <w:t>regatzustand zu überführen, müssen</w:t>
      </w:r>
      <w:r>
        <w:t xml:space="preserve"> der krit</w:t>
      </w:r>
      <w:r w:rsidR="00BE5871">
        <w:t>ische Druck von 73,8 bar und</w:t>
      </w:r>
      <w:r>
        <w:t xml:space="preserve"> die kritische Temperatur von 31,0</w:t>
      </w:r>
      <w:r w:rsidR="00A426B8">
        <w:t> </w:t>
      </w:r>
      <w:r>
        <w:t>°C überschritten werden</w:t>
      </w:r>
      <w:r>
        <w:rPr>
          <w:rStyle w:val="Endnotenzeichen"/>
        </w:rPr>
        <w:endnoteReference w:id="158"/>
      </w:r>
      <w:r>
        <w:t>. Der Druck der Vorratsflasche (B-500) von ca. 60 bar muss also mithilfe einer CO</w:t>
      </w:r>
      <w:r w:rsidRPr="00EA04AD">
        <w:rPr>
          <w:vertAlign w:val="subscript"/>
        </w:rPr>
        <w:t>2</w:t>
      </w:r>
      <w:r>
        <w:t xml:space="preserve"> Pumpe (Kolbenmembranpumpe, Modell LDB 1, LEWA GmbH, Deutschland</w:t>
      </w:r>
      <w:r w:rsidR="00DC1173">
        <w:t xml:space="preserve">, P-500 in </w:t>
      </w:r>
      <w:r w:rsidR="00D16240">
        <w:fldChar w:fldCharType="begin"/>
      </w:r>
      <w:r w:rsidR="00DC1173">
        <w:instrText xml:space="preserve"> REF _Ref267863751 \h </w:instrText>
      </w:r>
      <w:r w:rsidR="00D16240">
        <w:fldChar w:fldCharType="separate"/>
      </w:r>
      <w:r w:rsidR="00711AB8" w:rsidRPr="000C522C">
        <w:t xml:space="preserve">Abbildung </w:t>
      </w:r>
      <w:r w:rsidR="00711AB8">
        <w:rPr>
          <w:noProof/>
        </w:rPr>
        <w:t>34</w:t>
      </w:r>
      <w:r w:rsidR="00D16240">
        <w:fldChar w:fldCharType="end"/>
      </w:r>
      <w:r>
        <w:t>) weiter erhöht werden. Da sich das Gas während der Kompression</w:t>
      </w:r>
      <w:r w:rsidR="00BE5871">
        <w:t xml:space="preserve"> stark</w:t>
      </w:r>
      <w:r>
        <w:t xml:space="preserve"> erwärmt, wird es zunächst auf -10</w:t>
      </w:r>
      <w:r w:rsidR="00A426B8">
        <w:t> </w:t>
      </w:r>
      <w:r>
        <w:t>°C herunter gekühlt.</w:t>
      </w:r>
      <w:r w:rsidRPr="00ED0CF8">
        <w:t xml:space="preserve"> Dazu ist </w:t>
      </w:r>
      <w:r>
        <w:t>direkt nach der Steigrohrflasche</w:t>
      </w:r>
      <w:r w:rsidRPr="00ED0CF8">
        <w:t xml:space="preserve"> ein Wä</w:t>
      </w:r>
      <w:r>
        <w:t>rmeüberträger (W–</w:t>
      </w:r>
      <w:r w:rsidRPr="00ED0CF8">
        <w:t>500) instal</w:t>
      </w:r>
      <w:r>
        <w:t>liert, der über den Kryostat (W–</w:t>
      </w:r>
      <w:r w:rsidRPr="00ED0CF8">
        <w:t>510)</w:t>
      </w:r>
      <w:r w:rsidRPr="00BB5F15">
        <w:rPr>
          <w:rFonts w:ascii="Calibri" w:hAnsi="Calibri" w:cs="Calibri"/>
          <w:sz w:val="32"/>
          <w:szCs w:val="32"/>
        </w:rPr>
        <w:t xml:space="preserve"> </w:t>
      </w:r>
      <w:r w:rsidRPr="00BB5F15">
        <w:t>temperiert wird. Die entnommene Menge an Kohlenstoffdioxid wird vo</w:t>
      </w:r>
      <w:r w:rsidR="00BE5871">
        <w:t>n einem</w:t>
      </w:r>
      <w:r>
        <w:t xml:space="preserve"> Massendurchflussmesser (FIR-</w:t>
      </w:r>
      <w:r w:rsidRPr="00BB5F15">
        <w:t>1) erfasst</w:t>
      </w:r>
      <w:r>
        <w:t>,</w:t>
      </w:r>
      <w:r w:rsidRPr="00BB5F15">
        <w:t xml:space="preserve"> bevor der Str</w:t>
      </w:r>
      <w:r>
        <w:t>om in die Kolbenmembranpumpe (P–500)</w:t>
      </w:r>
      <w:r w:rsidRPr="00BB5F15">
        <w:t xml:space="preserve"> gelangt. Der</w:t>
      </w:r>
      <w:r>
        <w:t xml:space="preserve"> Förderstrom der Pumpe wird durch</w:t>
      </w:r>
      <w:r w:rsidRPr="00BB5F15">
        <w:t xml:space="preserve"> die Variation des Hubs und der Drehzahl des Motors gesteuert.</w:t>
      </w:r>
    </w:p>
    <w:p w14:paraId="43115BBD" w14:textId="77777777" w:rsidR="00BC02F1" w:rsidRPr="00BB5F15" w:rsidRDefault="00BC02F1" w:rsidP="00BC02F1">
      <w:pPr>
        <w:spacing w:after="120"/>
      </w:pPr>
      <w:r>
        <w:t xml:space="preserve">Um einen konstanten Betriebsdruck bei </w:t>
      </w:r>
      <w:r w:rsidRPr="00ED0CF8">
        <w:t>permanent</w:t>
      </w:r>
      <w:r>
        <w:t>er</w:t>
      </w:r>
      <w:r w:rsidRPr="00ED0CF8">
        <w:t xml:space="preserve"> CO</w:t>
      </w:r>
      <w:r w:rsidRPr="00E6319A">
        <w:rPr>
          <w:vertAlign w:val="subscript"/>
        </w:rPr>
        <w:t>2</w:t>
      </w:r>
      <w:r>
        <w:t>-Förderung zu gewährleisten, wurde die Anlage um eine Druckregulierungseinheit erweitert. Für diese Regelung wurde zwischen</w:t>
      </w:r>
      <w:r w:rsidRPr="00BB5F15">
        <w:t xml:space="preserve"> Saug- und Druckseite der P</w:t>
      </w:r>
      <w:r>
        <w:t>umpe ein Bypass mit einem Druckregelventil (PCV) installiert. Der gewünschte Druck</w:t>
      </w:r>
      <w:r w:rsidRPr="00BB5F15">
        <w:t xml:space="preserve"> </w:t>
      </w:r>
      <w:r>
        <w:t>wird am PCV</w:t>
      </w:r>
      <w:r w:rsidRPr="00BB5F15">
        <w:t xml:space="preserve"> eingestellt, wobei di</w:t>
      </w:r>
      <w:r>
        <w:t>e Regelgröße am Manometer (PIAZ-502)</w:t>
      </w:r>
      <w:r w:rsidRPr="00BB5F15">
        <w:t xml:space="preserve"> oder am Prozessleitsystem (PLS) abgelesen werden kann. Im laufenden Betrieb beein</w:t>
      </w:r>
      <w:r>
        <w:t>flusst die Festwertregelung den Massenstr</w:t>
      </w:r>
      <w:r w:rsidR="00DC1173">
        <w:t>om durch den Bypass</w:t>
      </w:r>
      <w:r>
        <w:t xml:space="preserve">, sodass der </w:t>
      </w:r>
      <w:r>
        <w:lastRenderedPageBreak/>
        <w:t>Betriebsdruck aufrechterhalten wird. Das PIAZ-</w:t>
      </w:r>
      <w:r w:rsidRPr="00BB5F15">
        <w:t>50</w:t>
      </w:r>
      <w:r w:rsidR="00DC1173">
        <w:t>2 dient außerdem als Sicherungs</w:t>
      </w:r>
      <w:r w:rsidRPr="00BB5F15">
        <w:t>ein</w:t>
      </w:r>
      <w:r w:rsidR="006E5FD9">
        <w:t>-</w:t>
      </w:r>
      <w:r w:rsidRPr="00BB5F15">
        <w:t xml:space="preserve">richtung, da es bei </w:t>
      </w:r>
      <w:r>
        <w:t>einem zu hohen</w:t>
      </w:r>
      <w:r w:rsidRPr="00BB5F15">
        <w:t xml:space="preserve"> Betrieb</w:t>
      </w:r>
      <w:r w:rsidR="006E5FD9">
        <w:t>sdruck die Pumpe automatisch ab</w:t>
      </w:r>
      <w:r w:rsidRPr="00BB5F15">
        <w:t>schaltet.</w:t>
      </w:r>
    </w:p>
    <w:p w14:paraId="0BF93A01" w14:textId="77777777" w:rsidR="00BC02F1" w:rsidRPr="00BB5F15" w:rsidRDefault="00BC02F1" w:rsidP="00BC02F1">
      <w:pPr>
        <w:spacing w:after="120"/>
      </w:pPr>
      <w:r>
        <w:t>Das Ethanol</w:t>
      </w:r>
      <w:r w:rsidRPr="00BB5F15">
        <w:t xml:space="preserve"> wird aus einem Vorra</w:t>
      </w:r>
      <w:r>
        <w:t>tsgefäß (B–</w:t>
      </w:r>
      <w:r w:rsidRPr="00BB5F15">
        <w:t>100) entnommen, wobei eine Waage kontinuierlich das Gewicht des Behälters erfasst</w:t>
      </w:r>
      <w:r>
        <w:t xml:space="preserve"> und elektronisch an das Prozessleitsystem übermittelt</w:t>
      </w:r>
      <w:r w:rsidRPr="00BB5F15">
        <w:t xml:space="preserve">. </w:t>
      </w:r>
      <w:r w:rsidR="00DC1173">
        <w:t>Vor der Verdichtung durch eine</w:t>
      </w:r>
      <w:r>
        <w:t xml:space="preserve"> HPLC-Pumpe (P-600) läuft das Ethanol durch einen Filter.</w:t>
      </w:r>
      <w:r w:rsidRPr="00BB5F15">
        <w:t xml:space="preserve"> </w:t>
      </w:r>
      <w:r>
        <w:t>Nach der Kompression wird der Ethanol</w:t>
      </w:r>
      <w:r w:rsidRPr="00BB5F15">
        <w:t>-Strom mit dem CO</w:t>
      </w:r>
      <w:r w:rsidRPr="00031AE9">
        <w:rPr>
          <w:vertAlign w:val="subscript"/>
        </w:rPr>
        <w:t>2</w:t>
      </w:r>
      <w:r w:rsidR="00DC1173">
        <w:t xml:space="preserve">-Strom </w:t>
      </w:r>
      <w:r w:rsidRPr="00BB5F15">
        <w:t>in einem T-Mischer zusammengeführt.</w:t>
      </w:r>
      <w:r w:rsidR="009C5971">
        <w:t xml:space="preserve"> D</w:t>
      </w:r>
      <w:r w:rsidR="00DC1173">
        <w:t>ie Förderleistung der HPLC Pumpe P-600</w:t>
      </w:r>
      <w:r w:rsidR="009C5971">
        <w:t xml:space="preserve"> wird so einreguliert, dass ein Ethanolgehalt von 23% (m/m) resultiert.</w:t>
      </w:r>
      <w:r w:rsidR="00DC1173">
        <w:t xml:space="preserve"> </w:t>
      </w:r>
      <w:r w:rsidRPr="00BB5F15">
        <w:t>Damit sich die beiden Lösu</w:t>
      </w:r>
      <w:r>
        <w:t>ngsmittel ausreichend miteinander mischen, wurde</w:t>
      </w:r>
      <w:r w:rsidRPr="00BB5F15">
        <w:t xml:space="preserve"> ein als statischer M</w:t>
      </w:r>
      <w:r>
        <w:t>ischer fungierender Filter (F-</w:t>
      </w:r>
      <w:r w:rsidRPr="00BB5F15">
        <w:t>500) direkt nach der</w:t>
      </w:r>
      <w:r w:rsidR="002759E7">
        <w:t xml:space="preserve"> Zusammenführung der beiden Lösungs</w:t>
      </w:r>
      <w:r w:rsidRPr="00BB5F15">
        <w:t>mittelströme installiert.</w:t>
      </w:r>
      <w:r>
        <w:t xml:space="preserve"> </w:t>
      </w:r>
      <w:r w:rsidRPr="00B773CA">
        <w:t>Die Wahl des Massenstromverhältnisses von CO</w:t>
      </w:r>
      <w:r w:rsidRPr="007633B3">
        <w:rPr>
          <w:vertAlign w:val="subscript"/>
        </w:rPr>
        <w:t>2</w:t>
      </w:r>
      <w:r w:rsidRPr="00B773CA">
        <w:t xml:space="preserve"> und Ethanol spielt hinsichtlich der Löslichkeit des Feststoffes eine wichtige Rolle. </w:t>
      </w:r>
      <w:r>
        <w:t xml:space="preserve">Voraussetzung ist zunächst </w:t>
      </w:r>
      <w:r w:rsidR="002759E7">
        <w:t>die Mischbarkeit der beiden Lösungs</w:t>
      </w:r>
      <w:r>
        <w:t xml:space="preserve">mittel, die laut </w:t>
      </w:r>
      <w:r w:rsidRPr="003D52B1">
        <w:t>Secuianu</w:t>
      </w:r>
      <w:r>
        <w:t xml:space="preserve"> et al. innerhalb der gewählten Betriebsparameter vollständig gegeben ist</w:t>
      </w:r>
      <w:r>
        <w:rPr>
          <w:rStyle w:val="Endnotenzeichen"/>
        </w:rPr>
        <w:endnoteReference w:id="159"/>
      </w:r>
      <w:r>
        <w:t>.</w:t>
      </w:r>
    </w:p>
    <w:p w14:paraId="7332F1C1" w14:textId="77777777" w:rsidR="006E5FD9" w:rsidRDefault="00BC02F1" w:rsidP="002759E7">
      <w:r w:rsidRPr="00BB5F15">
        <w:t>Anschließend</w:t>
      </w:r>
      <w:r w:rsidR="002759E7">
        <w:t xml:space="preserve"> strömt das Lösungs</w:t>
      </w:r>
      <w:r w:rsidRPr="00BB5F15">
        <w:t>mittelgemisch</w:t>
      </w:r>
      <w:r>
        <w:t xml:space="preserve"> durch einen Wärmeüberträger (W–</w:t>
      </w:r>
      <w:r w:rsidRPr="00BB5F15">
        <w:t>10)</w:t>
      </w:r>
      <w:r>
        <w:t>, welcher über den Kryostat (W–</w:t>
      </w:r>
      <w:r w:rsidRPr="00BB5F15">
        <w:t>11)</w:t>
      </w:r>
      <w:r>
        <w:t xml:space="preserve"> auf die gewünschte Betriebstemperatur</w:t>
      </w:r>
      <w:r w:rsidR="009C5971">
        <w:t xml:space="preserve"> gebracht</w:t>
      </w:r>
      <w:r w:rsidRPr="00BB5F15">
        <w:t xml:space="preserve"> wird. Die überkritische Lösung gelangt schließlich in den</w:t>
      </w:r>
      <w:r>
        <w:t xml:space="preserve"> gerührten</w:t>
      </w:r>
      <w:r w:rsidRPr="00BB5F15">
        <w:t xml:space="preserve"> Autoklaven</w:t>
      </w:r>
      <w:r w:rsidR="009C5971">
        <w:t>, der das Polymer enthält. N</w:t>
      </w:r>
      <w:r w:rsidRPr="00BB5F15">
        <w:t xml:space="preserve">ach </w:t>
      </w:r>
      <w:r w:rsidR="009C5971">
        <w:t>einer entsprechenden</w:t>
      </w:r>
      <w:r w:rsidRPr="00BB5F15">
        <w:t xml:space="preserve"> Verweilzeit</w:t>
      </w:r>
      <w:r w:rsidR="009C5971">
        <w:t xml:space="preserve"> wird die überkritische mit Polymer angereicherte Lösung über ein Tauchrohr durch eine</w:t>
      </w:r>
      <w:r w:rsidRPr="00BB5F15">
        <w:t xml:space="preserve"> beheizte Düse</w:t>
      </w:r>
      <w:r w:rsidR="009C5971">
        <w:t xml:space="preserve"> auf atmosphärischen Druck entspannt</w:t>
      </w:r>
      <w:r w:rsidRPr="00BB5F15">
        <w:t>. Di</w:t>
      </w:r>
      <w:r>
        <w:t>e Düse ist an der Oberseite einer Sprühkammer (</w:t>
      </w:r>
      <w:r w:rsidR="00D16240">
        <w:fldChar w:fldCharType="begin"/>
      </w:r>
      <w:r>
        <w:instrText xml:space="preserve"> REF _Ref267508311 \h </w:instrText>
      </w:r>
      <w:r w:rsidR="00D16240">
        <w:fldChar w:fldCharType="separate"/>
      </w:r>
      <w:r w:rsidR="00711AB8" w:rsidRPr="00CE3A5A">
        <w:t xml:space="preserve">Abbildung </w:t>
      </w:r>
      <w:r w:rsidR="00711AB8">
        <w:rPr>
          <w:noProof/>
        </w:rPr>
        <w:t>37</w:t>
      </w:r>
      <w:r w:rsidR="00D16240">
        <w:fldChar w:fldCharType="end"/>
      </w:r>
      <w:r>
        <w:t>) angebracht. Durch ein Gebläse (V-300) wird das zugeführte Gas abgesaugt und in der Sprühkammer ein leichter Unterdruck gegenüber der Atmosphäre erzeugt. Jedoch wird nur so stark abgesaugt, dass in der Sprühkammer eine zur Aufnahme der Partikel ausreichende Menge Ethanol kondensieren kann. So können die Polymerpartikel während des Sprühvorganges in Form einer Suspension separat vom Gasstrom aus der Kammer entfernt und gesammelt werden. Da Ethanol ein Nichtlösemittel für PLGA darstellt, sind die Partikel in der ethanolischen Suspension stabil.</w:t>
      </w:r>
    </w:p>
    <w:p w14:paraId="04717E91" w14:textId="77777777" w:rsidR="00743A8B" w:rsidRPr="00737C27" w:rsidRDefault="00743A8B" w:rsidP="00ED4563">
      <w:pPr>
        <w:pStyle w:val="berschrift4"/>
      </w:pPr>
      <w:bookmarkStart w:id="258" w:name="_Toc294380264"/>
      <w:r w:rsidRPr="00737C27">
        <w:t>Anlagenkomponenten</w:t>
      </w:r>
      <w:r w:rsidR="002759E7">
        <w:t xml:space="preserve"> im Detail</w:t>
      </w:r>
      <w:bookmarkEnd w:id="258"/>
    </w:p>
    <w:p w14:paraId="1111211F" w14:textId="77777777" w:rsidR="001D0B18" w:rsidRDefault="00743A8B" w:rsidP="00EC1FCA">
      <w:pPr>
        <w:spacing w:after="0"/>
      </w:pPr>
      <w:r>
        <w:t>Die drei wesen</w:t>
      </w:r>
      <w:r w:rsidR="00665797">
        <w:t>tlichen Anlagenteile</w:t>
      </w:r>
      <w:r>
        <w:t xml:space="preserve"> Hochdruckautok</w:t>
      </w:r>
      <w:r w:rsidR="00F976EC">
        <w:t>lav, Düse und Sprühkammer werden</w:t>
      </w:r>
      <w:r>
        <w:t xml:space="preserve"> im folgenden Abschnitt</w:t>
      </w:r>
      <w:r w:rsidR="009C5971">
        <w:t xml:space="preserve"> detailliert</w:t>
      </w:r>
      <w:r w:rsidR="00F976EC">
        <w:t xml:space="preserve"> beschrieben</w:t>
      </w:r>
      <w:r>
        <w:t>.</w:t>
      </w:r>
    </w:p>
    <w:p w14:paraId="59306EB0" w14:textId="77777777" w:rsidR="006E5FD9" w:rsidRPr="00743A8B" w:rsidRDefault="006E5FD9" w:rsidP="006E5FD9">
      <w:pPr>
        <w:spacing w:after="0"/>
        <w:contextualSpacing/>
      </w:pPr>
    </w:p>
    <w:p w14:paraId="32133A45" w14:textId="77777777" w:rsidR="00D14216" w:rsidRPr="00DD7FD7" w:rsidRDefault="00D14216" w:rsidP="006E5FD9">
      <w:pPr>
        <w:spacing w:before="120" w:after="120"/>
        <w:rPr>
          <w:b/>
        </w:rPr>
      </w:pPr>
      <w:r w:rsidRPr="00DD7FD7">
        <w:rPr>
          <w:b/>
        </w:rPr>
        <w:t>Hochdruckautoklav</w:t>
      </w:r>
      <w:r w:rsidR="001D0B18" w:rsidRPr="00DD7FD7">
        <w:rPr>
          <w:b/>
        </w:rPr>
        <w:t>:</w:t>
      </w:r>
    </w:p>
    <w:p w14:paraId="26AF24DC" w14:textId="77777777" w:rsidR="00C476F9" w:rsidRDefault="00D14216" w:rsidP="007B444A">
      <w:pPr>
        <w:spacing w:after="120"/>
      </w:pPr>
      <w:r>
        <w:t>Es wurde ein Hochdruckau</w:t>
      </w:r>
      <w:r w:rsidR="00F65A56">
        <w:t>toklav (MidiClave Typ 3 Modell 0,5</w:t>
      </w:r>
      <w:r w:rsidR="00B400E9">
        <w:t xml:space="preserve"> L</w:t>
      </w:r>
      <w:r w:rsidR="00F65A56">
        <w:t>) der Firma</w:t>
      </w:r>
      <w:r w:rsidR="00C476F9">
        <w:t xml:space="preserve"> Büchi Glas Uster AG</w:t>
      </w:r>
      <w:r w:rsidR="00B400E9">
        <w:t>, Schweiz</w:t>
      </w:r>
      <w:r w:rsidR="00C476F9">
        <w:t xml:space="preserve"> verwendet. </w:t>
      </w:r>
      <w:r w:rsidR="00D16240">
        <w:fldChar w:fldCharType="begin"/>
      </w:r>
      <w:r w:rsidR="00C476F9">
        <w:instrText xml:space="preserve"> REF _Ref267869215 \h </w:instrText>
      </w:r>
      <w:r w:rsidR="00D16240">
        <w:fldChar w:fldCharType="separate"/>
      </w:r>
      <w:r w:rsidR="00711AB8" w:rsidRPr="00D14216">
        <w:t xml:space="preserve">Abbildung </w:t>
      </w:r>
      <w:r w:rsidR="00711AB8">
        <w:rPr>
          <w:noProof/>
        </w:rPr>
        <w:t>35</w:t>
      </w:r>
      <w:r w:rsidR="00D16240">
        <w:fldChar w:fldCharType="end"/>
      </w:r>
      <w:r w:rsidR="002806F7">
        <w:t xml:space="preserve"> zeigt</w:t>
      </w:r>
      <w:r w:rsidR="00C476F9">
        <w:t xml:space="preserve"> den Autoklav</w:t>
      </w:r>
      <w:r w:rsidR="002806F7">
        <w:t>en</w:t>
      </w:r>
      <w:r w:rsidR="00C476F9">
        <w:t xml:space="preserve"> mit werks</w:t>
      </w:r>
      <w:r w:rsidR="009C5971">
        <w:t xml:space="preserve">seitiger </w:t>
      </w:r>
      <w:r w:rsidR="009C5971">
        <w:lastRenderedPageBreak/>
        <w:t>Standarda</w:t>
      </w:r>
      <w:r w:rsidR="002806F7">
        <w:t>usstattung</w:t>
      </w:r>
      <w:r w:rsidR="00C476F9">
        <w:t xml:space="preserve">. </w:t>
      </w:r>
      <w:r w:rsidR="002806F7">
        <w:t>Der Autoklav wird mit einem Reaktorgestell mit Gefäßlift und Sicherheitsschnellverschluss ausgeliefert.</w:t>
      </w:r>
    </w:p>
    <w:p w14:paraId="2825E3D1" w14:textId="77777777" w:rsidR="00BE5871" w:rsidRDefault="00BE5871" w:rsidP="007B444A">
      <w:pPr>
        <w:spacing w:after="120"/>
      </w:pPr>
    </w:p>
    <w:p w14:paraId="50A17EE0" w14:textId="77777777" w:rsidR="00D14216" w:rsidRDefault="00D14216" w:rsidP="00EC1FCA">
      <w:pPr>
        <w:widowControl w:val="0"/>
        <w:autoSpaceDE w:val="0"/>
        <w:autoSpaceDN w:val="0"/>
        <w:adjustRightInd w:val="0"/>
        <w:spacing w:after="120" w:line="240" w:lineRule="auto"/>
        <w:rPr>
          <w:rFonts w:ascii="Times" w:hAnsi="Times" w:cs="Times"/>
          <w:szCs w:val="24"/>
        </w:rPr>
      </w:pPr>
      <w:r>
        <w:rPr>
          <w:rFonts w:ascii="Times" w:hAnsi="Times" w:cs="Times"/>
          <w:noProof/>
          <w:szCs w:val="24"/>
          <w:lang w:eastAsia="de-DE"/>
        </w:rPr>
        <w:drawing>
          <wp:inline distT="0" distB="0" distL="0" distR="0" wp14:anchorId="27B12763" wp14:editId="5240C825">
            <wp:extent cx="6211815" cy="2656268"/>
            <wp:effectExtent l="0" t="0" r="11430" b="10795"/>
            <wp:docPr id="13"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13187" cy="2656855"/>
                    </a:xfrm>
                    <a:prstGeom prst="rect">
                      <a:avLst/>
                    </a:prstGeom>
                    <a:noFill/>
                    <a:ln>
                      <a:noFill/>
                    </a:ln>
                  </pic:spPr>
                </pic:pic>
              </a:graphicData>
            </a:graphic>
          </wp:inline>
        </w:drawing>
      </w:r>
    </w:p>
    <w:p w14:paraId="5E8D28D2" w14:textId="77777777" w:rsidR="00D14216" w:rsidRDefault="00D14216" w:rsidP="007E7407">
      <w:pPr>
        <w:pStyle w:val="Beschriftung"/>
        <w:ind w:firstLine="0"/>
        <w:rPr>
          <w:b w:val="0"/>
        </w:rPr>
      </w:pPr>
      <w:bookmarkStart w:id="259" w:name="_Ref267869215"/>
      <w:r w:rsidRPr="00D14216">
        <w:t xml:space="preserve">Abbildung </w:t>
      </w:r>
      <w:fldSimple w:instr=" SEQ Abbildung \* ARABIC ">
        <w:r w:rsidR="00711AB8">
          <w:rPr>
            <w:noProof/>
          </w:rPr>
          <w:t>35</w:t>
        </w:r>
      </w:fldSimple>
      <w:bookmarkEnd w:id="259"/>
      <w:r>
        <w:t xml:space="preserve"> </w:t>
      </w:r>
      <w:r w:rsidR="00DE71F7">
        <w:rPr>
          <w:b w:val="0"/>
        </w:rPr>
        <w:t xml:space="preserve">Links: Schnittzeichnung des Druckbehälters; rechts: </w:t>
      </w:r>
      <w:r w:rsidR="009C5971">
        <w:rPr>
          <w:b w:val="0"/>
        </w:rPr>
        <w:t xml:space="preserve">Fotografische </w:t>
      </w:r>
      <w:r w:rsidR="00DE71F7">
        <w:rPr>
          <w:b w:val="0"/>
        </w:rPr>
        <w:t>Abbildung des Druckbehälters mit Haltegestell und Rührer</w:t>
      </w:r>
      <w:r w:rsidR="006E5FD9">
        <w:rPr>
          <w:b w:val="0"/>
        </w:rPr>
        <w:t>.</w:t>
      </w:r>
    </w:p>
    <w:p w14:paraId="6863EB22" w14:textId="77777777" w:rsidR="00C14A24" w:rsidRPr="00C14A24" w:rsidRDefault="00C14A24" w:rsidP="00BE5871">
      <w:pPr>
        <w:spacing w:after="120"/>
      </w:pPr>
    </w:p>
    <w:p w14:paraId="5C40784D" w14:textId="77777777" w:rsidR="002806F7" w:rsidRDefault="002806F7" w:rsidP="007B444A">
      <w:pPr>
        <w:spacing w:after="120"/>
      </w:pPr>
      <w:r>
        <w:t>Außerdem ist der Autoklav mit einem Magnetrührantrieb ausgestattet, der über eine Magnetkupplung einen Ankerrührer im Behälter antreibt. Weitere Einbauten sind ein Stromstörer zur Erzeugung einer turbulenten Strömung, ein Thermoelement zur Messung der Tem</w:t>
      </w:r>
      <w:r w:rsidR="009C5971">
        <w:t>peratur des Inhalts</w:t>
      </w:r>
      <w:r>
        <w:t xml:space="preserve"> sowie ein Tauchrohr zur Entnahme der Lösung aus dem Autoklaven. Die Mündung des Tauchrohres endet direkt oberhalb des Ankerrührers. Dies hat den Vorteil, dass am Ort der Entnahme große Turbulenzen herrschen, wodurch eine gute Durchmischung der Lösung vor der Entnahme sichergestellt ist. Außerdem verhindert das Tauchrohr eine Kurzschlussströmung im Autoklaven. Das einströmende Medium kann nicht auf direktem Wege</w:t>
      </w:r>
      <w:r w:rsidRPr="007F1F16">
        <w:t xml:space="preserve"> </w:t>
      </w:r>
      <w:r>
        <w:t>wieder ausströmen, ohne sich zuvor mit der Lösung zu vermischen.</w:t>
      </w:r>
    </w:p>
    <w:p w14:paraId="305412F7" w14:textId="77777777" w:rsidR="001D0B18" w:rsidRPr="001D0B18" w:rsidRDefault="002806F7" w:rsidP="007B444A">
      <w:pPr>
        <w:spacing w:after="120"/>
      </w:pPr>
      <w:r w:rsidRPr="00C476F9">
        <w:t>Temperi</w:t>
      </w:r>
      <w:r>
        <w:t>ert wird der Autoklaveninhalt ü</w:t>
      </w:r>
      <w:r w:rsidRPr="00C476F9">
        <w:t xml:space="preserve">ber einen Heizmantel, dessen Temperatur von einem Thermostat </w:t>
      </w:r>
      <w:r>
        <w:t xml:space="preserve">(Kryostat W-11 in </w:t>
      </w:r>
      <w:r w:rsidR="00D16240">
        <w:fldChar w:fldCharType="begin"/>
      </w:r>
      <w:r>
        <w:instrText xml:space="preserve"> REF _Ref267863751 \h </w:instrText>
      </w:r>
      <w:r w:rsidR="00D16240">
        <w:fldChar w:fldCharType="separate"/>
      </w:r>
      <w:r w:rsidR="00711AB8" w:rsidRPr="000C522C">
        <w:t xml:space="preserve">Abbildung </w:t>
      </w:r>
      <w:r w:rsidR="00711AB8">
        <w:rPr>
          <w:noProof/>
        </w:rPr>
        <w:t>34</w:t>
      </w:r>
      <w:r w:rsidR="00D16240">
        <w:fldChar w:fldCharType="end"/>
      </w:r>
      <w:r>
        <w:t xml:space="preserve">) </w:t>
      </w:r>
      <w:r w:rsidRPr="00C476F9">
        <w:t>geregelt wird.</w:t>
      </w:r>
    </w:p>
    <w:p w14:paraId="24686446" w14:textId="77777777" w:rsidR="0016520F" w:rsidRPr="00DD7FD7" w:rsidRDefault="00F673D5" w:rsidP="001D0B18">
      <w:pPr>
        <w:spacing w:before="240" w:after="120"/>
        <w:rPr>
          <w:b/>
        </w:rPr>
      </w:pPr>
      <w:r w:rsidRPr="00DD7FD7">
        <w:rPr>
          <w:b/>
        </w:rPr>
        <w:t>Düse</w:t>
      </w:r>
      <w:r w:rsidR="001D0B18" w:rsidRPr="00DD7FD7">
        <w:rPr>
          <w:b/>
        </w:rPr>
        <w:t>:</w:t>
      </w:r>
    </w:p>
    <w:p w14:paraId="53DBA366" w14:textId="77777777" w:rsidR="00525466" w:rsidRDefault="00F673D5" w:rsidP="003721D2">
      <w:r>
        <w:t>Zur Identifizierung</w:t>
      </w:r>
      <w:r w:rsidR="000A69E1">
        <w:t xml:space="preserve"> der für den Prozess am besten geeigneten Düse wurden in Vorversuchen unterschiedliche Düsentypen getestet. </w:t>
      </w:r>
      <w:r w:rsidR="00525466">
        <w:t xml:space="preserve">Die Versuche und Berechnungen hierzu werden in dieser Arbeit nicht detailliert beschrieben, es werden lediglich die wesentlichen Ergebnisse </w:t>
      </w:r>
      <w:r>
        <w:t xml:space="preserve">hieraus </w:t>
      </w:r>
      <w:r w:rsidR="00525466">
        <w:t xml:space="preserve">zusammengefasst. </w:t>
      </w:r>
      <w:r w:rsidR="00D16240">
        <w:fldChar w:fldCharType="begin"/>
      </w:r>
      <w:r w:rsidR="00525466">
        <w:instrText xml:space="preserve"> REF _Ref267317582 \h </w:instrText>
      </w:r>
      <w:r w:rsidR="00D16240">
        <w:fldChar w:fldCharType="separate"/>
      </w:r>
      <w:r w:rsidR="00711AB8" w:rsidRPr="00525466">
        <w:t xml:space="preserve">Tabelle </w:t>
      </w:r>
      <w:r w:rsidR="00711AB8">
        <w:rPr>
          <w:noProof/>
        </w:rPr>
        <w:t>25</w:t>
      </w:r>
      <w:r w:rsidR="00D16240">
        <w:fldChar w:fldCharType="end"/>
      </w:r>
      <w:r w:rsidR="009C5971">
        <w:t xml:space="preserve"> gibt</w:t>
      </w:r>
      <w:r w:rsidR="00525466">
        <w:t xml:space="preserve"> einen Überblick über die getesteten Düsen und Blenden.</w:t>
      </w:r>
    </w:p>
    <w:p w14:paraId="2C187552" w14:textId="77777777" w:rsidR="00BE5871" w:rsidRDefault="00BE5871" w:rsidP="00BE5871">
      <w:pPr>
        <w:spacing w:after="0"/>
      </w:pPr>
    </w:p>
    <w:p w14:paraId="41598888" w14:textId="77777777" w:rsidR="00525466" w:rsidRPr="00525466" w:rsidRDefault="00525466" w:rsidP="00426FE9">
      <w:pPr>
        <w:pStyle w:val="Beschriftung"/>
        <w:spacing w:after="120"/>
        <w:rPr>
          <w:b w:val="0"/>
        </w:rPr>
      </w:pPr>
      <w:bookmarkStart w:id="260" w:name="_Ref267317582"/>
      <w:r w:rsidRPr="00525466">
        <w:lastRenderedPageBreak/>
        <w:t xml:space="preserve">Tabelle </w:t>
      </w:r>
      <w:fldSimple w:instr=" SEQ Tabelle \* ARABIC ">
        <w:r w:rsidR="00711AB8">
          <w:rPr>
            <w:noProof/>
          </w:rPr>
          <w:t>25</w:t>
        </w:r>
      </w:fldSimple>
      <w:bookmarkEnd w:id="260"/>
      <w:r>
        <w:t xml:space="preserve"> </w:t>
      </w:r>
      <w:r>
        <w:rPr>
          <w:b w:val="0"/>
        </w:rPr>
        <w:t>Überblick über die getesteten Düsen und Blenden.</w:t>
      </w:r>
    </w:p>
    <w:p w14:paraId="22D796A9" w14:textId="77777777" w:rsidR="00525466" w:rsidRPr="000A69E1" w:rsidRDefault="00525466" w:rsidP="006D23C8">
      <w:pPr>
        <w:spacing w:after="120" w:line="240" w:lineRule="auto"/>
        <w:jc w:val="center"/>
      </w:pPr>
      <w:r>
        <w:rPr>
          <w:noProof/>
          <w:lang w:eastAsia="de-DE"/>
        </w:rPr>
        <w:drawing>
          <wp:inline distT="0" distB="0" distL="0" distR="0" wp14:anchorId="1A4B22B6" wp14:editId="4F7F6FD7">
            <wp:extent cx="4735853" cy="2779514"/>
            <wp:effectExtent l="0" t="0" r="7620" b="1905"/>
            <wp:docPr id="7"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40616" cy="2782310"/>
                    </a:xfrm>
                    <a:prstGeom prst="rect">
                      <a:avLst/>
                    </a:prstGeom>
                    <a:noFill/>
                    <a:ln>
                      <a:noFill/>
                    </a:ln>
                  </pic:spPr>
                </pic:pic>
              </a:graphicData>
            </a:graphic>
          </wp:inline>
        </w:drawing>
      </w:r>
    </w:p>
    <w:p w14:paraId="43BB8F49" w14:textId="77777777" w:rsidR="009F351E" w:rsidRDefault="009F351E" w:rsidP="00BE5871">
      <w:pPr>
        <w:spacing w:after="120"/>
        <w:rPr>
          <w:rFonts w:cs="Times New Roman"/>
          <w:szCs w:val="24"/>
        </w:rPr>
      </w:pPr>
    </w:p>
    <w:p w14:paraId="0D74BEB6" w14:textId="77777777" w:rsidR="00F673D5" w:rsidRPr="007C61EF" w:rsidRDefault="00151D45" w:rsidP="007C61EF">
      <w:pPr>
        <w:spacing w:after="120"/>
        <w:rPr>
          <w:rFonts w:cs="Times New Roman"/>
          <w:szCs w:val="24"/>
        </w:rPr>
      </w:pPr>
      <w:r w:rsidRPr="007C61EF">
        <w:rPr>
          <w:rFonts w:cs="Times New Roman"/>
          <w:szCs w:val="24"/>
        </w:rPr>
        <w:t>Aufg</w:t>
      </w:r>
      <w:r w:rsidR="009C5971">
        <w:rPr>
          <w:rFonts w:cs="Times New Roman"/>
          <w:szCs w:val="24"/>
        </w:rPr>
        <w:t>rund der begrenzten Förderleitung</w:t>
      </w:r>
      <w:r w:rsidR="00D75E1B">
        <w:rPr>
          <w:rFonts w:cs="Times New Roman"/>
          <w:szCs w:val="24"/>
        </w:rPr>
        <w:t xml:space="preserve"> der CO</w:t>
      </w:r>
      <w:r w:rsidRPr="007C61EF">
        <w:rPr>
          <w:rFonts w:cs="Times New Roman"/>
          <w:szCs w:val="24"/>
          <w:vertAlign w:val="subscript"/>
        </w:rPr>
        <w:t>2</w:t>
      </w:r>
      <w:r w:rsidRPr="007C61EF">
        <w:rPr>
          <w:rFonts w:cs="Times New Roman"/>
          <w:szCs w:val="24"/>
        </w:rPr>
        <w:t xml:space="preserve"> Pumpe war es bei allen getesteten Düsen und Blenden mit einem Strömungskanaldurchmesser von m</w:t>
      </w:r>
      <w:r w:rsidR="00F673D5" w:rsidRPr="007C61EF">
        <w:rPr>
          <w:rFonts w:cs="Times New Roman"/>
          <w:szCs w:val="24"/>
        </w:rPr>
        <w:t>ehr als 0,1 mm nicht möglich, einen</w:t>
      </w:r>
      <w:r w:rsidRPr="007C61EF">
        <w:rPr>
          <w:rFonts w:cs="Times New Roman"/>
          <w:szCs w:val="24"/>
        </w:rPr>
        <w:t xml:space="preserve"> Betriebsdruck von 200 bar aufrecht zu erhalten</w:t>
      </w:r>
      <w:r w:rsidR="00F673D5" w:rsidRPr="007C61EF">
        <w:rPr>
          <w:rFonts w:cs="Times New Roman"/>
          <w:szCs w:val="24"/>
        </w:rPr>
        <w:t xml:space="preserve">. Daher wurden diese Düsen nicht weiter berücksichtigt und die Auswahl beschränkte sich </w:t>
      </w:r>
      <w:r w:rsidR="00B3585C">
        <w:rPr>
          <w:rFonts w:cs="Times New Roman"/>
          <w:szCs w:val="24"/>
        </w:rPr>
        <w:t xml:space="preserve">für den kontinuierlichen Sprühvorgang </w:t>
      </w:r>
      <w:r w:rsidR="00F673D5" w:rsidRPr="007C61EF">
        <w:rPr>
          <w:rFonts w:cs="Times New Roman"/>
          <w:szCs w:val="24"/>
        </w:rPr>
        <w:t>auf eine Düse und eine Blende mit einem Durchmesser von jeweils 0,1 mm.</w:t>
      </w:r>
    </w:p>
    <w:p w14:paraId="52C501C4" w14:textId="77777777" w:rsidR="00F673D5" w:rsidRPr="00426FE9" w:rsidRDefault="00F673D5" w:rsidP="00426FE9">
      <w:pPr>
        <w:spacing w:after="120"/>
        <w:rPr>
          <w:rFonts w:cs="Times New Roman"/>
          <w:szCs w:val="24"/>
        </w:rPr>
      </w:pPr>
      <w:r w:rsidRPr="00426FE9">
        <w:rPr>
          <w:rFonts w:cs="Times New Roman"/>
          <w:szCs w:val="24"/>
        </w:rPr>
        <w:t xml:space="preserve">Zum Vergleich der Sprühkegel wurden </w:t>
      </w:r>
      <w:r w:rsidR="00764DFA" w:rsidRPr="00426FE9">
        <w:rPr>
          <w:rFonts w:cs="Times New Roman"/>
          <w:szCs w:val="24"/>
        </w:rPr>
        <w:t>fo</w:t>
      </w:r>
      <w:r w:rsidR="00171EB1" w:rsidRPr="00426FE9">
        <w:rPr>
          <w:rFonts w:cs="Times New Roman"/>
          <w:szCs w:val="24"/>
        </w:rPr>
        <w:t>tografische Aufnahmen erstellt (</w:t>
      </w:r>
      <w:r w:rsidR="00D16240" w:rsidRPr="00426FE9">
        <w:rPr>
          <w:rFonts w:cs="Times New Roman"/>
          <w:szCs w:val="24"/>
        </w:rPr>
        <w:fldChar w:fldCharType="begin"/>
      </w:r>
      <w:r w:rsidR="00171EB1" w:rsidRPr="00426FE9">
        <w:rPr>
          <w:rFonts w:cs="Times New Roman"/>
          <w:szCs w:val="24"/>
        </w:rPr>
        <w:instrText xml:space="preserve"> REF _Ref267319221 \h </w:instrText>
      </w:r>
      <w:r w:rsidR="00D16240" w:rsidRPr="00426FE9">
        <w:rPr>
          <w:rFonts w:cs="Times New Roman"/>
          <w:szCs w:val="24"/>
        </w:rPr>
      </w:r>
      <w:r w:rsidR="00D16240" w:rsidRPr="00426FE9">
        <w:rPr>
          <w:rFonts w:cs="Times New Roman"/>
          <w:szCs w:val="24"/>
        </w:rPr>
        <w:fldChar w:fldCharType="separate"/>
      </w:r>
      <w:r w:rsidR="00711AB8" w:rsidRPr="00151D45">
        <w:t xml:space="preserve">Tabelle </w:t>
      </w:r>
      <w:r w:rsidR="00711AB8">
        <w:rPr>
          <w:noProof/>
        </w:rPr>
        <w:t>26</w:t>
      </w:r>
      <w:r w:rsidR="00D16240" w:rsidRPr="00426FE9">
        <w:rPr>
          <w:rFonts w:cs="Times New Roman"/>
          <w:szCs w:val="24"/>
        </w:rPr>
        <w:fldChar w:fldCharType="end"/>
      </w:r>
      <w:r w:rsidR="00171EB1" w:rsidRPr="00426FE9">
        <w:rPr>
          <w:rFonts w:cs="Times New Roman"/>
          <w:szCs w:val="24"/>
        </w:rPr>
        <w:t xml:space="preserve">). Hieraus wird ersichtlich, dass </w:t>
      </w:r>
      <w:r w:rsidR="00336B2F" w:rsidRPr="00426FE9">
        <w:rPr>
          <w:rFonts w:cs="Times New Roman"/>
          <w:szCs w:val="24"/>
        </w:rPr>
        <w:t xml:space="preserve">der Sprühkegel </w:t>
      </w:r>
      <w:r w:rsidR="00171EB1" w:rsidRPr="00426FE9">
        <w:rPr>
          <w:rFonts w:cs="Times New Roman"/>
          <w:szCs w:val="24"/>
        </w:rPr>
        <w:t>bei Verwendu</w:t>
      </w:r>
      <w:r w:rsidR="00336B2F" w:rsidRPr="00426FE9">
        <w:rPr>
          <w:rFonts w:cs="Times New Roman"/>
          <w:szCs w:val="24"/>
        </w:rPr>
        <w:t>ng der Blende 0,1</w:t>
      </w:r>
      <w:r w:rsidR="00171EB1" w:rsidRPr="00426FE9">
        <w:rPr>
          <w:rFonts w:cs="Times New Roman"/>
          <w:szCs w:val="24"/>
        </w:rPr>
        <w:t xml:space="preserve"> mit einem Durchmesser von 10,4 mm die größte Aufweitung unte</w:t>
      </w:r>
      <w:r w:rsidR="00336B2F" w:rsidRPr="00426FE9">
        <w:rPr>
          <w:rFonts w:cs="Times New Roman"/>
          <w:szCs w:val="24"/>
        </w:rPr>
        <w:t>r allen getesteten Düsen aufweist</w:t>
      </w:r>
      <w:r w:rsidR="00171EB1" w:rsidRPr="00426FE9">
        <w:rPr>
          <w:rFonts w:cs="Times New Roman"/>
          <w:szCs w:val="24"/>
        </w:rPr>
        <w:t>.</w:t>
      </w:r>
      <w:r w:rsidR="00336B2F" w:rsidRPr="00426FE9">
        <w:rPr>
          <w:rFonts w:cs="Times New Roman"/>
          <w:szCs w:val="24"/>
        </w:rPr>
        <w:t xml:space="preserve"> Bei der Düse 0,1 beträgt der Durchmesser des Sprühkegels lediglich 4,5 mm. Allgemein ist davon auszugehen, dass durch eine größere Aufweitung des Sprühkegels eine geringere Tropfengröße erzielt wird.</w:t>
      </w:r>
      <w:r w:rsidR="009B010D" w:rsidRPr="00426FE9">
        <w:rPr>
          <w:rFonts w:cs="Times New Roman"/>
          <w:szCs w:val="24"/>
        </w:rPr>
        <w:t xml:space="preserve"> Daraus folgt, dass eine</w:t>
      </w:r>
      <w:r w:rsidR="00665797" w:rsidRPr="00426FE9">
        <w:rPr>
          <w:rFonts w:cs="Times New Roman"/>
          <w:szCs w:val="24"/>
        </w:rPr>
        <w:t xml:space="preserve"> möglichst</w:t>
      </w:r>
      <w:r w:rsidR="009B010D" w:rsidRPr="00426FE9">
        <w:rPr>
          <w:rFonts w:cs="Times New Roman"/>
          <w:szCs w:val="24"/>
        </w:rPr>
        <w:t xml:space="preserve"> hohe Zerstäubungsleistung eine Voraussetzung zur Herstellung von Nanopartikeln mittels Entspannung einer überkritischen Lösung durch eine Düse ist.</w:t>
      </w:r>
    </w:p>
    <w:p w14:paraId="6AE19823" w14:textId="77777777" w:rsidR="008215A9" w:rsidRDefault="00B06888" w:rsidP="007C61EF">
      <w:pPr>
        <w:spacing w:after="120"/>
        <w:rPr>
          <w:rFonts w:cs="Times New Roman"/>
          <w:szCs w:val="24"/>
        </w:rPr>
      </w:pPr>
      <w:r w:rsidRPr="007C61EF">
        <w:rPr>
          <w:rFonts w:cs="Times New Roman"/>
          <w:szCs w:val="24"/>
        </w:rPr>
        <w:t>In den Vorversuchen wurde gezeigt</w:t>
      </w:r>
      <w:r w:rsidR="00336B2F" w:rsidRPr="007C61EF">
        <w:rPr>
          <w:rFonts w:cs="Times New Roman"/>
          <w:szCs w:val="24"/>
        </w:rPr>
        <w:t xml:space="preserve">, dass die Blende 0,1 </w:t>
      </w:r>
      <w:r w:rsidR="00F240B7" w:rsidRPr="007C61EF">
        <w:rPr>
          <w:rFonts w:cs="Times New Roman"/>
          <w:szCs w:val="24"/>
        </w:rPr>
        <w:t>bei gleicher Druckdifferenz einen</w:t>
      </w:r>
      <w:r w:rsidR="00336B2F" w:rsidRPr="007C61EF">
        <w:rPr>
          <w:rFonts w:cs="Times New Roman"/>
          <w:szCs w:val="24"/>
        </w:rPr>
        <w:t xml:space="preserve"> geringeren Massendurc</w:t>
      </w:r>
      <w:r w:rsidRPr="007C61EF">
        <w:rPr>
          <w:rFonts w:cs="Times New Roman"/>
          <w:szCs w:val="24"/>
        </w:rPr>
        <w:t>hsatz als die Düse 0,1 aufweist.</w:t>
      </w:r>
      <w:r w:rsidR="00336B2F" w:rsidRPr="007C61EF">
        <w:rPr>
          <w:rFonts w:cs="Times New Roman"/>
          <w:szCs w:val="24"/>
        </w:rPr>
        <w:t xml:space="preserve"> </w:t>
      </w:r>
      <w:r w:rsidRPr="007C61EF">
        <w:rPr>
          <w:rFonts w:cs="Times New Roman"/>
          <w:szCs w:val="24"/>
        </w:rPr>
        <w:t>Durch den niedrigeren Massendurchsatz der Bl</w:t>
      </w:r>
      <w:r w:rsidR="00665797" w:rsidRPr="007C61EF">
        <w:rPr>
          <w:rFonts w:cs="Times New Roman"/>
          <w:szCs w:val="24"/>
        </w:rPr>
        <w:t>ende steht mehr Druckenergie fü</w:t>
      </w:r>
      <w:r w:rsidRPr="007C61EF">
        <w:rPr>
          <w:rFonts w:cs="Times New Roman"/>
          <w:szCs w:val="24"/>
        </w:rPr>
        <w:t xml:space="preserve">r die </w:t>
      </w:r>
      <w:r w:rsidR="00665797" w:rsidRPr="007C61EF">
        <w:rPr>
          <w:rFonts w:cs="Times New Roman"/>
          <w:szCs w:val="24"/>
        </w:rPr>
        <w:t>Zerstä</w:t>
      </w:r>
      <w:r w:rsidR="003C44F6" w:rsidRPr="007C61EF">
        <w:rPr>
          <w:rFonts w:cs="Times New Roman"/>
          <w:szCs w:val="24"/>
        </w:rPr>
        <w:t>ubung</w:t>
      </w:r>
      <w:r w:rsidRPr="007C61EF">
        <w:rPr>
          <w:rFonts w:cs="Times New Roman"/>
          <w:szCs w:val="24"/>
        </w:rPr>
        <w:t xml:space="preserve"> des Fluidkontinuums zur </w:t>
      </w:r>
      <w:r w:rsidR="003C44F6" w:rsidRPr="007C61EF">
        <w:rPr>
          <w:rFonts w:cs="Times New Roman"/>
          <w:szCs w:val="24"/>
        </w:rPr>
        <w:t>Verfügung</w:t>
      </w:r>
      <w:r w:rsidRPr="007C61EF">
        <w:rPr>
          <w:rFonts w:cs="Times New Roman"/>
          <w:szCs w:val="24"/>
        </w:rPr>
        <w:t xml:space="preserve">. Daher </w:t>
      </w:r>
      <w:r w:rsidR="00F240B7" w:rsidRPr="007C61EF">
        <w:rPr>
          <w:rFonts w:cs="Times New Roman"/>
          <w:szCs w:val="24"/>
        </w:rPr>
        <w:t>kann festgehalten werden, dass die Blende 0,1 die beste Zerstäubungslei</w:t>
      </w:r>
      <w:r w:rsidR="006E5FD9">
        <w:rPr>
          <w:rFonts w:cs="Times New Roman"/>
          <w:szCs w:val="24"/>
        </w:rPr>
        <w:t>s</w:t>
      </w:r>
      <w:r w:rsidR="00F240B7" w:rsidRPr="007C61EF">
        <w:rPr>
          <w:rFonts w:cs="Times New Roman"/>
          <w:szCs w:val="24"/>
        </w:rPr>
        <w:t>tung unter den getesteten Düsen aufweist.</w:t>
      </w:r>
    </w:p>
    <w:p w14:paraId="6B96720B" w14:textId="77777777" w:rsidR="007E7407" w:rsidRDefault="007E7407" w:rsidP="007C61EF">
      <w:pPr>
        <w:spacing w:after="120"/>
        <w:rPr>
          <w:rFonts w:cs="Times New Roman"/>
          <w:szCs w:val="24"/>
        </w:rPr>
      </w:pPr>
    </w:p>
    <w:p w14:paraId="05A20F9A" w14:textId="77777777" w:rsidR="007E7407" w:rsidRDefault="007E7407" w:rsidP="007C61EF">
      <w:pPr>
        <w:spacing w:after="120"/>
        <w:rPr>
          <w:rFonts w:cs="Times New Roman"/>
          <w:szCs w:val="24"/>
        </w:rPr>
      </w:pPr>
    </w:p>
    <w:p w14:paraId="353D474F" w14:textId="77777777" w:rsidR="007E7407" w:rsidRDefault="007E7407" w:rsidP="007C61EF">
      <w:pPr>
        <w:spacing w:after="120"/>
        <w:rPr>
          <w:rFonts w:cs="Times New Roman"/>
          <w:szCs w:val="24"/>
        </w:rPr>
      </w:pPr>
    </w:p>
    <w:p w14:paraId="0AE57CAA" w14:textId="77777777" w:rsidR="008215A9" w:rsidRPr="007C61EF" w:rsidRDefault="008215A9" w:rsidP="007C61EF">
      <w:pPr>
        <w:spacing w:after="120"/>
        <w:rPr>
          <w:rFonts w:cs="Times New Roman"/>
          <w:szCs w:val="24"/>
        </w:rPr>
      </w:pPr>
    </w:p>
    <w:p w14:paraId="20EC4CDE" w14:textId="77777777" w:rsidR="00151D45" w:rsidRPr="00151D45" w:rsidRDefault="00151D45" w:rsidP="007E7407">
      <w:pPr>
        <w:pStyle w:val="Beschriftung"/>
        <w:ind w:firstLine="0"/>
        <w:rPr>
          <w:b w:val="0"/>
        </w:rPr>
      </w:pPr>
      <w:bookmarkStart w:id="261" w:name="_Ref267319221"/>
      <w:r w:rsidRPr="00151D45">
        <w:lastRenderedPageBreak/>
        <w:t xml:space="preserve">Tabelle </w:t>
      </w:r>
      <w:fldSimple w:instr=" SEQ Tabelle \* ARABIC ">
        <w:r w:rsidR="00711AB8">
          <w:rPr>
            <w:noProof/>
          </w:rPr>
          <w:t>26</w:t>
        </w:r>
      </w:fldSimple>
      <w:bookmarkEnd w:id="261"/>
      <w:r>
        <w:t xml:space="preserve"> </w:t>
      </w:r>
      <w:r>
        <w:rPr>
          <w:b w:val="0"/>
        </w:rPr>
        <w:t>Fotografische Aufnahme und Ausmessung der Sprühkegel unterschiedlicher Düsen und Blenden</w:t>
      </w:r>
      <w:r w:rsidR="00F673D5">
        <w:rPr>
          <w:b w:val="0"/>
        </w:rPr>
        <w:t xml:space="preserve"> mit Angabe des Durchmessers und der Länge des Srühkanals</w:t>
      </w:r>
      <w:r>
        <w:rPr>
          <w:b w:val="0"/>
        </w:rPr>
        <w:t>.</w:t>
      </w:r>
    </w:p>
    <w:p w14:paraId="244DA296" w14:textId="77777777" w:rsidR="00151D45" w:rsidRDefault="00151D45" w:rsidP="003B37C5">
      <w:pPr>
        <w:spacing w:after="120" w:line="240" w:lineRule="auto"/>
      </w:pPr>
      <w:r>
        <w:rPr>
          <w:noProof/>
          <w:lang w:eastAsia="de-DE"/>
        </w:rPr>
        <w:drawing>
          <wp:inline distT="0" distB="0" distL="0" distR="0" wp14:anchorId="66F26F22" wp14:editId="7D9E57FF">
            <wp:extent cx="5560398" cy="3421410"/>
            <wp:effectExtent l="0" t="0" r="2540" b="7620"/>
            <wp:docPr id="9"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59887" cy="3421096"/>
                    </a:xfrm>
                    <a:prstGeom prst="rect">
                      <a:avLst/>
                    </a:prstGeom>
                    <a:noFill/>
                    <a:ln>
                      <a:noFill/>
                    </a:ln>
                  </pic:spPr>
                </pic:pic>
              </a:graphicData>
            </a:graphic>
          </wp:inline>
        </w:drawing>
      </w:r>
    </w:p>
    <w:p w14:paraId="51632856" w14:textId="77777777" w:rsidR="009F351E" w:rsidRDefault="009F351E" w:rsidP="00BE5871">
      <w:pPr>
        <w:spacing w:after="120"/>
      </w:pPr>
    </w:p>
    <w:p w14:paraId="640F4EE5" w14:textId="77777777" w:rsidR="00151D45" w:rsidRDefault="00665797" w:rsidP="007B444A">
      <w:pPr>
        <w:spacing w:after="120"/>
      </w:pPr>
      <w:r>
        <w:t>Bei der Düse 0,1 ist</w:t>
      </w:r>
      <w:r w:rsidR="00F240B7">
        <w:t xml:space="preserve"> </w:t>
      </w:r>
      <w:r w:rsidR="00F240B7" w:rsidRPr="00F240B7">
        <w:t>aufgrund des lange</w:t>
      </w:r>
      <w:r w:rsidR="00F240B7">
        <w:t xml:space="preserve">n Düsenkanals während den Versuchen hin und </w:t>
      </w:r>
      <w:r w:rsidR="003721D2">
        <w:t>wieder eine Verblockung</w:t>
      </w:r>
      <w:r w:rsidR="00281C03">
        <w:t xml:space="preserve"> aufgetreten. Die Düse 0,1 war</w:t>
      </w:r>
      <w:r w:rsidR="00F240B7">
        <w:t xml:space="preserve"> weitaus </w:t>
      </w:r>
      <w:r w:rsidR="009B010D">
        <w:t>anfälliger</w:t>
      </w:r>
      <w:r w:rsidR="00F240B7">
        <w:t xml:space="preserve"> </w:t>
      </w:r>
      <w:r w:rsidR="009B010D">
        <w:t>für</w:t>
      </w:r>
      <w:r w:rsidR="00F240B7">
        <w:t xml:space="preserve"> eine Verblockung mit Polymer als die Blende 0,1.</w:t>
      </w:r>
    </w:p>
    <w:p w14:paraId="3A52975C" w14:textId="77777777" w:rsidR="00157851" w:rsidRDefault="00C671CD" w:rsidP="007B444A">
      <w:pPr>
        <w:spacing w:after="120"/>
      </w:pPr>
      <w:r>
        <w:t>Aufgrund der herv</w:t>
      </w:r>
      <w:r w:rsidR="006E5FD9">
        <w:t>orragenden Zerstäubungsleistung,</w:t>
      </w:r>
      <w:r>
        <w:t xml:space="preserve"> des </w:t>
      </w:r>
      <w:r w:rsidR="00157851">
        <w:t xml:space="preserve">für permanentes Sprühen </w:t>
      </w:r>
      <w:r>
        <w:t>geeigneten Massenstromes und der geringen Verblockungsgefahr wurden die Versuche in der vorliegenden Arbeit mit der Blende 0,1</w:t>
      </w:r>
      <w:r w:rsidR="00B06888">
        <w:t xml:space="preserve"> (siehe </w:t>
      </w:r>
      <w:r w:rsidR="00D16240">
        <w:fldChar w:fldCharType="begin"/>
      </w:r>
      <w:r w:rsidR="00B06888">
        <w:instrText xml:space="preserve"> REF _Ref267506416 \h </w:instrText>
      </w:r>
      <w:r w:rsidR="00D16240">
        <w:fldChar w:fldCharType="separate"/>
      </w:r>
      <w:r w:rsidR="00711AB8" w:rsidRPr="00157851">
        <w:t xml:space="preserve">Abbildung </w:t>
      </w:r>
      <w:r w:rsidR="00711AB8">
        <w:rPr>
          <w:noProof/>
        </w:rPr>
        <w:t>36</w:t>
      </w:r>
      <w:r w:rsidR="00D16240">
        <w:fldChar w:fldCharType="end"/>
      </w:r>
      <w:r w:rsidR="00B06888">
        <w:t>) durchgeführt.</w:t>
      </w:r>
      <w:r w:rsidR="005600B4">
        <w:t xml:space="preserve"> Bei der Blende 0,1 handelt es sich um das Modell 629, Größe 1, Bohrgröße 0,1 mm der Firma Düsen-Schlick GmbH, Deutschland.</w:t>
      </w:r>
    </w:p>
    <w:p w14:paraId="0D857B0B" w14:textId="77777777" w:rsidR="00BE5871" w:rsidRDefault="00BE5871" w:rsidP="00BE5871">
      <w:pPr>
        <w:spacing w:after="0"/>
      </w:pPr>
    </w:p>
    <w:p w14:paraId="54CE0792" w14:textId="77777777" w:rsidR="00C671CD" w:rsidRDefault="00C671CD" w:rsidP="00C671CD">
      <w:pPr>
        <w:spacing w:after="120" w:line="240" w:lineRule="auto"/>
        <w:jc w:val="center"/>
      </w:pPr>
      <w:r>
        <w:rPr>
          <w:noProof/>
          <w:lang w:eastAsia="de-DE"/>
        </w:rPr>
        <w:drawing>
          <wp:inline distT="0" distB="0" distL="0" distR="0" wp14:anchorId="3EA2BA03" wp14:editId="03C6DFFB">
            <wp:extent cx="5504815" cy="1249680"/>
            <wp:effectExtent l="0" t="0" r="6985" b="0"/>
            <wp:docPr id="10"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04815" cy="1249680"/>
                    </a:xfrm>
                    <a:prstGeom prst="rect">
                      <a:avLst/>
                    </a:prstGeom>
                    <a:noFill/>
                    <a:ln>
                      <a:noFill/>
                    </a:ln>
                  </pic:spPr>
                </pic:pic>
              </a:graphicData>
            </a:graphic>
          </wp:inline>
        </w:drawing>
      </w:r>
    </w:p>
    <w:p w14:paraId="7F055D2D" w14:textId="77777777" w:rsidR="009F351E" w:rsidRDefault="00157851" w:rsidP="007E7407">
      <w:pPr>
        <w:pStyle w:val="Beschriftung"/>
        <w:spacing w:after="120"/>
        <w:ind w:firstLine="0"/>
        <w:rPr>
          <w:b w:val="0"/>
        </w:rPr>
      </w:pPr>
      <w:bookmarkStart w:id="262" w:name="_Ref267506416"/>
      <w:r w:rsidRPr="00157851">
        <w:t xml:space="preserve">Abbildung </w:t>
      </w:r>
      <w:fldSimple w:instr=" SEQ Abbildung \* ARABIC ">
        <w:r w:rsidR="00711AB8">
          <w:rPr>
            <w:noProof/>
          </w:rPr>
          <w:t>36</w:t>
        </w:r>
      </w:fldSimple>
      <w:bookmarkEnd w:id="262"/>
      <w:r>
        <w:t xml:space="preserve"> </w:t>
      </w:r>
      <w:r w:rsidR="005941BE">
        <w:rPr>
          <w:b w:val="0"/>
        </w:rPr>
        <w:t>Links</w:t>
      </w:r>
      <w:r w:rsidR="006E5FD9">
        <w:rPr>
          <w:b w:val="0"/>
        </w:rPr>
        <w:t>:</w:t>
      </w:r>
      <w:r w:rsidR="005E3B52">
        <w:rPr>
          <w:b w:val="0"/>
        </w:rPr>
        <w:t xml:space="preserve"> Explosionszeichnung und</w:t>
      </w:r>
      <w:r w:rsidR="005941BE">
        <w:rPr>
          <w:b w:val="0"/>
        </w:rPr>
        <w:t xml:space="preserve"> rechts</w:t>
      </w:r>
      <w:r w:rsidR="006E5FD9">
        <w:rPr>
          <w:b w:val="0"/>
        </w:rPr>
        <w:t>:</w:t>
      </w:r>
      <w:r w:rsidR="005941BE">
        <w:rPr>
          <w:b w:val="0"/>
        </w:rPr>
        <w:t xml:space="preserve"> fotografische Aufnahme des Düsenkörpers</w:t>
      </w:r>
      <w:r w:rsidR="006E5FD9">
        <w:rPr>
          <w:b w:val="0"/>
        </w:rPr>
        <w:t>.</w:t>
      </w:r>
    </w:p>
    <w:p w14:paraId="0BD49231" w14:textId="77777777" w:rsidR="007E7407" w:rsidRPr="007E7407" w:rsidRDefault="007E7407" w:rsidP="007E7407"/>
    <w:p w14:paraId="74F92B9A" w14:textId="77777777" w:rsidR="001D0B18" w:rsidRDefault="009B010D" w:rsidP="007E7407">
      <w:pPr>
        <w:spacing w:after="120"/>
      </w:pPr>
      <w:r>
        <w:t xml:space="preserve">Der Düsengrundkörper wurde so konzipiert, dass unterschiedliche Blenden aufgeschraubt werden können. Somit werden </w:t>
      </w:r>
      <w:r w:rsidR="00CE3A5A">
        <w:t xml:space="preserve">sämtliche </w:t>
      </w:r>
      <w:r>
        <w:t>Einflüsse durch fertigungsbedingte Unterschiede des Düsenkörpers ausgesc</w:t>
      </w:r>
      <w:r w:rsidR="00CE3A5A">
        <w:t>hlossen.</w:t>
      </w:r>
    </w:p>
    <w:p w14:paraId="160AAFEE" w14:textId="77777777" w:rsidR="00CE3A5A" w:rsidRPr="00DD7FD7" w:rsidRDefault="00CE3A5A" w:rsidP="001D0B18">
      <w:pPr>
        <w:spacing w:before="240" w:after="120"/>
        <w:rPr>
          <w:b/>
        </w:rPr>
      </w:pPr>
      <w:r w:rsidRPr="00DD7FD7">
        <w:rPr>
          <w:b/>
        </w:rPr>
        <w:lastRenderedPageBreak/>
        <w:t>Sprühkammer</w:t>
      </w:r>
      <w:r w:rsidR="001D0B18" w:rsidRPr="00DD7FD7">
        <w:rPr>
          <w:b/>
        </w:rPr>
        <w:t>:</w:t>
      </w:r>
    </w:p>
    <w:p w14:paraId="330BF00A" w14:textId="77777777" w:rsidR="00CE3A5A" w:rsidRDefault="00CE3A5A" w:rsidP="007B444A">
      <w:pPr>
        <w:spacing w:after="120"/>
      </w:pPr>
      <w:r>
        <w:t xml:space="preserve">Zur quantitativen Gewinnung des Produktes war eine Abtrennung des Sprühstrahls von der Umgebung notwendig. Hierzu wurde eine Sprühkammer mit separater Absaugung konzipiert. Durch eine spezielle Strömungsführung kann der Gasstrom vom Flüssigkeitsstrom </w:t>
      </w:r>
      <w:r w:rsidR="00743A8B">
        <w:t>ab</w:t>
      </w:r>
      <w:r>
        <w:t>getrennt werden.</w:t>
      </w:r>
    </w:p>
    <w:p w14:paraId="6C047A69" w14:textId="77777777" w:rsidR="00CE3A5A" w:rsidRDefault="00841DBC" w:rsidP="00BE5871">
      <w:pPr>
        <w:spacing w:after="120"/>
      </w:pPr>
      <w:r>
        <w:t>Die Sprühkammer trägt auß</w:t>
      </w:r>
      <w:r w:rsidR="00BA10E6">
        <w:t>erdem maßgeblich zur Erhöhung der Arbeitssicherheit bei, indem eine</w:t>
      </w:r>
      <w:r>
        <w:t xml:space="preserve"> </w:t>
      </w:r>
      <w:r w:rsidR="00BA10E6">
        <w:t>Kontamination der Raumluft mit</w:t>
      </w:r>
      <w:r>
        <w:t xml:space="preserve"> Partikel</w:t>
      </w:r>
      <w:r w:rsidR="00BA10E6">
        <w:t>n</w:t>
      </w:r>
      <w:r>
        <w:t xml:space="preserve"> oder pharm</w:t>
      </w:r>
      <w:r w:rsidR="00BA10E6">
        <w:t>azeutischen Wirkstoffen verhindert wird.</w:t>
      </w:r>
    </w:p>
    <w:p w14:paraId="02D8F2A1" w14:textId="77777777" w:rsidR="009F351E" w:rsidRDefault="009F351E" w:rsidP="007B444A">
      <w:pPr>
        <w:spacing w:after="120"/>
      </w:pPr>
    </w:p>
    <w:p w14:paraId="57E0ADEE" w14:textId="77777777" w:rsidR="00CE3A5A" w:rsidRDefault="00CE3A5A" w:rsidP="00981401">
      <w:pPr>
        <w:spacing w:after="120" w:line="240" w:lineRule="auto"/>
        <w:jc w:val="center"/>
      </w:pPr>
      <w:r>
        <w:rPr>
          <w:noProof/>
          <w:lang w:eastAsia="de-DE"/>
        </w:rPr>
        <w:drawing>
          <wp:inline distT="0" distB="0" distL="0" distR="0" wp14:anchorId="7F8B6052" wp14:editId="20FB1636">
            <wp:extent cx="5241925" cy="3431540"/>
            <wp:effectExtent l="0" t="0" r="0" b="0"/>
            <wp:docPr id="11"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41925" cy="3431540"/>
                    </a:xfrm>
                    <a:prstGeom prst="rect">
                      <a:avLst/>
                    </a:prstGeom>
                    <a:noFill/>
                    <a:ln>
                      <a:noFill/>
                    </a:ln>
                  </pic:spPr>
                </pic:pic>
              </a:graphicData>
            </a:graphic>
          </wp:inline>
        </w:drawing>
      </w:r>
    </w:p>
    <w:p w14:paraId="617D5A14" w14:textId="77777777" w:rsidR="00CE3A5A" w:rsidRPr="00CE3A5A" w:rsidRDefault="00CE3A5A" w:rsidP="007E7407">
      <w:pPr>
        <w:pStyle w:val="Beschriftung"/>
        <w:ind w:firstLine="0"/>
        <w:rPr>
          <w:b w:val="0"/>
        </w:rPr>
      </w:pPr>
      <w:bookmarkStart w:id="263" w:name="_Ref267508311"/>
      <w:r w:rsidRPr="00CE3A5A">
        <w:t xml:space="preserve">Abbildung </w:t>
      </w:r>
      <w:fldSimple w:instr=" SEQ Abbildung \* ARABIC ">
        <w:r w:rsidR="00711AB8">
          <w:rPr>
            <w:noProof/>
          </w:rPr>
          <w:t>37</w:t>
        </w:r>
      </w:fldSimple>
      <w:bookmarkEnd w:id="263"/>
      <w:r>
        <w:t xml:space="preserve"> </w:t>
      </w:r>
      <w:r w:rsidR="00BF5BDA">
        <w:rPr>
          <w:b w:val="0"/>
        </w:rPr>
        <w:t>Links: schematische Zeichnung</w:t>
      </w:r>
      <w:r>
        <w:rPr>
          <w:b w:val="0"/>
        </w:rPr>
        <w:t xml:space="preserve"> der Sprühkammer</w:t>
      </w:r>
      <w:r w:rsidR="00BF5BDA">
        <w:rPr>
          <w:b w:val="0"/>
        </w:rPr>
        <w:t xml:space="preserve"> mit Deckelplatte</w:t>
      </w:r>
      <w:r>
        <w:rPr>
          <w:b w:val="0"/>
        </w:rPr>
        <w:t>; rechts: fotografisc</w:t>
      </w:r>
      <w:r w:rsidR="00BF5BDA">
        <w:rPr>
          <w:b w:val="0"/>
        </w:rPr>
        <w:t>he Aufnahme der Sprühkammer</w:t>
      </w:r>
      <w:r w:rsidR="006E5FD9">
        <w:rPr>
          <w:b w:val="0"/>
        </w:rPr>
        <w:t>.</w:t>
      </w:r>
    </w:p>
    <w:p w14:paraId="20F5A136" w14:textId="77777777" w:rsidR="009F351E" w:rsidRDefault="009F351E" w:rsidP="00BE5871">
      <w:pPr>
        <w:spacing w:after="120"/>
      </w:pPr>
    </w:p>
    <w:p w14:paraId="0A365655" w14:textId="77777777" w:rsidR="002759E7" w:rsidRPr="006E5FD9" w:rsidRDefault="00BF5BDA" w:rsidP="003721D2">
      <w:pPr>
        <w:spacing w:after="120"/>
        <w:rPr>
          <w:szCs w:val="24"/>
        </w:rPr>
      </w:pPr>
      <w:r>
        <w:t>Die Kammer besteht aus eine</w:t>
      </w:r>
      <w:r w:rsidR="00CB34E0">
        <w:t>m Glaszylinder, dessen</w:t>
      </w:r>
      <w:r>
        <w:t xml:space="preserve"> Enden mit einer Metallplatte verschlossen wurde</w:t>
      </w:r>
      <w:r w:rsidR="00CB34E0">
        <w:t>n. Auf</w:t>
      </w:r>
      <w:r>
        <w:t xml:space="preserve"> der oberen Abdeckplatte befindet sich ein Heizblock</w:t>
      </w:r>
      <w:r w:rsidR="00CB34E0">
        <w:t>, der über eine Leistung von 800 W verfügt und über das PLS geregelt wird. In eine Bohrung</w:t>
      </w:r>
      <w:r>
        <w:t xml:space="preserve"> im Heizblock</w:t>
      </w:r>
      <w:r w:rsidR="00CB34E0">
        <w:t>, die mit einem Gewinde versehen wurde, wird der Düsenkörper</w:t>
      </w:r>
      <w:r>
        <w:t xml:space="preserve"> </w:t>
      </w:r>
      <w:r w:rsidR="00CB34E0">
        <w:t>eingeschraubt</w:t>
      </w:r>
      <w:r>
        <w:t xml:space="preserve">. Der Glaszylinder ist mit einem verschließbaren Anschlussstutzen versehen, durch welchen Proben </w:t>
      </w:r>
      <w:r w:rsidRPr="006E5FD9">
        <w:rPr>
          <w:szCs w:val="24"/>
        </w:rPr>
        <w:t>di</w:t>
      </w:r>
      <w:r w:rsidR="00841DBC" w:rsidRPr="006E5FD9">
        <w:rPr>
          <w:szCs w:val="24"/>
        </w:rPr>
        <w:t>rekt aus dem Spraykegel entnommen</w:t>
      </w:r>
      <w:r w:rsidRPr="006E5FD9">
        <w:rPr>
          <w:szCs w:val="24"/>
        </w:rPr>
        <w:t xml:space="preserve"> werden </w:t>
      </w:r>
      <w:r w:rsidR="00841DBC" w:rsidRPr="006E5FD9">
        <w:rPr>
          <w:szCs w:val="24"/>
        </w:rPr>
        <w:t>können</w:t>
      </w:r>
      <w:r w:rsidRPr="006E5FD9">
        <w:rPr>
          <w:szCs w:val="24"/>
        </w:rPr>
        <w:t>. Die Bodenplatte der Spraykammer ist so konstruiert</w:t>
      </w:r>
      <w:r w:rsidR="00CB34E0" w:rsidRPr="006E5FD9">
        <w:rPr>
          <w:szCs w:val="24"/>
        </w:rPr>
        <w:t>, dass</w:t>
      </w:r>
      <w:r w:rsidR="00841DBC" w:rsidRPr="006E5FD9">
        <w:rPr>
          <w:szCs w:val="24"/>
        </w:rPr>
        <w:t xml:space="preserve"> Gas- und Flü</w:t>
      </w:r>
      <w:r w:rsidRPr="006E5FD9">
        <w:rPr>
          <w:szCs w:val="24"/>
        </w:rPr>
        <w:t>ssigkei</w:t>
      </w:r>
      <w:r w:rsidR="00841DBC" w:rsidRPr="006E5FD9">
        <w:rPr>
          <w:szCs w:val="24"/>
        </w:rPr>
        <w:t xml:space="preserve">tsstrom getrennt voneinander </w:t>
      </w:r>
      <w:r w:rsidRPr="006E5FD9">
        <w:rPr>
          <w:szCs w:val="24"/>
        </w:rPr>
        <w:t xml:space="preserve">gesammelt werden. Das Innenvolumen der Kammer </w:t>
      </w:r>
      <w:r w:rsidR="00841DBC" w:rsidRPr="006E5FD9">
        <w:rPr>
          <w:szCs w:val="24"/>
        </w:rPr>
        <w:t>beträgt</w:t>
      </w:r>
      <w:r w:rsidRPr="006E5FD9">
        <w:rPr>
          <w:szCs w:val="24"/>
        </w:rPr>
        <w:t xml:space="preserve"> 12,6 </w:t>
      </w:r>
      <w:r w:rsidR="00CB34E0" w:rsidRPr="006E5FD9">
        <w:rPr>
          <w:rFonts w:cs="STIXGeneral-Regular"/>
          <w:szCs w:val="24"/>
        </w:rPr>
        <w:t>l</w:t>
      </w:r>
      <w:r w:rsidRPr="006E5FD9">
        <w:rPr>
          <w:szCs w:val="24"/>
        </w:rPr>
        <w:t>. Die S</w:t>
      </w:r>
      <w:r w:rsidR="00CB1E78" w:rsidRPr="006E5FD9">
        <w:rPr>
          <w:szCs w:val="24"/>
        </w:rPr>
        <w:t>prühkammer</w:t>
      </w:r>
      <w:r w:rsidRPr="006E5FD9">
        <w:rPr>
          <w:szCs w:val="24"/>
        </w:rPr>
        <w:t xml:space="preserve"> </w:t>
      </w:r>
      <w:r w:rsidR="003721D2" w:rsidRPr="006E5FD9">
        <w:rPr>
          <w:szCs w:val="24"/>
        </w:rPr>
        <w:t>ist vollständig reinigbar</w:t>
      </w:r>
      <w:r w:rsidR="002759E7" w:rsidRPr="006E5FD9">
        <w:rPr>
          <w:szCs w:val="24"/>
        </w:rPr>
        <w:t xml:space="preserve">, da </w:t>
      </w:r>
      <w:r w:rsidR="003721D2" w:rsidRPr="006E5FD9">
        <w:rPr>
          <w:szCs w:val="24"/>
        </w:rPr>
        <w:t xml:space="preserve">sie </w:t>
      </w:r>
      <w:r w:rsidRPr="006E5FD9">
        <w:rPr>
          <w:szCs w:val="24"/>
        </w:rPr>
        <w:t>komplett in ihre Einzelteile zerlegt werden</w:t>
      </w:r>
      <w:r w:rsidR="00CB1E78" w:rsidRPr="006E5FD9">
        <w:rPr>
          <w:szCs w:val="24"/>
        </w:rPr>
        <w:t xml:space="preserve"> kann</w:t>
      </w:r>
      <w:r w:rsidRPr="006E5FD9">
        <w:rPr>
          <w:szCs w:val="24"/>
        </w:rPr>
        <w:t>.</w:t>
      </w:r>
      <w:r w:rsidR="002759E7" w:rsidRPr="006E5FD9">
        <w:rPr>
          <w:szCs w:val="24"/>
        </w:rPr>
        <w:t xml:space="preserve"> </w:t>
      </w:r>
    </w:p>
    <w:p w14:paraId="619AB9D1" w14:textId="77777777" w:rsidR="005941BE" w:rsidRDefault="00CB1E78" w:rsidP="002759E7">
      <w:pPr>
        <w:spacing w:after="120"/>
      </w:pPr>
      <w:r>
        <w:lastRenderedPageBreak/>
        <w:t>Zur Erfassung des Temperaturverlaufs wurden</w:t>
      </w:r>
      <w:r w:rsidR="00BF5BDA">
        <w:t xml:space="preserve"> zwei T</w:t>
      </w:r>
      <w:r>
        <w:t>hermoelemente integriert, die</w:t>
      </w:r>
      <w:r w:rsidR="00BF5BDA">
        <w:t xml:space="preserve"> die Oberflächentemperatur der Düse</w:t>
      </w:r>
      <w:r>
        <w:t xml:space="preserve"> und die Temperatur in der Sprühkammer messen. Der Unterdruck aufgrund der Absaugung</w:t>
      </w:r>
      <w:r w:rsidR="00BF5BDA">
        <w:t xml:space="preserve"> wird durch ein U-Rohr-Manometer </w:t>
      </w:r>
      <w:r>
        <w:t>überwacht. Durch den in der Sprüh</w:t>
      </w:r>
      <w:r w:rsidR="00BF5BDA">
        <w:t>kamm</w:t>
      </w:r>
      <w:r>
        <w:t xml:space="preserve">er herrschenden Unterdruck wird </w:t>
      </w:r>
      <w:r w:rsidR="00BF5BDA">
        <w:t>eine Kontaminati</w:t>
      </w:r>
      <w:r>
        <w:t>on der Umgebung ausgeschlossen. Vor allem bei Arbeiten mit Wirkstoffen ist dies zum Schutz der Mitarbeiter von größter Wichtigkeit.</w:t>
      </w:r>
    </w:p>
    <w:p w14:paraId="07D776F3" w14:textId="77777777" w:rsidR="00D14216" w:rsidRDefault="002E7E19" w:rsidP="003721D2">
      <w:r>
        <w:t>Aus dem Volumenstrom der Düse und dem Innenvolumen der Sprühkammer wurde die durchschnittliche Verweilzeit des Sprays in der Kammer errechnet, sie beträgt 43 s. Durch Beobachtungen konnte bestätigt werden, d</w:t>
      </w:r>
      <w:r w:rsidR="00D14216">
        <w:t>ass Verwirbelungen in der Kammer entstehen und der Volumenstrom nicht isokinetisch abgesaugt wird. Dies erklärt die relativ lange Verweilzeit</w:t>
      </w:r>
      <w:r w:rsidR="003721D2">
        <w:t xml:space="preserve"> des Aerosols in der Kammer</w:t>
      </w:r>
      <w:r w:rsidR="00D14216">
        <w:t>. Der Strömung</w:t>
      </w:r>
      <w:r w:rsidR="003721D2">
        <w:t>sverlauf in der Sprühkammer wurde</w:t>
      </w:r>
      <w:r w:rsidR="00D14216">
        <w:t xml:space="preserve"> in </w:t>
      </w:r>
      <w:r w:rsidR="00D16240">
        <w:fldChar w:fldCharType="begin"/>
      </w:r>
      <w:r w:rsidR="00D14216">
        <w:instrText xml:space="preserve"> REF _Ref267510792 \h </w:instrText>
      </w:r>
      <w:r w:rsidR="00D16240">
        <w:fldChar w:fldCharType="separate"/>
      </w:r>
      <w:r w:rsidR="00711AB8" w:rsidRPr="00D14216">
        <w:t xml:space="preserve">Abbildung </w:t>
      </w:r>
      <w:r w:rsidR="00711AB8">
        <w:rPr>
          <w:noProof/>
        </w:rPr>
        <w:t>38</w:t>
      </w:r>
      <w:r w:rsidR="00D16240">
        <w:fldChar w:fldCharType="end"/>
      </w:r>
      <w:r w:rsidR="00DB6E9D">
        <w:t xml:space="preserve"> skizziert</w:t>
      </w:r>
      <w:r w:rsidR="00D14216">
        <w:t>.</w:t>
      </w:r>
    </w:p>
    <w:p w14:paraId="6FFAEA98" w14:textId="77777777" w:rsidR="00F976EC" w:rsidRDefault="00F976EC" w:rsidP="00F976EC">
      <w:pPr>
        <w:spacing w:after="0"/>
      </w:pPr>
    </w:p>
    <w:p w14:paraId="0806AA68" w14:textId="77777777" w:rsidR="00D14216" w:rsidRDefault="00D14216" w:rsidP="00D14216">
      <w:pPr>
        <w:widowControl w:val="0"/>
        <w:autoSpaceDE w:val="0"/>
        <w:autoSpaceDN w:val="0"/>
        <w:adjustRightInd w:val="0"/>
        <w:spacing w:after="0" w:line="240" w:lineRule="auto"/>
        <w:jc w:val="center"/>
        <w:rPr>
          <w:rFonts w:ascii="Times" w:hAnsi="Times" w:cs="Times"/>
          <w:szCs w:val="24"/>
        </w:rPr>
      </w:pPr>
      <w:r>
        <w:rPr>
          <w:rFonts w:ascii="Times" w:hAnsi="Times" w:cs="Times"/>
          <w:noProof/>
          <w:szCs w:val="24"/>
          <w:lang w:eastAsia="de-DE"/>
        </w:rPr>
        <w:drawing>
          <wp:inline distT="0" distB="0" distL="0" distR="0" wp14:anchorId="5B8FE929" wp14:editId="3AF0B80A">
            <wp:extent cx="2870200" cy="3838575"/>
            <wp:effectExtent l="0" t="0" r="0" b="0"/>
            <wp:docPr id="12"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70200" cy="3838575"/>
                    </a:xfrm>
                    <a:prstGeom prst="rect">
                      <a:avLst/>
                    </a:prstGeom>
                    <a:noFill/>
                    <a:ln>
                      <a:noFill/>
                    </a:ln>
                  </pic:spPr>
                </pic:pic>
              </a:graphicData>
            </a:graphic>
          </wp:inline>
        </w:drawing>
      </w:r>
    </w:p>
    <w:p w14:paraId="02C3FB87" w14:textId="77777777" w:rsidR="00D14216" w:rsidRDefault="00D14216" w:rsidP="00D14216">
      <w:pPr>
        <w:widowControl w:val="0"/>
        <w:autoSpaceDE w:val="0"/>
        <w:autoSpaceDN w:val="0"/>
        <w:adjustRightInd w:val="0"/>
        <w:spacing w:after="0" w:line="240" w:lineRule="auto"/>
        <w:jc w:val="center"/>
        <w:rPr>
          <w:rFonts w:ascii="Times" w:hAnsi="Times" w:cs="Times"/>
          <w:szCs w:val="24"/>
        </w:rPr>
      </w:pPr>
    </w:p>
    <w:p w14:paraId="33950FCF" w14:textId="77777777" w:rsidR="00D14216" w:rsidRPr="00D14216" w:rsidRDefault="00D14216" w:rsidP="007E7407">
      <w:pPr>
        <w:pStyle w:val="Beschriftung"/>
        <w:ind w:firstLine="0"/>
        <w:rPr>
          <w:rFonts w:ascii="Times" w:hAnsi="Times" w:cs="Times"/>
          <w:b w:val="0"/>
          <w:sz w:val="24"/>
          <w:szCs w:val="24"/>
        </w:rPr>
      </w:pPr>
      <w:bookmarkStart w:id="264" w:name="_Ref267510792"/>
      <w:r w:rsidRPr="00D14216">
        <w:t xml:space="preserve">Abbildung </w:t>
      </w:r>
      <w:fldSimple w:instr=" SEQ Abbildung \* ARABIC ">
        <w:r w:rsidR="00711AB8">
          <w:rPr>
            <w:noProof/>
          </w:rPr>
          <w:t>38</w:t>
        </w:r>
      </w:fldSimple>
      <w:bookmarkEnd w:id="264"/>
      <w:r>
        <w:t xml:space="preserve"> </w:t>
      </w:r>
      <w:r>
        <w:rPr>
          <w:b w:val="0"/>
        </w:rPr>
        <w:t>Strömungsverlauf in der Sprühkammer (schematisch skizziert)</w:t>
      </w:r>
      <w:r w:rsidR="00216741">
        <w:rPr>
          <w:b w:val="0"/>
        </w:rPr>
        <w:t>.</w:t>
      </w:r>
    </w:p>
    <w:p w14:paraId="788C40A7" w14:textId="77777777" w:rsidR="009F351E" w:rsidRDefault="009F351E" w:rsidP="009F351E">
      <w:pPr>
        <w:spacing w:after="0"/>
      </w:pPr>
    </w:p>
    <w:p w14:paraId="37995050" w14:textId="77777777" w:rsidR="00BA10E6" w:rsidRDefault="00BA10E6" w:rsidP="007B444A">
      <w:pPr>
        <w:spacing w:after="120"/>
      </w:pPr>
      <w:r>
        <w:t>A</w:t>
      </w:r>
      <w:r w:rsidRPr="00BA10E6">
        <w:t>usgehend von der</w:t>
      </w:r>
      <w:r w:rsidR="0041112C">
        <w:t xml:space="preserve"> Düse verlaufen die Stromfä</w:t>
      </w:r>
      <w:r>
        <w:t>den zunächst nach unten. Durch die</w:t>
      </w:r>
      <w:r w:rsidRPr="00BA10E6">
        <w:t xml:space="preserve"> Abdeckplatte des Auslasses für den Gasstrom </w:t>
      </w:r>
      <w:r>
        <w:t xml:space="preserve">wird der Stromfluss </w:t>
      </w:r>
      <w:r w:rsidRPr="00BA10E6">
        <w:t>w</w:t>
      </w:r>
      <w:r>
        <w:t>ieder nach oben umgelenkt</w:t>
      </w:r>
      <w:r w:rsidRPr="00BA10E6">
        <w:t>. An der Deckelplatt</w:t>
      </w:r>
      <w:r w:rsidR="0041112C">
        <w:t>e der Spraykammer wird die Strö</w:t>
      </w:r>
      <w:r w:rsidRPr="00BA10E6">
        <w:t>mung abermals umgelenkt und tr</w:t>
      </w:r>
      <w:r w:rsidR="0014395F">
        <w:t xml:space="preserve">itt als </w:t>
      </w:r>
      <w:r w:rsidR="0014395F" w:rsidRPr="00361C9D">
        <w:rPr>
          <w:i/>
        </w:rPr>
        <w:t>Entra</w:t>
      </w:r>
      <w:r w:rsidR="0041112C" w:rsidRPr="00361C9D">
        <w:rPr>
          <w:i/>
        </w:rPr>
        <w:t>inment</w:t>
      </w:r>
      <w:r w:rsidR="0041112C">
        <w:t xml:space="preserve"> </w:t>
      </w:r>
      <w:r w:rsidR="00361C9D">
        <w:t xml:space="preserve">(Einschluss) </w:t>
      </w:r>
      <w:r w:rsidR="00AE5A43">
        <w:t xml:space="preserve">wieder </w:t>
      </w:r>
      <w:r w:rsidR="0041112C">
        <w:t>in den Sprühkegel der Dü</w:t>
      </w:r>
      <w:r w:rsidR="0014395F">
        <w:t>se ein. Wä</w:t>
      </w:r>
      <w:r w:rsidRPr="00BA10E6">
        <w:t>hrenddessen t</w:t>
      </w:r>
      <w:r w:rsidR="0014395F">
        <w:t>rennt sich die verbleibende Flü</w:t>
      </w:r>
      <w:r w:rsidRPr="00BA10E6">
        <w:t>ssigphase des Ethanols ab und gelan</w:t>
      </w:r>
      <w:r w:rsidR="003F1DCF">
        <w:t>gt in ein</w:t>
      </w:r>
      <w:r w:rsidR="0014395F">
        <w:t xml:space="preserve"> separate</w:t>
      </w:r>
      <w:r w:rsidR="003F1DCF">
        <w:t xml:space="preserve">s </w:t>
      </w:r>
      <w:r w:rsidR="003F1DCF">
        <w:lastRenderedPageBreak/>
        <w:t>Sammel</w:t>
      </w:r>
      <w:r w:rsidR="0014395F">
        <w:t>gefäß</w:t>
      </w:r>
      <w:r w:rsidRPr="00BA10E6">
        <w:t xml:space="preserve">. Ein </w:t>
      </w:r>
      <w:r w:rsidR="00743A8B">
        <w:t>Großt</w:t>
      </w:r>
      <w:r w:rsidRPr="00BA10E6">
        <w:t>eil der Partike</w:t>
      </w:r>
      <w:r w:rsidR="0014395F">
        <w:t>l wird mit der flüssigen Ethanol Phase</w:t>
      </w:r>
      <w:r w:rsidR="00743A8B">
        <w:t xml:space="preserve"> aufgefangen und kann somit während des laufenden Sprühbetriebes entnommen werden.</w:t>
      </w:r>
    </w:p>
    <w:p w14:paraId="0FAADA77" w14:textId="77777777" w:rsidR="002759E7" w:rsidRDefault="003F1DCF" w:rsidP="007B444A">
      <w:pPr>
        <w:spacing w:after="120"/>
      </w:pPr>
      <w:r>
        <w:t>Aufgrund des beschriebenen</w:t>
      </w:r>
      <w:r w:rsidR="00D14216">
        <w:t xml:space="preserve"> Strömungsverlauf</w:t>
      </w:r>
      <w:r>
        <w:t>es und der relativ langen Verweilzeit des Aerosols</w:t>
      </w:r>
      <w:r w:rsidR="00D14216">
        <w:t xml:space="preserve"> kommt es zu unerwünschten Polymerablagerungen an der Wandung der Sprühkammer. Diese Ablagerungen führen zu Produktverlusten und verringern die Ausbeute an Polymerpartikel</w:t>
      </w:r>
      <w:r w:rsidR="00F976EC">
        <w:t>n in der gesammelten Suspension</w:t>
      </w:r>
      <w:r>
        <w:t>.</w:t>
      </w:r>
    </w:p>
    <w:p w14:paraId="288BD30F" w14:textId="77777777" w:rsidR="002759E7" w:rsidRDefault="002759E7" w:rsidP="002759E7">
      <w:pPr>
        <w:pStyle w:val="berschrift4"/>
      </w:pPr>
      <w:bookmarkStart w:id="265" w:name="_Toc294380265"/>
      <w:r w:rsidRPr="00737C27">
        <w:t>Versuchsbeschreibung kontinuierlicher Betrieb</w:t>
      </w:r>
      <w:bookmarkEnd w:id="265"/>
    </w:p>
    <w:p w14:paraId="172CB966" w14:textId="77777777" w:rsidR="00B3585C" w:rsidRPr="00B3585C" w:rsidRDefault="00B3585C" w:rsidP="00B3585C"/>
    <w:p w14:paraId="29D13474" w14:textId="77777777" w:rsidR="002759E7" w:rsidRDefault="002759E7" w:rsidP="002759E7">
      <w:pPr>
        <w:spacing w:after="120" w:line="240" w:lineRule="auto"/>
      </w:pPr>
      <w:r>
        <w:rPr>
          <w:noProof/>
          <w:lang w:eastAsia="de-DE"/>
        </w:rPr>
        <w:drawing>
          <wp:anchor distT="0" distB="0" distL="114300" distR="114300" simplePos="0" relativeHeight="251663360" behindDoc="0" locked="0" layoutInCell="1" allowOverlap="1" wp14:anchorId="3FD131EC" wp14:editId="5774FFDA">
            <wp:simplePos x="0" y="0"/>
            <wp:positionH relativeFrom="column">
              <wp:posOffset>-228600</wp:posOffset>
            </wp:positionH>
            <wp:positionV relativeFrom="paragraph">
              <wp:posOffset>77470</wp:posOffset>
            </wp:positionV>
            <wp:extent cx="3182620" cy="2423795"/>
            <wp:effectExtent l="0" t="0" r="0" b="0"/>
            <wp:wrapSquare wrapText="bothSides"/>
            <wp:docPr id="31"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182620" cy="2423795"/>
                    </a:xfrm>
                    <a:prstGeom prst="rect">
                      <a:avLst/>
                    </a:prstGeom>
                  </pic:spPr>
                </pic:pic>
              </a:graphicData>
            </a:graphic>
          </wp:anchor>
        </w:drawing>
      </w:r>
    </w:p>
    <w:p w14:paraId="59D61B08" w14:textId="77777777" w:rsidR="002759E7" w:rsidRPr="00254858" w:rsidRDefault="002759E7" w:rsidP="002759E7">
      <w:pPr>
        <w:spacing w:after="120" w:line="240" w:lineRule="auto"/>
        <w:rPr>
          <w:sz w:val="18"/>
          <w:szCs w:val="18"/>
        </w:rPr>
      </w:pPr>
      <w:r w:rsidRPr="00DB0243">
        <w:rPr>
          <w:sz w:val="18"/>
          <w:szCs w:val="18"/>
          <w:lang w:val="en-US"/>
        </w:rPr>
        <w:t xml:space="preserve">   </w:t>
      </w:r>
      <w:r w:rsidRPr="00DB0243">
        <w:rPr>
          <w:b/>
          <w:sz w:val="18"/>
          <w:szCs w:val="18"/>
          <w:lang w:val="en-US"/>
        </w:rPr>
        <w:t xml:space="preserve">a) </w:t>
      </w:r>
      <w:r w:rsidRPr="00DB0243">
        <w:rPr>
          <w:sz w:val="18"/>
          <w:szCs w:val="18"/>
          <w:lang w:val="en-US"/>
        </w:rPr>
        <w:t xml:space="preserve">Ethanol, Polymer und evtl. </w:t>
      </w:r>
      <w:r>
        <w:rPr>
          <w:sz w:val="18"/>
          <w:szCs w:val="18"/>
        </w:rPr>
        <w:t>Wirkstoff</w:t>
      </w:r>
      <w:r w:rsidRPr="00254858">
        <w:rPr>
          <w:sz w:val="18"/>
          <w:szCs w:val="18"/>
        </w:rPr>
        <w:t xml:space="preserve"> einfüllen</w:t>
      </w:r>
    </w:p>
    <w:p w14:paraId="05D7FA65" w14:textId="77777777" w:rsidR="002759E7" w:rsidRDefault="002759E7" w:rsidP="002759E7">
      <w:pPr>
        <w:spacing w:after="120" w:line="240" w:lineRule="auto"/>
        <w:rPr>
          <w:sz w:val="18"/>
          <w:szCs w:val="18"/>
        </w:rPr>
      </w:pPr>
      <w:r>
        <w:rPr>
          <w:sz w:val="18"/>
          <w:szCs w:val="18"/>
        </w:rPr>
        <w:t xml:space="preserve">   </w:t>
      </w:r>
      <w:r w:rsidRPr="00332AE2">
        <w:rPr>
          <w:b/>
          <w:sz w:val="18"/>
          <w:szCs w:val="18"/>
        </w:rPr>
        <w:t>b)</w:t>
      </w:r>
      <w:r w:rsidRPr="00254858">
        <w:rPr>
          <w:sz w:val="18"/>
          <w:szCs w:val="18"/>
        </w:rPr>
        <w:t xml:space="preserve"> Druck</w:t>
      </w:r>
      <w:r>
        <w:rPr>
          <w:sz w:val="18"/>
          <w:szCs w:val="18"/>
        </w:rPr>
        <w:t>behälter mit CO</w:t>
      </w:r>
      <w:r w:rsidRPr="00332AE2">
        <w:rPr>
          <w:sz w:val="18"/>
          <w:szCs w:val="18"/>
          <w:vertAlign w:val="subscript"/>
        </w:rPr>
        <w:t>2</w:t>
      </w:r>
      <w:r>
        <w:rPr>
          <w:sz w:val="18"/>
          <w:szCs w:val="18"/>
        </w:rPr>
        <w:t xml:space="preserve"> befüllen, Nachspeisung von</w:t>
      </w:r>
      <w:r w:rsidRPr="00254858">
        <w:rPr>
          <w:sz w:val="18"/>
          <w:szCs w:val="18"/>
        </w:rPr>
        <w:t xml:space="preserve"> </w:t>
      </w:r>
      <w:r>
        <w:rPr>
          <w:sz w:val="18"/>
          <w:szCs w:val="18"/>
        </w:rPr>
        <w:t xml:space="preserve">  </w:t>
      </w:r>
    </w:p>
    <w:p w14:paraId="49ADAB2A" w14:textId="77777777" w:rsidR="002759E7" w:rsidRPr="00254858" w:rsidRDefault="002759E7" w:rsidP="002759E7">
      <w:pPr>
        <w:spacing w:after="120" w:line="240" w:lineRule="auto"/>
        <w:rPr>
          <w:sz w:val="18"/>
          <w:szCs w:val="18"/>
        </w:rPr>
      </w:pPr>
      <w:r>
        <w:rPr>
          <w:sz w:val="18"/>
          <w:szCs w:val="18"/>
        </w:rPr>
        <w:t xml:space="preserve">       </w:t>
      </w:r>
      <w:r w:rsidRPr="00254858">
        <w:rPr>
          <w:sz w:val="18"/>
          <w:szCs w:val="18"/>
        </w:rPr>
        <w:t>CO</w:t>
      </w:r>
      <w:r w:rsidRPr="00254858">
        <w:rPr>
          <w:sz w:val="18"/>
          <w:szCs w:val="18"/>
          <w:vertAlign w:val="subscript"/>
        </w:rPr>
        <w:t>2</w:t>
      </w:r>
      <w:r>
        <w:rPr>
          <w:sz w:val="18"/>
          <w:szCs w:val="18"/>
        </w:rPr>
        <w:t xml:space="preserve"> und Ethanol für kontinuierlichen Betrieb</w:t>
      </w:r>
    </w:p>
    <w:p w14:paraId="268C461F" w14:textId="77777777" w:rsidR="002759E7" w:rsidRPr="00254858" w:rsidRDefault="002759E7" w:rsidP="002759E7">
      <w:pPr>
        <w:spacing w:after="120" w:line="240" w:lineRule="auto"/>
        <w:rPr>
          <w:sz w:val="18"/>
          <w:szCs w:val="18"/>
        </w:rPr>
      </w:pPr>
      <w:r>
        <w:rPr>
          <w:sz w:val="18"/>
          <w:szCs w:val="18"/>
        </w:rPr>
        <w:t xml:space="preserve">   </w:t>
      </w:r>
      <w:r w:rsidRPr="00332AE2">
        <w:rPr>
          <w:b/>
          <w:sz w:val="18"/>
          <w:szCs w:val="18"/>
        </w:rPr>
        <w:t xml:space="preserve">c) </w:t>
      </w:r>
      <w:r w:rsidR="0063716E">
        <w:rPr>
          <w:sz w:val="18"/>
          <w:szCs w:val="18"/>
        </w:rPr>
        <w:t>Rühren während der Lösungsphase (1-3 Stunden)</w:t>
      </w:r>
    </w:p>
    <w:p w14:paraId="6E6AE142" w14:textId="77777777" w:rsidR="002759E7" w:rsidRDefault="002759E7" w:rsidP="002759E7">
      <w:pPr>
        <w:spacing w:after="120" w:line="240" w:lineRule="auto"/>
        <w:rPr>
          <w:sz w:val="18"/>
          <w:szCs w:val="18"/>
        </w:rPr>
      </w:pPr>
      <w:r>
        <w:rPr>
          <w:sz w:val="18"/>
          <w:szCs w:val="18"/>
        </w:rPr>
        <w:t xml:space="preserve">   </w:t>
      </w:r>
      <w:r w:rsidRPr="00332AE2">
        <w:rPr>
          <w:b/>
          <w:sz w:val="18"/>
          <w:szCs w:val="18"/>
        </w:rPr>
        <w:t>d)</w:t>
      </w:r>
      <w:r w:rsidRPr="00254858">
        <w:rPr>
          <w:sz w:val="18"/>
          <w:szCs w:val="18"/>
        </w:rPr>
        <w:t xml:space="preserve"> Entspannung der überkritischen Lösung durch eine </w:t>
      </w:r>
    </w:p>
    <w:p w14:paraId="1550A48E" w14:textId="77777777" w:rsidR="002759E7" w:rsidRDefault="002759E7" w:rsidP="002759E7">
      <w:pPr>
        <w:spacing w:after="120" w:line="240" w:lineRule="auto"/>
        <w:rPr>
          <w:sz w:val="18"/>
          <w:szCs w:val="18"/>
        </w:rPr>
      </w:pPr>
      <w:r>
        <w:rPr>
          <w:sz w:val="18"/>
          <w:szCs w:val="18"/>
        </w:rPr>
        <w:t xml:space="preserve">       </w:t>
      </w:r>
      <w:r w:rsidRPr="00254858">
        <w:rPr>
          <w:sz w:val="18"/>
          <w:szCs w:val="18"/>
        </w:rPr>
        <w:t xml:space="preserve">beheizte kapillare Düse auf atmosphärischen Druck, </w:t>
      </w:r>
    </w:p>
    <w:p w14:paraId="51C58D90" w14:textId="77777777" w:rsidR="002759E7" w:rsidRPr="00254858" w:rsidRDefault="002759E7" w:rsidP="002759E7">
      <w:pPr>
        <w:spacing w:after="120" w:line="240" w:lineRule="auto"/>
        <w:rPr>
          <w:sz w:val="18"/>
          <w:szCs w:val="18"/>
        </w:rPr>
      </w:pPr>
      <w:r>
        <w:rPr>
          <w:sz w:val="18"/>
          <w:szCs w:val="18"/>
        </w:rPr>
        <w:t xml:space="preserve">       </w:t>
      </w:r>
      <w:r w:rsidRPr="00254858">
        <w:rPr>
          <w:sz w:val="18"/>
          <w:szCs w:val="18"/>
        </w:rPr>
        <w:t>extrem schnelle Ausfällung der Polymerpartikel</w:t>
      </w:r>
    </w:p>
    <w:p w14:paraId="22D4AD13" w14:textId="77777777" w:rsidR="002759E7" w:rsidRDefault="002759E7" w:rsidP="002759E7">
      <w:pPr>
        <w:spacing w:after="120" w:line="240" w:lineRule="auto"/>
        <w:rPr>
          <w:sz w:val="18"/>
          <w:szCs w:val="18"/>
        </w:rPr>
      </w:pPr>
      <w:r>
        <w:rPr>
          <w:sz w:val="18"/>
          <w:szCs w:val="18"/>
        </w:rPr>
        <w:t xml:space="preserve">   </w:t>
      </w:r>
      <w:r w:rsidRPr="00332AE2">
        <w:rPr>
          <w:b/>
          <w:sz w:val="18"/>
          <w:szCs w:val="18"/>
        </w:rPr>
        <w:t>e)</w:t>
      </w:r>
      <w:r w:rsidRPr="00254858">
        <w:rPr>
          <w:sz w:val="18"/>
          <w:szCs w:val="18"/>
        </w:rPr>
        <w:t xml:space="preserve"> Partikelsammlung in Sprühkammer mit Absaugung, </w:t>
      </w:r>
    </w:p>
    <w:p w14:paraId="54006A9F" w14:textId="77777777" w:rsidR="002759E7" w:rsidRDefault="002759E7" w:rsidP="002759E7">
      <w:pPr>
        <w:spacing w:after="120" w:line="240" w:lineRule="auto"/>
        <w:rPr>
          <w:sz w:val="18"/>
          <w:szCs w:val="18"/>
        </w:rPr>
      </w:pPr>
      <w:r>
        <w:rPr>
          <w:sz w:val="18"/>
          <w:szCs w:val="18"/>
        </w:rPr>
        <w:t xml:space="preserve">       </w:t>
      </w:r>
      <w:r w:rsidRPr="00254858">
        <w:rPr>
          <w:sz w:val="18"/>
          <w:szCs w:val="18"/>
        </w:rPr>
        <w:t>Probenentnahme während des Sprühens durch</w:t>
      </w:r>
      <w:r>
        <w:rPr>
          <w:sz w:val="18"/>
          <w:szCs w:val="18"/>
        </w:rPr>
        <w:t xml:space="preserve"> </w:t>
      </w:r>
    </w:p>
    <w:p w14:paraId="2F0742DC" w14:textId="77777777" w:rsidR="002759E7" w:rsidRPr="00254858" w:rsidRDefault="002759E7" w:rsidP="002759E7">
      <w:pPr>
        <w:spacing w:after="120" w:line="240" w:lineRule="auto"/>
        <w:rPr>
          <w:sz w:val="18"/>
          <w:szCs w:val="18"/>
        </w:rPr>
      </w:pPr>
      <w:r>
        <w:rPr>
          <w:sz w:val="18"/>
          <w:szCs w:val="18"/>
        </w:rPr>
        <w:t xml:space="preserve">       Öffnung in Kam</w:t>
      </w:r>
      <w:r w:rsidRPr="00254858">
        <w:rPr>
          <w:sz w:val="18"/>
          <w:szCs w:val="18"/>
        </w:rPr>
        <w:t>mer möglich</w:t>
      </w:r>
    </w:p>
    <w:p w14:paraId="449CB761" w14:textId="77777777" w:rsidR="002759E7" w:rsidRDefault="002759E7" w:rsidP="002759E7">
      <w:pPr>
        <w:spacing w:after="120"/>
      </w:pPr>
    </w:p>
    <w:p w14:paraId="4B33ECB0" w14:textId="77777777" w:rsidR="002759E7" w:rsidRPr="00332AE2" w:rsidRDefault="002759E7" w:rsidP="007E7407">
      <w:pPr>
        <w:pStyle w:val="Beschriftung"/>
        <w:ind w:firstLine="0"/>
        <w:rPr>
          <w:b w:val="0"/>
        </w:rPr>
      </w:pPr>
      <w:bookmarkStart w:id="266" w:name="_Ref270358796"/>
      <w:r w:rsidRPr="00332AE2">
        <w:t xml:space="preserve">Abbildung </w:t>
      </w:r>
      <w:fldSimple w:instr=" SEQ Abbildung \* ARABIC ">
        <w:r w:rsidR="00711AB8">
          <w:rPr>
            <w:noProof/>
          </w:rPr>
          <w:t>39</w:t>
        </w:r>
      </w:fldSimple>
      <w:bookmarkEnd w:id="266"/>
      <w:r>
        <w:t xml:space="preserve"> </w:t>
      </w:r>
      <w:r>
        <w:rPr>
          <w:b w:val="0"/>
        </w:rPr>
        <w:t>Schematische Darstellung des kontinuierlichen RESS-Prozesses</w:t>
      </w:r>
      <w:r w:rsidR="00216741">
        <w:rPr>
          <w:b w:val="0"/>
        </w:rPr>
        <w:t>.</w:t>
      </w:r>
    </w:p>
    <w:p w14:paraId="220BFDB9" w14:textId="77777777" w:rsidR="002759E7" w:rsidRDefault="002759E7" w:rsidP="002759E7">
      <w:pPr>
        <w:spacing w:after="0"/>
      </w:pPr>
    </w:p>
    <w:p w14:paraId="41115742" w14:textId="77777777" w:rsidR="002759E7" w:rsidRDefault="002759E7" w:rsidP="002759E7">
      <w:pPr>
        <w:spacing w:after="120"/>
      </w:pPr>
      <w:r>
        <w:t xml:space="preserve">Die in </w:t>
      </w:r>
      <w:r w:rsidR="00D16240">
        <w:fldChar w:fldCharType="begin"/>
      </w:r>
      <w:r>
        <w:instrText xml:space="preserve"> REF _Ref270358796 \h </w:instrText>
      </w:r>
      <w:r w:rsidR="00D16240">
        <w:fldChar w:fldCharType="separate"/>
      </w:r>
      <w:r w:rsidR="00711AB8" w:rsidRPr="00332AE2">
        <w:t xml:space="preserve">Abbildung </w:t>
      </w:r>
      <w:r w:rsidR="00711AB8">
        <w:rPr>
          <w:noProof/>
        </w:rPr>
        <w:t>39</w:t>
      </w:r>
      <w:r w:rsidR="00D16240">
        <w:fldChar w:fldCharType="end"/>
      </w:r>
      <w:r>
        <w:t xml:space="preserve"> dargestellte schematische Versuchsbeschreibung gibt einen zusammenfassenden Überblick über die Versuchsdurchführung. Die in </w:t>
      </w:r>
      <w:r w:rsidR="006D23C8">
        <w:t xml:space="preserve">der folgenden </w:t>
      </w:r>
      <w:r w:rsidR="00BE5871">
        <w:t>detaillierten Versuchsb</w:t>
      </w:r>
      <w:r w:rsidR="006D23C8">
        <w:t xml:space="preserve">eschreibung in </w:t>
      </w:r>
      <w:r w:rsidRPr="00332AE2">
        <w:t>Klammern gesetzten Kürzel zur Bezeichnung der Anlagenteile beziehen sich auf</w:t>
      </w:r>
      <w:r>
        <w:t xml:space="preserve"> das R&amp;I Diagramm in </w:t>
      </w:r>
      <w:r w:rsidR="00D16240">
        <w:fldChar w:fldCharType="begin"/>
      </w:r>
      <w:r>
        <w:instrText xml:space="preserve"> REF _Ref267863751 \h </w:instrText>
      </w:r>
      <w:r w:rsidR="00D16240">
        <w:fldChar w:fldCharType="separate"/>
      </w:r>
      <w:r w:rsidR="00711AB8" w:rsidRPr="000C522C">
        <w:t xml:space="preserve">Abbildung </w:t>
      </w:r>
      <w:r w:rsidR="00711AB8">
        <w:rPr>
          <w:noProof/>
        </w:rPr>
        <w:t>34</w:t>
      </w:r>
      <w:r w:rsidR="00D16240">
        <w:fldChar w:fldCharType="end"/>
      </w:r>
      <w:r w:rsidRPr="00332AE2">
        <w:t>.</w:t>
      </w:r>
    </w:p>
    <w:p w14:paraId="514D4988" w14:textId="77777777" w:rsidR="002759E7" w:rsidRDefault="002759E7" w:rsidP="002759E7">
      <w:pPr>
        <w:spacing w:after="120"/>
      </w:pPr>
      <w:r>
        <w:t>Das pulverförmige Polymer wird vor Beginn des Versuches in den Druckbehälter (B–1) eingefüllt. Anschließend wird Ethanol</w:t>
      </w:r>
      <w:r w:rsidRPr="00ED0CF8">
        <w:t xml:space="preserve"> hinzugegeben und der Druckbehälter </w:t>
      </w:r>
      <w:r>
        <w:t xml:space="preserve">wird </w:t>
      </w:r>
      <w:r w:rsidRPr="00ED0CF8">
        <w:t>verschl</w:t>
      </w:r>
      <w:r>
        <w:t>ossen. Um einen</w:t>
      </w:r>
      <w:r w:rsidRPr="00ED0CF8">
        <w:t xml:space="preserve"> Betriebsduck </w:t>
      </w:r>
      <w:r>
        <w:t xml:space="preserve">von maximal 200 bar </w:t>
      </w:r>
      <w:r w:rsidRPr="00ED0CF8">
        <w:t>einzustellen</w:t>
      </w:r>
      <w:r>
        <w:t>,</w:t>
      </w:r>
      <w:r w:rsidRPr="00ED0CF8">
        <w:t xml:space="preserve"> wird der Behälter mit CO</w:t>
      </w:r>
      <w:r w:rsidRPr="00ED0CF8">
        <w:rPr>
          <w:vertAlign w:val="subscript"/>
        </w:rPr>
        <w:t>2</w:t>
      </w:r>
      <w:r w:rsidRPr="00ED0CF8">
        <w:t xml:space="preserve"> </w:t>
      </w:r>
      <w:r>
        <w:t>beaufschlagt. Mithilfe des</w:t>
      </w:r>
      <w:r w:rsidRPr="00ED0CF8">
        <w:t xml:space="preserve"> Kryostat</w:t>
      </w:r>
      <w:r>
        <w:t>en (W–11) wird der Druckbehälter mit dessen Inhalt auf die gewünschte Temperatur gebracht. Sobald die gewünschten Betriebsparameter eingestellt wurden und konstant sind, wird das überkritische Gemisch mit einem integrierten Ankerrührer mit Magnetkupplung über einen definierten Zeitraum hinweg gerührt (Lösungsphase).</w:t>
      </w:r>
    </w:p>
    <w:p w14:paraId="1D0AB5FC" w14:textId="77777777" w:rsidR="007E7407" w:rsidRDefault="007E7407" w:rsidP="002759E7">
      <w:pPr>
        <w:pStyle w:val="Beschriftung"/>
        <w:spacing w:after="120"/>
        <w:rPr>
          <w:b w:val="0"/>
          <w:bCs w:val="0"/>
          <w:sz w:val="24"/>
          <w:szCs w:val="22"/>
        </w:rPr>
      </w:pPr>
    </w:p>
    <w:p w14:paraId="3EF43447" w14:textId="77777777" w:rsidR="007E7407" w:rsidRDefault="007E7407" w:rsidP="002759E7">
      <w:pPr>
        <w:pStyle w:val="Beschriftung"/>
        <w:spacing w:after="120"/>
        <w:rPr>
          <w:b w:val="0"/>
          <w:bCs w:val="0"/>
          <w:sz w:val="24"/>
          <w:szCs w:val="22"/>
        </w:rPr>
      </w:pPr>
    </w:p>
    <w:p w14:paraId="39865652" w14:textId="77777777" w:rsidR="002759E7" w:rsidRPr="00672317" w:rsidRDefault="002759E7" w:rsidP="007E7407">
      <w:pPr>
        <w:pStyle w:val="Beschriftung"/>
        <w:spacing w:after="120"/>
        <w:ind w:firstLine="0"/>
        <w:rPr>
          <w:b w:val="0"/>
        </w:rPr>
      </w:pPr>
      <w:r w:rsidRPr="00DA3A2C">
        <w:lastRenderedPageBreak/>
        <w:t xml:space="preserve">Tabelle </w:t>
      </w:r>
      <w:fldSimple w:instr=" SEQ Tabelle \* ARABIC ">
        <w:r w:rsidR="00711AB8">
          <w:rPr>
            <w:noProof/>
          </w:rPr>
          <w:t>27</w:t>
        </w:r>
      </w:fldSimple>
      <w:r>
        <w:t xml:space="preserve"> </w:t>
      </w:r>
      <w:r>
        <w:rPr>
          <w:b w:val="0"/>
        </w:rPr>
        <w:t>Betriebsparameter kontinuierliches RESS Verfahren</w:t>
      </w:r>
      <w:r w:rsidR="00216741">
        <w:rPr>
          <w:b w:val="0"/>
        </w:rPr>
        <w:t>.</w:t>
      </w:r>
    </w:p>
    <w:tbl>
      <w:tblPr>
        <w:tblStyle w:val="Tabellenraster"/>
        <w:tblW w:w="0" w:type="auto"/>
        <w:tblCellMar>
          <w:top w:w="113" w:type="dxa"/>
        </w:tblCellMar>
        <w:tblLook w:val="04A0" w:firstRow="1" w:lastRow="0" w:firstColumn="1" w:lastColumn="0" w:noHBand="0" w:noVBand="1"/>
      </w:tblPr>
      <w:tblGrid>
        <w:gridCol w:w="4606"/>
        <w:gridCol w:w="4606"/>
      </w:tblGrid>
      <w:tr w:rsidR="002759E7" w14:paraId="74CEACE3" w14:textId="77777777" w:rsidTr="002759E7">
        <w:tc>
          <w:tcPr>
            <w:tcW w:w="4606" w:type="dxa"/>
          </w:tcPr>
          <w:p w14:paraId="71AA490D" w14:textId="77777777" w:rsidR="002759E7" w:rsidRPr="006D23C8" w:rsidRDefault="002759E7" w:rsidP="002759E7">
            <w:pPr>
              <w:spacing w:after="120" w:line="240" w:lineRule="auto"/>
              <w:rPr>
                <w:sz w:val="20"/>
                <w:szCs w:val="20"/>
                <w:lang w:val="en-US"/>
              </w:rPr>
            </w:pPr>
            <w:r w:rsidRPr="006D23C8">
              <w:rPr>
                <w:sz w:val="20"/>
                <w:szCs w:val="20"/>
                <w:lang w:val="en-US"/>
              </w:rPr>
              <w:t>P</w:t>
            </w:r>
            <w:r w:rsidR="00A811A6">
              <w:rPr>
                <w:sz w:val="20"/>
                <w:szCs w:val="20"/>
                <w:lang w:val="en-US"/>
              </w:rPr>
              <w:t xml:space="preserve">olymer                       </w:t>
            </w:r>
            <w:r w:rsidRPr="006D23C8">
              <w:rPr>
                <w:sz w:val="20"/>
                <w:szCs w:val="20"/>
                <w:lang w:val="en-US"/>
              </w:rPr>
              <w:t xml:space="preserve">0,7 g </w:t>
            </w:r>
            <w:r w:rsidR="00A811A6">
              <w:rPr>
                <w:sz w:val="20"/>
                <w:szCs w:val="20"/>
                <w:lang w:val="en-US"/>
              </w:rPr>
              <w:t xml:space="preserve">(7,0 g)      </w:t>
            </w:r>
            <w:r w:rsidRPr="006D23C8">
              <w:rPr>
                <w:sz w:val="20"/>
                <w:szCs w:val="20"/>
                <w:lang w:val="en-US"/>
              </w:rPr>
              <w:t>0,12%</w:t>
            </w:r>
            <w:r w:rsidR="00A811A6">
              <w:rPr>
                <w:sz w:val="20"/>
                <w:szCs w:val="20"/>
                <w:lang w:val="en-US"/>
              </w:rPr>
              <w:t xml:space="preserve"> (1,2%)</w:t>
            </w:r>
          </w:p>
          <w:p w14:paraId="2CC15995" w14:textId="77777777" w:rsidR="002759E7" w:rsidRPr="006D23C8" w:rsidRDefault="002759E7" w:rsidP="002759E7">
            <w:pPr>
              <w:spacing w:after="120" w:line="240" w:lineRule="auto"/>
              <w:rPr>
                <w:sz w:val="20"/>
                <w:szCs w:val="20"/>
                <w:lang w:val="en-US"/>
              </w:rPr>
            </w:pPr>
            <w:r w:rsidRPr="006D23C8">
              <w:rPr>
                <w:sz w:val="20"/>
                <w:szCs w:val="20"/>
                <w:lang w:val="en-US"/>
              </w:rPr>
              <w:t>E</w:t>
            </w:r>
            <w:r w:rsidR="00A811A6">
              <w:rPr>
                <w:sz w:val="20"/>
                <w:szCs w:val="20"/>
                <w:lang w:val="en-US"/>
              </w:rPr>
              <w:t xml:space="preserve">thanol                       </w:t>
            </w:r>
            <w:r w:rsidRPr="006D23C8">
              <w:rPr>
                <w:sz w:val="20"/>
                <w:szCs w:val="20"/>
                <w:lang w:val="en-US"/>
              </w:rPr>
              <w:t xml:space="preserve">130 g      </w:t>
            </w:r>
            <w:r w:rsidR="00A811A6">
              <w:rPr>
                <w:sz w:val="20"/>
                <w:szCs w:val="20"/>
                <w:lang w:val="en-US"/>
              </w:rPr>
              <w:t xml:space="preserve">     </w:t>
            </w:r>
            <w:r w:rsidRPr="006D23C8">
              <w:rPr>
                <w:sz w:val="20"/>
                <w:szCs w:val="20"/>
                <w:lang w:val="en-US"/>
              </w:rPr>
              <w:t xml:space="preserve">       23,0%</w:t>
            </w:r>
          </w:p>
          <w:p w14:paraId="1096654D" w14:textId="77777777" w:rsidR="002759E7" w:rsidRPr="006D23C8" w:rsidRDefault="002759E7" w:rsidP="002759E7">
            <w:pPr>
              <w:spacing w:after="120" w:line="240" w:lineRule="auto"/>
              <w:rPr>
                <w:sz w:val="20"/>
                <w:szCs w:val="20"/>
                <w:lang w:val="en-US"/>
              </w:rPr>
            </w:pPr>
            <w:r w:rsidRPr="006D23C8">
              <w:rPr>
                <w:sz w:val="20"/>
                <w:szCs w:val="20"/>
                <w:lang w:val="en-US"/>
              </w:rPr>
              <w:t>CO</w:t>
            </w:r>
            <w:r w:rsidRPr="006D23C8">
              <w:rPr>
                <w:sz w:val="20"/>
                <w:szCs w:val="20"/>
                <w:vertAlign w:val="subscript"/>
                <w:lang w:val="en-US"/>
              </w:rPr>
              <w:t>2</w:t>
            </w:r>
            <w:r w:rsidR="00A811A6">
              <w:rPr>
                <w:sz w:val="20"/>
                <w:szCs w:val="20"/>
                <w:lang w:val="en-US"/>
              </w:rPr>
              <w:t xml:space="preserve">                          </w:t>
            </w:r>
            <w:r w:rsidRPr="006D23C8">
              <w:rPr>
                <w:sz w:val="20"/>
                <w:szCs w:val="20"/>
                <w:lang w:val="en-US"/>
              </w:rPr>
              <w:t xml:space="preserve">434,5 g  </w:t>
            </w:r>
            <w:r w:rsidR="00A811A6">
              <w:rPr>
                <w:sz w:val="20"/>
                <w:szCs w:val="20"/>
                <w:lang w:val="en-US"/>
              </w:rPr>
              <w:t xml:space="preserve">     </w:t>
            </w:r>
            <w:r w:rsidRPr="006D23C8">
              <w:rPr>
                <w:sz w:val="20"/>
                <w:szCs w:val="20"/>
                <w:lang w:val="en-US"/>
              </w:rPr>
              <w:t xml:space="preserve">         76,88%</w:t>
            </w:r>
          </w:p>
        </w:tc>
        <w:tc>
          <w:tcPr>
            <w:tcW w:w="4606" w:type="dxa"/>
            <w:vAlign w:val="center"/>
          </w:tcPr>
          <w:p w14:paraId="74B8E8FA" w14:textId="77777777" w:rsidR="002759E7" w:rsidRPr="006D23C8" w:rsidRDefault="002759E7" w:rsidP="002759E7">
            <w:pPr>
              <w:spacing w:after="120" w:line="240" w:lineRule="auto"/>
              <w:rPr>
                <w:sz w:val="20"/>
                <w:szCs w:val="20"/>
              </w:rPr>
            </w:pPr>
            <w:r w:rsidRPr="006D23C8">
              <w:rPr>
                <w:sz w:val="20"/>
                <w:szCs w:val="20"/>
              </w:rPr>
              <w:t xml:space="preserve">Druck                                             </w:t>
            </w:r>
            <w:r w:rsidR="00DD7FD7">
              <w:rPr>
                <w:sz w:val="20"/>
                <w:szCs w:val="20"/>
              </w:rPr>
              <w:t xml:space="preserve">   </w:t>
            </w:r>
            <w:r w:rsidRPr="006D23C8">
              <w:rPr>
                <w:sz w:val="20"/>
                <w:szCs w:val="20"/>
              </w:rPr>
              <w:t xml:space="preserve">    </w:t>
            </w:r>
            <w:r w:rsidR="00DD7FD7">
              <w:rPr>
                <w:sz w:val="20"/>
                <w:szCs w:val="20"/>
              </w:rPr>
              <w:t xml:space="preserve">  </w:t>
            </w:r>
            <w:r w:rsidRPr="006D23C8">
              <w:rPr>
                <w:sz w:val="20"/>
                <w:szCs w:val="20"/>
              </w:rPr>
              <w:t>200 bar</w:t>
            </w:r>
          </w:p>
        </w:tc>
      </w:tr>
      <w:tr w:rsidR="002759E7" w14:paraId="4D40CF64" w14:textId="77777777" w:rsidTr="002759E7">
        <w:tc>
          <w:tcPr>
            <w:tcW w:w="4606" w:type="dxa"/>
            <w:vAlign w:val="center"/>
          </w:tcPr>
          <w:p w14:paraId="37CB7A39" w14:textId="77777777" w:rsidR="002759E7" w:rsidRPr="006D23C8" w:rsidRDefault="002759E7" w:rsidP="002759E7">
            <w:pPr>
              <w:spacing w:after="120" w:line="240" w:lineRule="auto"/>
              <w:rPr>
                <w:sz w:val="20"/>
                <w:szCs w:val="20"/>
              </w:rPr>
            </w:pPr>
            <w:r w:rsidRPr="006D23C8">
              <w:rPr>
                <w:sz w:val="20"/>
                <w:szCs w:val="20"/>
              </w:rPr>
              <w:t>Temperatur H</w:t>
            </w:r>
            <w:r w:rsidR="00A426B8">
              <w:rPr>
                <w:sz w:val="20"/>
                <w:szCs w:val="20"/>
              </w:rPr>
              <w:t>ochdruckbehälter            40 °</w:t>
            </w:r>
            <w:r w:rsidRPr="006D23C8">
              <w:rPr>
                <w:sz w:val="20"/>
                <w:szCs w:val="20"/>
              </w:rPr>
              <w:t>C</w:t>
            </w:r>
          </w:p>
        </w:tc>
        <w:tc>
          <w:tcPr>
            <w:tcW w:w="4606" w:type="dxa"/>
          </w:tcPr>
          <w:p w14:paraId="141CBCFE" w14:textId="77777777" w:rsidR="002759E7" w:rsidRPr="006D23C8" w:rsidRDefault="002759E7" w:rsidP="002759E7">
            <w:pPr>
              <w:spacing w:after="120" w:line="240" w:lineRule="auto"/>
              <w:rPr>
                <w:sz w:val="20"/>
                <w:szCs w:val="20"/>
              </w:rPr>
            </w:pPr>
            <w:r w:rsidRPr="006D23C8">
              <w:rPr>
                <w:sz w:val="20"/>
                <w:szCs w:val="20"/>
              </w:rPr>
              <w:t xml:space="preserve">Lösungszeit                                       </w:t>
            </w:r>
            <w:r w:rsidR="00DD7FD7">
              <w:rPr>
                <w:sz w:val="20"/>
                <w:szCs w:val="20"/>
              </w:rPr>
              <w:t xml:space="preserve">  </w:t>
            </w:r>
            <w:r w:rsidRPr="006D23C8">
              <w:rPr>
                <w:sz w:val="20"/>
                <w:szCs w:val="20"/>
              </w:rPr>
              <w:t xml:space="preserve">  </w:t>
            </w:r>
            <w:r w:rsidR="00DD7FD7">
              <w:rPr>
                <w:sz w:val="20"/>
                <w:szCs w:val="20"/>
              </w:rPr>
              <w:t xml:space="preserve">  </w:t>
            </w:r>
            <w:r w:rsidRPr="006D23C8">
              <w:rPr>
                <w:sz w:val="20"/>
                <w:szCs w:val="20"/>
              </w:rPr>
              <w:t xml:space="preserve">    </w:t>
            </w:r>
            <w:r w:rsidR="00A426B8">
              <w:rPr>
                <w:sz w:val="20"/>
                <w:szCs w:val="20"/>
              </w:rPr>
              <w:t>1</w:t>
            </w:r>
            <w:r w:rsidR="00A811A6">
              <w:rPr>
                <w:sz w:val="20"/>
                <w:szCs w:val="20"/>
              </w:rPr>
              <w:t>h</w:t>
            </w:r>
          </w:p>
          <w:p w14:paraId="2D8B1F69" w14:textId="77777777" w:rsidR="002759E7" w:rsidRPr="006D23C8" w:rsidRDefault="002759E7" w:rsidP="002759E7">
            <w:pPr>
              <w:spacing w:after="120" w:line="240" w:lineRule="auto"/>
              <w:rPr>
                <w:sz w:val="20"/>
                <w:szCs w:val="20"/>
              </w:rPr>
            </w:pPr>
            <w:r w:rsidRPr="006D23C8">
              <w:rPr>
                <w:sz w:val="20"/>
                <w:szCs w:val="20"/>
              </w:rPr>
              <w:t xml:space="preserve">Sprühzeit                   </w:t>
            </w:r>
            <w:r w:rsidR="00A426B8">
              <w:rPr>
                <w:sz w:val="20"/>
                <w:szCs w:val="20"/>
              </w:rPr>
              <w:t xml:space="preserve">                           </w:t>
            </w:r>
            <w:r w:rsidR="00DD7FD7">
              <w:rPr>
                <w:sz w:val="20"/>
                <w:szCs w:val="20"/>
              </w:rPr>
              <w:t xml:space="preserve">    </w:t>
            </w:r>
            <w:r w:rsidR="00A426B8">
              <w:rPr>
                <w:sz w:val="20"/>
                <w:szCs w:val="20"/>
              </w:rPr>
              <w:t xml:space="preserve">   1</w:t>
            </w:r>
            <w:r w:rsidRPr="006D23C8">
              <w:rPr>
                <w:sz w:val="20"/>
                <w:szCs w:val="20"/>
              </w:rPr>
              <w:t>h</w:t>
            </w:r>
          </w:p>
        </w:tc>
      </w:tr>
      <w:tr w:rsidR="002759E7" w14:paraId="03823E92" w14:textId="77777777" w:rsidTr="002759E7">
        <w:tc>
          <w:tcPr>
            <w:tcW w:w="4606" w:type="dxa"/>
          </w:tcPr>
          <w:p w14:paraId="4A611DC6" w14:textId="77777777" w:rsidR="002759E7" w:rsidRPr="006D23C8" w:rsidRDefault="002759E7" w:rsidP="002759E7">
            <w:pPr>
              <w:spacing w:after="120" w:line="240" w:lineRule="auto"/>
              <w:rPr>
                <w:sz w:val="20"/>
                <w:szCs w:val="20"/>
              </w:rPr>
            </w:pPr>
            <w:r w:rsidRPr="006D23C8">
              <w:rPr>
                <w:sz w:val="20"/>
                <w:szCs w:val="20"/>
              </w:rPr>
              <w:t xml:space="preserve">Düsentemperatur                         </w:t>
            </w:r>
            <w:r w:rsidR="00A426B8">
              <w:rPr>
                <w:sz w:val="20"/>
                <w:szCs w:val="20"/>
              </w:rPr>
              <w:t xml:space="preserve">        240 °</w:t>
            </w:r>
            <w:r w:rsidRPr="006D23C8">
              <w:rPr>
                <w:sz w:val="20"/>
                <w:szCs w:val="20"/>
              </w:rPr>
              <w:t>C</w:t>
            </w:r>
          </w:p>
        </w:tc>
        <w:tc>
          <w:tcPr>
            <w:tcW w:w="4606" w:type="dxa"/>
          </w:tcPr>
          <w:p w14:paraId="0AC004BB" w14:textId="77777777" w:rsidR="002759E7" w:rsidRPr="006D23C8" w:rsidRDefault="002759E7" w:rsidP="002759E7">
            <w:pPr>
              <w:spacing w:after="120" w:line="240" w:lineRule="auto"/>
              <w:rPr>
                <w:sz w:val="20"/>
                <w:szCs w:val="20"/>
              </w:rPr>
            </w:pPr>
            <w:r w:rsidRPr="006D23C8">
              <w:rPr>
                <w:sz w:val="20"/>
                <w:szCs w:val="20"/>
              </w:rPr>
              <w:t xml:space="preserve">Rührerdrehzahl                           </w:t>
            </w:r>
            <w:r w:rsidR="00DD7FD7">
              <w:rPr>
                <w:sz w:val="20"/>
                <w:szCs w:val="20"/>
              </w:rPr>
              <w:t xml:space="preserve">        </w:t>
            </w:r>
            <w:r w:rsidRPr="006D23C8">
              <w:rPr>
                <w:sz w:val="20"/>
                <w:szCs w:val="20"/>
              </w:rPr>
              <w:t xml:space="preserve">   500 UpM</w:t>
            </w:r>
          </w:p>
        </w:tc>
      </w:tr>
    </w:tbl>
    <w:p w14:paraId="36A72934" w14:textId="77777777" w:rsidR="002759E7" w:rsidRPr="00ED0CF8" w:rsidRDefault="002759E7" w:rsidP="002759E7">
      <w:pPr>
        <w:spacing w:after="120"/>
      </w:pPr>
    </w:p>
    <w:p w14:paraId="45E47247" w14:textId="77777777" w:rsidR="002759E7" w:rsidRPr="00BB5F15" w:rsidRDefault="002759E7" w:rsidP="002759E7">
      <w:pPr>
        <w:spacing w:after="120"/>
      </w:pPr>
      <w:r w:rsidRPr="00ED0CF8">
        <w:t xml:space="preserve">Nach </w:t>
      </w:r>
      <w:r w:rsidR="00280E97">
        <w:t>Ablauf der Lösungsphase wi</w:t>
      </w:r>
      <w:r>
        <w:t>rd das überkritische Gemisch</w:t>
      </w:r>
      <w:r w:rsidRPr="00ED0CF8">
        <w:t xml:space="preserve"> über ein Tauchrohr</w:t>
      </w:r>
      <w:r>
        <w:t xml:space="preserve"> aus dem Druckbehälter</w:t>
      </w:r>
      <w:r w:rsidRPr="00ED0CF8">
        <w:t xml:space="preserve"> entnommen und strömt über eine </w:t>
      </w:r>
      <w:r>
        <w:t>beheizte Düse in die Sprüh</w:t>
      </w:r>
      <w:r w:rsidRPr="00ED0CF8">
        <w:t xml:space="preserve">kammer. </w:t>
      </w:r>
      <w:r>
        <w:t>Während des Sprühvorgangs werden</w:t>
      </w:r>
      <w:r w:rsidRPr="00ED0CF8">
        <w:t xml:space="preserve"> </w:t>
      </w:r>
      <w:r>
        <w:t>kontinuierlich CO</w:t>
      </w:r>
      <w:r>
        <w:rPr>
          <w:vertAlign w:val="subscript"/>
        </w:rPr>
        <w:t>2</w:t>
      </w:r>
      <w:r>
        <w:t xml:space="preserve"> und Cosolvens in den Druckbehälter</w:t>
      </w:r>
      <w:r w:rsidRPr="00ED0CF8">
        <w:t xml:space="preserve"> nachgefördert, um die</w:t>
      </w:r>
      <w:r>
        <w:t xml:space="preserve"> Betriebsparameter konstant zu halten.</w:t>
      </w:r>
    </w:p>
    <w:p w14:paraId="6800E515" w14:textId="77777777" w:rsidR="002759E7" w:rsidRPr="00BB5F15" w:rsidRDefault="002759E7" w:rsidP="002759E7">
      <w:pPr>
        <w:spacing w:after="120"/>
      </w:pPr>
      <w:r>
        <w:t>Nach einem einstündigen Sprühvorgang bei konstantem Dru</w:t>
      </w:r>
      <w:r w:rsidR="00280E97">
        <w:t>ck wurde</w:t>
      </w:r>
      <w:r>
        <w:t xml:space="preserve"> der Inhalt des Druckbehälters</w:t>
      </w:r>
      <w:r w:rsidRPr="00BB5F15">
        <w:t xml:space="preserve"> </w:t>
      </w:r>
      <w:r>
        <w:t xml:space="preserve">rechnerisch ca. </w:t>
      </w:r>
      <w:r w:rsidRPr="00BB5F15">
        <w:t>4-6</w:t>
      </w:r>
      <w:r>
        <w:t xml:space="preserve"> Mal ausgetauscht. Somit ist bei ausreichend</w:t>
      </w:r>
      <w:r w:rsidR="00BE5871">
        <w:t>er Löslichkeit eine</w:t>
      </w:r>
      <w:r w:rsidR="00216741">
        <w:t xml:space="preserve"> annähernd</w:t>
      </w:r>
      <w:r w:rsidR="00BE5871">
        <w:t xml:space="preserve"> vollständige</w:t>
      </w:r>
      <w:r>
        <w:t xml:space="preserve"> Extraktion des enthaltenen Polymers gewährleistet. Um</w:t>
      </w:r>
      <w:r w:rsidRPr="00BB5F15">
        <w:t xml:space="preserve"> </w:t>
      </w:r>
      <w:r>
        <w:t>Partikelgrößenverteilung und</w:t>
      </w:r>
      <w:r w:rsidRPr="00BB5F15">
        <w:t xml:space="preserve"> Morphologie der Partikel zu ermitteln</w:t>
      </w:r>
      <w:r>
        <w:t>, wurde die ethanolische Partikelsuspension näher charakterisiert. Die Größenverteilung wu</w:t>
      </w:r>
      <w:r w:rsidRPr="00BB5F15">
        <w:t>rd</w:t>
      </w:r>
      <w:r>
        <w:t>e</w:t>
      </w:r>
      <w:r w:rsidR="00216741">
        <w:t xml:space="preserve"> mith</w:t>
      </w:r>
      <w:r w:rsidRPr="00BB5F15">
        <w:t>ilfe der DLS-M</w:t>
      </w:r>
      <w:r>
        <w:t>ethode untersucht. Zur Untersuchung der</w:t>
      </w:r>
      <w:r w:rsidRPr="00BB5F15">
        <w:t xml:space="preserve"> Morphologie</w:t>
      </w:r>
      <w:r>
        <w:t xml:space="preserve"> mithilfe eines Rasterelektronenmikroskops (REM) wurde die Partikelsuspension im Verhältnis von 1:5 mit Ethanol verdünnt und anschließend ein Tropfen davon auf einen Probenträger aufgebracht und im Vakuum eingetrock</w:t>
      </w:r>
      <w:r w:rsidR="00280E97">
        <w:t>net. Nach Bedampfung mit Gold wu</w:t>
      </w:r>
      <w:r w:rsidR="00BE5871">
        <w:t>rden REM Aufnahmen</w:t>
      </w:r>
      <w:r>
        <w:t xml:space="preserve"> von der Probe erstellt.</w:t>
      </w:r>
    </w:p>
    <w:p w14:paraId="056147ED" w14:textId="77777777" w:rsidR="002759E7" w:rsidRDefault="002759E7" w:rsidP="002759E7">
      <w:pPr>
        <w:spacing w:after="120"/>
      </w:pPr>
      <w:r>
        <w:t>Der gesamte Prozess wu</w:t>
      </w:r>
      <w:r w:rsidRPr="00BB5F15">
        <w:t>rd</w:t>
      </w:r>
      <w:r>
        <w:t>e</w:t>
      </w:r>
      <w:r w:rsidR="00216741">
        <w:t xml:space="preserve"> mith</w:t>
      </w:r>
      <w:r w:rsidRPr="00BB5F15">
        <w:t>ilfe eines Prozessleitsystems (PLS) überwacht, welches die Messsignale der Druckaufnehmer und Ther</w:t>
      </w:r>
      <w:r>
        <w:t>moelemente aufzeichnet</w:t>
      </w:r>
      <w:r w:rsidR="00BE5871">
        <w:t>e</w:t>
      </w:r>
      <w:r>
        <w:t>. Nach</w:t>
      </w:r>
      <w:r w:rsidRPr="00BB5F15">
        <w:t xml:space="preserve"> Versuch</w:t>
      </w:r>
      <w:r>
        <w:t>sende wurden der Druckbehälter und die Sprühkammer</w:t>
      </w:r>
      <w:r w:rsidRPr="00BB5F15">
        <w:t xml:space="preserve"> </w:t>
      </w:r>
      <w:r>
        <w:t>sorgfältig gereinigt, um eine Kontamination</w:t>
      </w:r>
      <w:r w:rsidRPr="00BB5F15">
        <w:t xml:space="preserve"> der F</w:t>
      </w:r>
      <w:r>
        <w:t>olgeversuche auszuschließen.</w:t>
      </w:r>
    </w:p>
    <w:p w14:paraId="0010F4CA" w14:textId="77777777" w:rsidR="00DE73CB" w:rsidRDefault="00DE73CB" w:rsidP="00ED4563">
      <w:pPr>
        <w:pStyle w:val="berschrift4"/>
      </w:pPr>
      <w:bookmarkStart w:id="267" w:name="_Toc294380266"/>
      <w:r>
        <w:t>Trocknung der Partikelsuspension</w:t>
      </w:r>
      <w:bookmarkEnd w:id="267"/>
    </w:p>
    <w:p w14:paraId="258BAADF" w14:textId="77777777" w:rsidR="00DE73CB" w:rsidRDefault="00DE73CB" w:rsidP="007B444A">
      <w:pPr>
        <w:spacing w:after="120"/>
      </w:pPr>
      <w:r>
        <w:t>Um die Suspension durch Gefriertrocknung in ein trockenes Endprodukt überführen zu können, wurde die ethanolische Suspensio</w:t>
      </w:r>
      <w:r w:rsidR="00280E97">
        <w:t>n zunächst im Verhältnis 1:1 (m/</w:t>
      </w:r>
      <w:r>
        <w:t xml:space="preserve">m) mit einer 1%igen wässrigen PVA Lösung oder mit </w:t>
      </w:r>
      <w:r w:rsidR="00280E97">
        <w:t>reinem destilliert</w:t>
      </w:r>
      <w:r w:rsidR="00BE5871">
        <w:t>en</w:t>
      </w:r>
      <w:r>
        <w:t xml:space="preserve"> Wasser verdünnt. Anschließend wurde mithilfe eines Rotationsverdampfers das Ethanol so weit </w:t>
      </w:r>
      <w:r w:rsidR="00B3585C">
        <w:t>wie möglich abgezogen</w:t>
      </w:r>
      <w:r w:rsidR="00280E97">
        <w:t>. Die</w:t>
      </w:r>
      <w:r>
        <w:t xml:space="preserve"> </w:t>
      </w:r>
      <w:r w:rsidR="00280E97">
        <w:t xml:space="preserve">weitestgehend </w:t>
      </w:r>
      <w:r>
        <w:t>wässrige Suspension konnte nun zur Partikelgrößenmessung pe</w:t>
      </w:r>
      <w:r w:rsidR="001651EE">
        <w:t>r DLS-</w:t>
      </w:r>
      <w:r w:rsidR="00BE5871">
        <w:t xml:space="preserve">Methode </w:t>
      </w:r>
      <w:r>
        <w:t>verwendet werden. Durch Gefriertrocknung der wässrigen Suspension wurde nach Waschen d</w:t>
      </w:r>
      <w:r w:rsidR="00B3585C">
        <w:t xml:space="preserve">er Partikel </w:t>
      </w:r>
      <w:r>
        <w:t>mit</w:t>
      </w:r>
      <w:r w:rsidR="00B3585C">
        <w:t>hilfe</w:t>
      </w:r>
      <w:r>
        <w:t xml:space="preserve"> einer Zentrifuge ein trockenes</w:t>
      </w:r>
      <w:r w:rsidR="00280E97">
        <w:t xml:space="preserve"> und</w:t>
      </w:r>
      <w:r>
        <w:t xml:space="preserve"> lagerstabiles Endprodukt erhalten.</w:t>
      </w:r>
    </w:p>
    <w:p w14:paraId="7A26FD68" w14:textId="77777777" w:rsidR="00DE73CB" w:rsidRDefault="00DE73CB" w:rsidP="007B444A">
      <w:pPr>
        <w:spacing w:after="120"/>
      </w:pPr>
      <w:r>
        <w:lastRenderedPageBreak/>
        <w:t>Um den Trocknungsprozess zu verkürzen, wurde zur Trocknung der Partikelsuspension</w:t>
      </w:r>
      <w:r w:rsidR="005D4259">
        <w:t xml:space="preserve"> alternativ</w:t>
      </w:r>
      <w:r>
        <w:t xml:space="preserve"> ein Sprühtrockner verwendet. Das Abziehen des Ethanols mit dem Rotationsverdampfer nach dem Ver</w:t>
      </w:r>
      <w:r w:rsidR="005D4259">
        <w:t>dünnungsschritt mit Wasser</w:t>
      </w:r>
      <w:r>
        <w:t xml:space="preserve"> </w:t>
      </w:r>
      <w:r w:rsidR="001651EE">
        <w:t>fiel</w:t>
      </w:r>
      <w:r w:rsidR="00D60500">
        <w:t xml:space="preserve"> somit</w:t>
      </w:r>
      <w:r>
        <w:t xml:space="preserve"> weg. Zur Trocknung der Partikelsuspension wurde ein Nano B</w:t>
      </w:r>
      <w:r w:rsidR="00B1759C">
        <w:t>-</w:t>
      </w:r>
      <w:r>
        <w:t>90 Sprühtrockner (Büchi AG, Schweiz) verwendet. Die in der Sprühkammer gesammelte ethanolische Suspension wurde zunächst 1:1 mit Wasser bzw. mit einer wässrigen Lösung von 0,5% PVA</w:t>
      </w:r>
      <w:r w:rsidR="00B1759C">
        <w:t xml:space="preserve"> (m/m)</w:t>
      </w:r>
      <w:r>
        <w:t xml:space="preserve"> bezogen auf die fertige Sprühlösung gemischt. Außerdem wurden 2% Mannitol als Trägerstoff zugesetzt. Getrocknet wurde bei 60</w:t>
      </w:r>
      <w:r w:rsidR="00A426B8">
        <w:t xml:space="preserve"> </w:t>
      </w:r>
      <w:r>
        <w:t xml:space="preserve">°C Einlasstemperatur, einem Luftstrom von 130 L/h, einer Sprührate von 95% unter Verwendung einer 7,0 µm Membran. Die Auslasstemperatur stieg </w:t>
      </w:r>
      <w:r w:rsidR="001651EE">
        <w:t xml:space="preserve">während der Trocknung </w:t>
      </w:r>
      <w:r>
        <w:t>maximal</w:t>
      </w:r>
      <w:r w:rsidR="00B1759C">
        <w:t xml:space="preserve"> bis</w:t>
      </w:r>
      <w:r>
        <w:t xml:space="preserve"> auf 37</w:t>
      </w:r>
      <w:r w:rsidR="00A426B8">
        <w:t xml:space="preserve"> </w:t>
      </w:r>
      <w:r>
        <w:t>°C an.</w:t>
      </w:r>
    </w:p>
    <w:p w14:paraId="44D488CD" w14:textId="77777777" w:rsidR="00D14216" w:rsidRDefault="00216741" w:rsidP="009337E8">
      <w:pPr>
        <w:pStyle w:val="berschrift3"/>
      </w:pPr>
      <w:bookmarkStart w:id="268" w:name="_Toc294380267"/>
      <w:r>
        <w:t>Partikelgröße und M</w:t>
      </w:r>
      <w:r w:rsidR="009C40CB">
        <w:t>orphologie des verwendeten Ausgangsmaterials</w:t>
      </w:r>
      <w:bookmarkEnd w:id="268"/>
    </w:p>
    <w:p w14:paraId="2890EA6E" w14:textId="77777777" w:rsidR="009C40CB" w:rsidRDefault="003403B0" w:rsidP="007B444A">
      <w:pPr>
        <w:spacing w:after="120"/>
        <w:rPr>
          <w:bCs/>
        </w:rPr>
      </w:pPr>
      <w:r>
        <w:rPr>
          <w:bCs/>
        </w:rPr>
        <w:t>Zum sicheren Nachweis, dass der RESS-Prozess</w:t>
      </w:r>
      <w:r w:rsidR="001651EE">
        <w:rPr>
          <w:bCs/>
        </w:rPr>
        <w:t xml:space="preserve"> tatsächlich</w:t>
      </w:r>
      <w:r>
        <w:rPr>
          <w:bCs/>
        </w:rPr>
        <w:t xml:space="preserve"> eine Veränderung</w:t>
      </w:r>
      <w:r w:rsidR="009C40CB">
        <w:rPr>
          <w:bCs/>
        </w:rPr>
        <w:t xml:space="preserve"> der </w:t>
      </w:r>
      <w:r w:rsidR="00361C9D">
        <w:rPr>
          <w:bCs/>
        </w:rPr>
        <w:t xml:space="preserve">Partikelgröße und </w:t>
      </w:r>
      <w:r w:rsidR="009C40CB">
        <w:rPr>
          <w:bCs/>
        </w:rPr>
        <w:t>Morphologie des Ausgangsmater</w:t>
      </w:r>
      <w:r w:rsidR="001651EE">
        <w:rPr>
          <w:bCs/>
        </w:rPr>
        <w:t>ials bewirkt, wurde</w:t>
      </w:r>
      <w:r w:rsidR="00361C9D">
        <w:rPr>
          <w:bCs/>
        </w:rPr>
        <w:t xml:space="preserve"> eine</w:t>
      </w:r>
      <w:r w:rsidR="009C40CB">
        <w:rPr>
          <w:bCs/>
        </w:rPr>
        <w:t xml:space="preserve"> C</w:t>
      </w:r>
      <w:r w:rsidR="00665797">
        <w:rPr>
          <w:bCs/>
        </w:rPr>
        <w:t>harakterisierung des eingesetzten</w:t>
      </w:r>
      <w:r w:rsidR="001651EE">
        <w:rPr>
          <w:bCs/>
        </w:rPr>
        <w:t xml:space="preserve"> Polymerpulvers</w:t>
      </w:r>
      <w:r w:rsidR="00361C9D">
        <w:rPr>
          <w:bCs/>
        </w:rPr>
        <w:t xml:space="preserve"> vor der Prozessierung mit RESS</w:t>
      </w:r>
      <w:r w:rsidR="001651EE">
        <w:rPr>
          <w:bCs/>
        </w:rPr>
        <w:t xml:space="preserve"> durchgeführt</w:t>
      </w:r>
      <w:r w:rsidR="009C40CB">
        <w:rPr>
          <w:bCs/>
        </w:rPr>
        <w:t>.</w:t>
      </w:r>
    </w:p>
    <w:p w14:paraId="5A7E3C26" w14:textId="77777777" w:rsidR="009C40CB" w:rsidRDefault="003403B0" w:rsidP="007B444A">
      <w:pPr>
        <w:spacing w:after="120"/>
        <w:rPr>
          <w:bCs/>
        </w:rPr>
      </w:pPr>
      <w:r>
        <w:rPr>
          <w:bCs/>
        </w:rPr>
        <w:t>Dazu</w:t>
      </w:r>
      <w:r w:rsidR="009C40CB" w:rsidRPr="009C40CB">
        <w:rPr>
          <w:bCs/>
        </w:rPr>
        <w:t xml:space="preserve"> wurde</w:t>
      </w:r>
      <w:r w:rsidR="00361C9D">
        <w:rPr>
          <w:bCs/>
        </w:rPr>
        <w:t xml:space="preserve"> zunächst</w:t>
      </w:r>
      <w:r w:rsidR="009C40CB" w:rsidRPr="009C40CB">
        <w:rPr>
          <w:bCs/>
        </w:rPr>
        <w:t xml:space="preserve"> eine Partikelgrößenanalyse des</w:t>
      </w:r>
      <w:r>
        <w:rPr>
          <w:bCs/>
        </w:rPr>
        <w:t xml:space="preserve"> pulverförmigen</w:t>
      </w:r>
      <w:r w:rsidR="009C40CB" w:rsidRPr="009C40CB">
        <w:rPr>
          <w:bCs/>
        </w:rPr>
        <w:t xml:space="preserve"> Resomer</w:t>
      </w:r>
      <w:r w:rsidR="001651EE">
        <w:rPr>
          <w:bCs/>
          <w:vertAlign w:val="superscript"/>
        </w:rPr>
        <w:sym w:font="Symbol" w:char="F0D2"/>
      </w:r>
      <w:r w:rsidR="009C40CB" w:rsidRPr="009C40CB">
        <w:rPr>
          <w:bCs/>
        </w:rPr>
        <w:t xml:space="preserve"> RG</w:t>
      </w:r>
      <w:r w:rsidR="009C40CB">
        <w:rPr>
          <w:bCs/>
        </w:rPr>
        <w:t xml:space="preserve"> </w:t>
      </w:r>
      <w:r w:rsidR="009C40CB" w:rsidRPr="009C40CB">
        <w:rPr>
          <w:bCs/>
        </w:rPr>
        <w:t>752 H im Ausgangszustand durchgeführt. Das Analysengerät stammt vom Hersteller Sympatec (Model</w:t>
      </w:r>
      <w:r w:rsidR="00665797">
        <w:rPr>
          <w:bCs/>
        </w:rPr>
        <w:t>l</w:t>
      </w:r>
      <w:r w:rsidR="009C40CB" w:rsidRPr="009C40CB">
        <w:rPr>
          <w:bCs/>
        </w:rPr>
        <w:t>: RODOS/L) und arbeitet nach der Methode d</w:t>
      </w:r>
      <w:r>
        <w:rPr>
          <w:bCs/>
        </w:rPr>
        <w:t>er Trockendispergierung mit Druckluft</w:t>
      </w:r>
      <w:r w:rsidR="009C40CB" w:rsidRPr="009C40CB">
        <w:rPr>
          <w:bCs/>
        </w:rPr>
        <w:t xml:space="preserve"> und anschließender Bildanalyse. Das Ergebnis der </w:t>
      </w:r>
      <w:r>
        <w:rPr>
          <w:bCs/>
        </w:rPr>
        <w:t xml:space="preserve">Bestimmung ist in </w:t>
      </w:r>
      <w:r w:rsidR="00D16240">
        <w:rPr>
          <w:bCs/>
        </w:rPr>
        <w:fldChar w:fldCharType="begin"/>
      </w:r>
      <w:r>
        <w:rPr>
          <w:bCs/>
        </w:rPr>
        <w:instrText xml:space="preserve"> REF _Ref267870708 \h </w:instrText>
      </w:r>
      <w:r w:rsidR="00D16240">
        <w:rPr>
          <w:bCs/>
        </w:rPr>
      </w:r>
      <w:r w:rsidR="00D16240">
        <w:rPr>
          <w:bCs/>
        </w:rPr>
        <w:fldChar w:fldCharType="separate"/>
      </w:r>
      <w:r w:rsidR="00711AB8" w:rsidRPr="003403B0">
        <w:t xml:space="preserve">Abbildung </w:t>
      </w:r>
      <w:r w:rsidR="00711AB8">
        <w:rPr>
          <w:noProof/>
        </w:rPr>
        <w:t>40</w:t>
      </w:r>
      <w:r w:rsidR="00D16240">
        <w:rPr>
          <w:bCs/>
        </w:rPr>
        <w:fldChar w:fldCharType="end"/>
      </w:r>
      <w:r w:rsidR="009C40CB" w:rsidRPr="009C40CB">
        <w:rPr>
          <w:bCs/>
        </w:rPr>
        <w:t xml:space="preserve"> dargestellt.</w:t>
      </w:r>
    </w:p>
    <w:p w14:paraId="37D674DE" w14:textId="77777777" w:rsidR="001651EE" w:rsidRPr="009C40CB" w:rsidRDefault="001651EE" w:rsidP="001651EE">
      <w:pPr>
        <w:spacing w:after="0"/>
        <w:rPr>
          <w:bCs/>
        </w:rPr>
      </w:pPr>
    </w:p>
    <w:p w14:paraId="394E342D" w14:textId="77777777" w:rsidR="009C40CB" w:rsidRPr="009C40CB" w:rsidRDefault="009C40CB" w:rsidP="003403B0">
      <w:pPr>
        <w:spacing w:after="120" w:line="240" w:lineRule="auto"/>
        <w:rPr>
          <w:bCs/>
        </w:rPr>
      </w:pPr>
      <w:r w:rsidRPr="009C40CB">
        <w:rPr>
          <w:noProof/>
          <w:lang w:eastAsia="de-DE"/>
        </w:rPr>
        <w:drawing>
          <wp:inline distT="0" distB="0" distL="0" distR="0" wp14:anchorId="3E883539" wp14:editId="0A6E9C2F">
            <wp:extent cx="2836440" cy="1939912"/>
            <wp:effectExtent l="0" t="0" r="889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839655" cy="1942111"/>
                    </a:xfrm>
                    <a:prstGeom prst="rect">
                      <a:avLst/>
                    </a:prstGeom>
                  </pic:spPr>
                </pic:pic>
              </a:graphicData>
            </a:graphic>
          </wp:inline>
        </w:drawing>
      </w:r>
      <w:r w:rsidRPr="009C40CB">
        <w:rPr>
          <w:noProof/>
          <w:lang w:eastAsia="de-DE"/>
        </w:rPr>
        <w:drawing>
          <wp:inline distT="0" distB="0" distL="0" distR="0" wp14:anchorId="506A6DB2" wp14:editId="1DFF2F77">
            <wp:extent cx="2741644" cy="1876538"/>
            <wp:effectExtent l="0" t="0" r="1905" b="317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743832" cy="1878035"/>
                    </a:xfrm>
                    <a:prstGeom prst="rect">
                      <a:avLst/>
                    </a:prstGeom>
                  </pic:spPr>
                </pic:pic>
              </a:graphicData>
            </a:graphic>
          </wp:inline>
        </w:drawing>
      </w:r>
    </w:p>
    <w:p w14:paraId="08347FC9" w14:textId="77777777" w:rsidR="003403B0" w:rsidRPr="003403B0" w:rsidRDefault="003403B0" w:rsidP="007E7407">
      <w:pPr>
        <w:pStyle w:val="Beschriftung"/>
        <w:ind w:firstLine="0"/>
        <w:rPr>
          <w:b w:val="0"/>
          <w:bCs w:val="0"/>
        </w:rPr>
      </w:pPr>
      <w:bookmarkStart w:id="269" w:name="_Ref267870708"/>
      <w:r w:rsidRPr="003403B0">
        <w:t xml:space="preserve">Abbildung </w:t>
      </w:r>
      <w:fldSimple w:instr=" SEQ Abbildung \* ARABIC ">
        <w:r w:rsidR="00711AB8">
          <w:rPr>
            <w:noProof/>
          </w:rPr>
          <w:t>40</w:t>
        </w:r>
      </w:fldSimple>
      <w:bookmarkEnd w:id="269"/>
      <w:r>
        <w:t xml:space="preserve"> </w:t>
      </w:r>
      <w:r w:rsidRPr="003403B0">
        <w:rPr>
          <w:b w:val="0"/>
        </w:rPr>
        <w:t>Resomer</w:t>
      </w:r>
      <w:r w:rsidR="007E7407" w:rsidRPr="00902C2E">
        <w:rPr>
          <w:vertAlign w:val="superscript"/>
        </w:rPr>
        <w:t>®</w:t>
      </w:r>
      <w:r w:rsidRPr="003403B0">
        <w:rPr>
          <w:b w:val="0"/>
        </w:rPr>
        <w:t xml:space="preserve"> RG 752 H Ausgangszustand; links</w:t>
      </w:r>
      <w:r w:rsidR="00216741">
        <w:rPr>
          <w:b w:val="0"/>
        </w:rPr>
        <w:t>:</w:t>
      </w:r>
      <w:r w:rsidRPr="003403B0">
        <w:rPr>
          <w:b w:val="0"/>
        </w:rPr>
        <w:t xml:space="preserve"> Verteilungssummenfunktion; rechts</w:t>
      </w:r>
      <w:r w:rsidR="00216741">
        <w:rPr>
          <w:b w:val="0"/>
        </w:rPr>
        <w:t>:</w:t>
      </w:r>
      <w:r w:rsidRPr="003403B0">
        <w:rPr>
          <w:b w:val="0"/>
        </w:rPr>
        <w:t xml:space="preserve"> Verteilungsdichtefunktion</w:t>
      </w:r>
      <w:r w:rsidR="00216741">
        <w:rPr>
          <w:b w:val="0"/>
        </w:rPr>
        <w:t>.</w:t>
      </w:r>
    </w:p>
    <w:p w14:paraId="611708E6" w14:textId="77777777" w:rsidR="009F351E" w:rsidRDefault="009F351E" w:rsidP="009F351E">
      <w:pPr>
        <w:spacing w:after="0"/>
      </w:pPr>
    </w:p>
    <w:p w14:paraId="4BBD5950" w14:textId="77777777" w:rsidR="009C40CB" w:rsidRPr="009C40CB" w:rsidRDefault="009C40CB" w:rsidP="007B444A">
      <w:pPr>
        <w:spacing w:after="120"/>
      </w:pPr>
      <w:r w:rsidRPr="009C40CB">
        <w:t>Die Vert</w:t>
      </w:r>
      <w:r w:rsidR="009F69C4">
        <w:t>eilungssummenkurve (</w:t>
      </w:r>
      <w:r w:rsidR="00D16240">
        <w:fldChar w:fldCharType="begin"/>
      </w:r>
      <w:r w:rsidR="009F69C4">
        <w:instrText xml:space="preserve"> REF _Ref267870708 \h </w:instrText>
      </w:r>
      <w:r w:rsidR="00D16240">
        <w:fldChar w:fldCharType="separate"/>
      </w:r>
      <w:r w:rsidR="00711AB8" w:rsidRPr="003403B0">
        <w:t xml:space="preserve">Abbildung </w:t>
      </w:r>
      <w:r w:rsidR="00711AB8">
        <w:rPr>
          <w:noProof/>
        </w:rPr>
        <w:t>40</w:t>
      </w:r>
      <w:r w:rsidR="00D16240">
        <w:fldChar w:fldCharType="end"/>
      </w:r>
      <w:r w:rsidRPr="009C40CB">
        <w:t xml:space="preserve"> links) zeigt, dass 60% der Polymerpartikel eine Größe zwischen 20 und 300 µm besitzen. </w:t>
      </w:r>
      <w:r w:rsidR="0026025C">
        <w:t>Zudem</w:t>
      </w:r>
      <w:r w:rsidR="00B264EE">
        <w:t xml:space="preserve"> wurden Partik</w:t>
      </w:r>
      <w:r w:rsidR="009F351E">
        <w:t>el mit einer Größe bis zu 7.000 </w:t>
      </w:r>
      <w:r w:rsidR="00B264EE">
        <w:t xml:space="preserve">µm gemessen. </w:t>
      </w:r>
      <w:r w:rsidRPr="009C40CB">
        <w:t>Die</w:t>
      </w:r>
      <w:r w:rsidR="009F69C4">
        <w:t xml:space="preserve"> Verteilungsdichte (</w:t>
      </w:r>
      <w:r w:rsidR="00D16240">
        <w:fldChar w:fldCharType="begin"/>
      </w:r>
      <w:r w:rsidR="009F69C4">
        <w:instrText xml:space="preserve"> REF _Ref267870708 \h </w:instrText>
      </w:r>
      <w:r w:rsidR="00D16240">
        <w:fldChar w:fldCharType="separate"/>
      </w:r>
      <w:r w:rsidR="00711AB8" w:rsidRPr="003403B0">
        <w:t xml:space="preserve">Abbildung </w:t>
      </w:r>
      <w:r w:rsidR="00711AB8">
        <w:rPr>
          <w:noProof/>
        </w:rPr>
        <w:t>40</w:t>
      </w:r>
      <w:r w:rsidR="00D16240">
        <w:fldChar w:fldCharType="end"/>
      </w:r>
      <w:r w:rsidRPr="009C40CB">
        <w:t xml:space="preserve"> rechts) deutet darauf hin, dass die Kornklassen mit unterschiedlicher Häufigkeit vorkommen.</w:t>
      </w:r>
    </w:p>
    <w:p w14:paraId="3A183245" w14:textId="77777777" w:rsidR="009C40CB" w:rsidRDefault="00361C9D" w:rsidP="001651EE">
      <w:pPr>
        <w:spacing w:after="120"/>
      </w:pPr>
      <w:r>
        <w:lastRenderedPageBreak/>
        <w:t xml:space="preserve">Anschließend erfolgte eine morphologische Charakterisierung des Ausgangsmaterials. </w:t>
      </w:r>
      <w:r w:rsidR="009F69C4">
        <w:t xml:space="preserve">Die REM-Aufnahmen in </w:t>
      </w:r>
      <w:r w:rsidR="00D16240">
        <w:fldChar w:fldCharType="begin"/>
      </w:r>
      <w:r w:rsidR="009F69C4">
        <w:instrText xml:space="preserve"> REF _Ref267871568 \h </w:instrText>
      </w:r>
      <w:r w:rsidR="00D16240">
        <w:fldChar w:fldCharType="separate"/>
      </w:r>
      <w:r w:rsidR="00711AB8" w:rsidRPr="003403B0">
        <w:t xml:space="preserve">Abbildung </w:t>
      </w:r>
      <w:r w:rsidR="00711AB8">
        <w:rPr>
          <w:noProof/>
        </w:rPr>
        <w:t>41</w:t>
      </w:r>
      <w:r w:rsidR="00D16240">
        <w:fldChar w:fldCharType="end"/>
      </w:r>
      <w:r w:rsidR="009C40CB" w:rsidRPr="009C40CB">
        <w:t xml:space="preserve"> zeigen die Oberflä</w:t>
      </w:r>
      <w:r w:rsidR="009F351E">
        <w:t>chenstruktur von Resomer</w:t>
      </w:r>
      <w:r w:rsidR="0026025C" w:rsidRPr="0026025C">
        <w:rPr>
          <w:vertAlign w:val="superscript"/>
        </w:rPr>
        <w:sym w:font="Symbol" w:char="F0D2"/>
      </w:r>
      <w:r w:rsidR="009F351E">
        <w:t> RG 752 </w:t>
      </w:r>
      <w:r w:rsidR="009C40CB" w:rsidRPr="009C40CB">
        <w:t>H vor der Prozessierung mit dem RESS-Prozess.</w:t>
      </w:r>
    </w:p>
    <w:p w14:paraId="4D4D6399" w14:textId="77777777" w:rsidR="009F351E" w:rsidRPr="009C40CB" w:rsidRDefault="009F351E" w:rsidP="009F351E">
      <w:pPr>
        <w:spacing w:after="0"/>
      </w:pPr>
    </w:p>
    <w:p w14:paraId="2CF2B8F4" w14:textId="77777777" w:rsidR="009C40CB" w:rsidRPr="009C40CB" w:rsidRDefault="009C40CB" w:rsidP="009C40CB">
      <w:pPr>
        <w:spacing w:after="120" w:line="240" w:lineRule="auto"/>
      </w:pPr>
      <w:r w:rsidRPr="009C40CB">
        <w:rPr>
          <w:noProof/>
          <w:lang w:eastAsia="de-DE"/>
        </w:rPr>
        <w:drawing>
          <wp:inline distT="0" distB="0" distL="0" distR="0" wp14:anchorId="61CCADFD" wp14:editId="043BA0E0">
            <wp:extent cx="5760720" cy="1426368"/>
            <wp:effectExtent l="0" t="0" r="0" b="254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0720" cy="1426368"/>
                    </a:xfrm>
                    <a:prstGeom prst="rect">
                      <a:avLst/>
                    </a:prstGeom>
                    <a:noFill/>
                    <a:ln>
                      <a:noFill/>
                    </a:ln>
                  </pic:spPr>
                </pic:pic>
              </a:graphicData>
            </a:graphic>
          </wp:inline>
        </w:drawing>
      </w:r>
    </w:p>
    <w:p w14:paraId="76AE3058" w14:textId="77777777" w:rsidR="003403B0" w:rsidRPr="003403B0" w:rsidRDefault="003403B0" w:rsidP="007E7407">
      <w:pPr>
        <w:pStyle w:val="Beschriftung"/>
        <w:ind w:firstLine="0"/>
        <w:rPr>
          <w:b w:val="0"/>
          <w:bCs w:val="0"/>
        </w:rPr>
      </w:pPr>
      <w:bookmarkStart w:id="270" w:name="_Ref267871568"/>
      <w:r w:rsidRPr="003403B0">
        <w:t xml:space="preserve">Abbildung </w:t>
      </w:r>
      <w:fldSimple w:instr=" SEQ Abbildung \* ARABIC ">
        <w:r w:rsidR="00711AB8">
          <w:rPr>
            <w:noProof/>
          </w:rPr>
          <w:t>41</w:t>
        </w:r>
      </w:fldSimple>
      <w:bookmarkEnd w:id="270"/>
      <w:r>
        <w:t xml:space="preserve"> </w:t>
      </w:r>
      <w:r w:rsidRPr="003403B0">
        <w:rPr>
          <w:b w:val="0"/>
        </w:rPr>
        <w:t>REM-Aufnahmen von Resomer</w:t>
      </w:r>
      <w:r w:rsidR="007E7407" w:rsidRPr="00902C2E">
        <w:rPr>
          <w:vertAlign w:val="superscript"/>
        </w:rPr>
        <w:t>®</w:t>
      </w:r>
      <w:r w:rsidRPr="003403B0">
        <w:rPr>
          <w:b w:val="0"/>
        </w:rPr>
        <w:t xml:space="preserve"> RG 752 H im Ausgangszustand vor der Prozessierung</w:t>
      </w:r>
      <w:r w:rsidR="00216741">
        <w:rPr>
          <w:b w:val="0"/>
        </w:rPr>
        <w:t>.</w:t>
      </w:r>
    </w:p>
    <w:p w14:paraId="138199A8" w14:textId="77777777" w:rsidR="009F351E" w:rsidRDefault="009F351E" w:rsidP="009F351E">
      <w:pPr>
        <w:spacing w:after="0"/>
      </w:pPr>
    </w:p>
    <w:p w14:paraId="6DF074E8" w14:textId="77777777" w:rsidR="009C40CB" w:rsidRDefault="00B264EE" w:rsidP="007B444A">
      <w:pPr>
        <w:spacing w:after="120"/>
      </w:pPr>
      <w:r>
        <w:t xml:space="preserve">In den REM-Aufnahmen </w:t>
      </w:r>
      <w:r w:rsidR="009C40CB" w:rsidRPr="009C40CB">
        <w:t>sind Agglomerate des amorphen Polymers zu erkennen. Die Oberflächenstruktur lässt sich als zerklüftet oder porös beschreiben.</w:t>
      </w:r>
      <w:r>
        <w:t xml:space="preserve"> Die Ergebnisse der Partikelgrößenmessung per Bildanalyse können durch die REM-Analytik bestätigt werden.</w:t>
      </w:r>
    </w:p>
    <w:p w14:paraId="3CC1CEEF" w14:textId="77777777" w:rsidR="003B37C5" w:rsidRDefault="003B37C5" w:rsidP="009337E8">
      <w:pPr>
        <w:pStyle w:val="berschrift3"/>
      </w:pPr>
      <w:bookmarkStart w:id="271" w:name="_Toc294380268"/>
      <w:r>
        <w:t>Ergebnisse</w:t>
      </w:r>
      <w:r w:rsidR="00CF4C8E">
        <w:t xml:space="preserve"> Vorversuche</w:t>
      </w:r>
      <w:bookmarkEnd w:id="271"/>
    </w:p>
    <w:p w14:paraId="722C7AF7" w14:textId="77777777" w:rsidR="008E7254" w:rsidRDefault="00CF4C8E" w:rsidP="007B444A">
      <w:pPr>
        <w:spacing w:after="120"/>
      </w:pPr>
      <w:r w:rsidRPr="00CF4C8E">
        <w:t>Zu Be</w:t>
      </w:r>
      <w:r w:rsidR="00280E97">
        <w:t>ginn wurden Versuche mit Resomer</w:t>
      </w:r>
      <w:r w:rsidRPr="00280E97">
        <w:rPr>
          <w:vertAlign w:val="superscript"/>
        </w:rPr>
        <w:t>®</w:t>
      </w:r>
      <w:r w:rsidRPr="00CF4C8E">
        <w:t xml:space="preserve"> RG 503 H durchgeführt (PLA:GL Verhältnis 50:50). Auch unter Verw</w:t>
      </w:r>
      <w:r w:rsidR="00665797">
        <w:t>endung von Ethanol als Cosolvens</w:t>
      </w:r>
      <w:r w:rsidRPr="00CF4C8E">
        <w:t xml:space="preserve"> war dieses Polymer aller</w:t>
      </w:r>
      <w:r w:rsidR="001651EE">
        <w:t>dings nicht im</w:t>
      </w:r>
      <w:r w:rsidRPr="00CF4C8E">
        <w:t xml:space="preserve"> </w:t>
      </w:r>
      <w:r w:rsidR="001651EE">
        <w:t>überkritischen Medium</w:t>
      </w:r>
      <w:r w:rsidRPr="00CF4C8E">
        <w:t xml:space="preserve"> löslich. </w:t>
      </w:r>
      <w:r>
        <w:t>Nahezu das gesamte</w:t>
      </w:r>
      <w:r w:rsidR="00665797">
        <w:t xml:space="preserve"> Polymer verblieb als aufgequollene</w:t>
      </w:r>
      <w:r>
        <w:t xml:space="preserve"> Masse nach Versuchsende im Autoklaven und auf den besprühten Target</w:t>
      </w:r>
      <w:r w:rsidR="001651EE">
        <w:t>s konnten per REM-Analytik nur vereinzelte</w:t>
      </w:r>
      <w:r>
        <w:t xml:space="preserve"> Partikel gefunden werden. </w:t>
      </w:r>
      <w:r w:rsidRPr="00CF4C8E">
        <w:t>Weitere Versuche wur</w:t>
      </w:r>
      <w:r w:rsidR="00280E97">
        <w:t>den mit dem lipophileren Resomer</w:t>
      </w:r>
      <w:r w:rsidRPr="00280E97">
        <w:rPr>
          <w:vertAlign w:val="superscript"/>
        </w:rPr>
        <w:t>®</w:t>
      </w:r>
      <w:r w:rsidRPr="00CF4C8E">
        <w:t xml:space="preserve"> RG 858 S (PLA:GL Verhältnis 85:15) durchgeführt. Erwartungsgemäß lösen sich lipophile Polymere besser in überkritischem CO</w:t>
      </w:r>
      <w:r w:rsidRPr="00CF4C8E">
        <w:rPr>
          <w:vertAlign w:val="subscript"/>
        </w:rPr>
        <w:t>2</w:t>
      </w:r>
      <w:r w:rsidR="00280E97">
        <w:t>, was durch Versuche mit Resomer</w:t>
      </w:r>
      <w:r w:rsidRPr="00280E97">
        <w:rPr>
          <w:vertAlign w:val="superscript"/>
        </w:rPr>
        <w:t>®</w:t>
      </w:r>
      <w:r w:rsidR="00831493">
        <w:t xml:space="preserve"> RG 858 S, das mit Ethanol als C</w:t>
      </w:r>
      <w:r w:rsidR="00CD7147">
        <w:t>osolvens</w:t>
      </w:r>
      <w:r w:rsidRPr="00CF4C8E">
        <w:t xml:space="preserve"> deutlich verbesserte </w:t>
      </w:r>
      <w:r>
        <w:t>Löslichkeitseigenschaften</w:t>
      </w:r>
      <w:r w:rsidRPr="00CF4C8E">
        <w:t xml:space="preserve"> als RG 503 H</w:t>
      </w:r>
      <w:r>
        <w:t xml:space="preserve"> zeigte</w:t>
      </w:r>
      <w:r w:rsidRPr="00CF4C8E">
        <w:t>, bestätigt wurde.</w:t>
      </w:r>
      <w:r>
        <w:t xml:space="preserve"> Durchschnittlich 5% wurden durch den Sprühvorgang aus dem Autoklaven ausgetragen und au</w:t>
      </w:r>
      <w:r w:rsidR="001651EE">
        <w:t>f den besprühten Targets konnte</w:t>
      </w:r>
      <w:r>
        <w:t xml:space="preserve"> mit dem REM </w:t>
      </w:r>
      <w:r w:rsidR="001651EE">
        <w:t xml:space="preserve">eine größere Zahl an </w:t>
      </w:r>
      <w:r>
        <w:t>Partikel</w:t>
      </w:r>
      <w:r w:rsidR="001651EE">
        <w:t>n</w:t>
      </w:r>
      <w:r>
        <w:t xml:space="preserve"> sichtbar gemacht werden.</w:t>
      </w:r>
    </w:p>
    <w:p w14:paraId="2F765543" w14:textId="77777777" w:rsidR="005C2526" w:rsidRDefault="00280E97" w:rsidP="007B444A">
      <w:pPr>
        <w:spacing w:after="120"/>
      </w:pPr>
      <w:r>
        <w:t>Nachdem Resomer</w:t>
      </w:r>
      <w:r w:rsidR="005C2526" w:rsidRPr="005C2526">
        <w:rPr>
          <w:vertAlign w:val="superscript"/>
        </w:rPr>
        <w:t>®</w:t>
      </w:r>
      <w:r w:rsidR="005C2526">
        <w:t xml:space="preserve"> RG 858 S</w:t>
      </w:r>
      <w:r w:rsidR="005C2526" w:rsidRPr="005C2526">
        <w:t xml:space="preserve"> unter den bisher getesteten Polymeren </w:t>
      </w:r>
      <w:r w:rsidR="00AA7367">
        <w:t>als am besten geeignet</w:t>
      </w:r>
      <w:r w:rsidR="005C2526" w:rsidRPr="005C2526">
        <w:t xml:space="preserve"> identifiziert wurde, konnten erste Sprühversuche durchgeführt werden.</w:t>
      </w:r>
      <w:r w:rsidR="005C2526">
        <w:t xml:space="preserve"> </w:t>
      </w:r>
      <w:r w:rsidR="00D16240">
        <w:fldChar w:fldCharType="begin"/>
      </w:r>
      <w:r w:rsidR="005C2526">
        <w:instrText xml:space="preserve"> REF _Ref267873245 \h </w:instrText>
      </w:r>
      <w:r w:rsidR="00D16240">
        <w:fldChar w:fldCharType="separate"/>
      </w:r>
      <w:r w:rsidR="00711AB8" w:rsidRPr="005C2526">
        <w:t xml:space="preserve">Abbildung </w:t>
      </w:r>
      <w:r w:rsidR="00711AB8">
        <w:rPr>
          <w:noProof/>
        </w:rPr>
        <w:t>42</w:t>
      </w:r>
      <w:r w:rsidR="00D16240">
        <w:fldChar w:fldCharType="end"/>
      </w:r>
      <w:r w:rsidR="005C2526">
        <w:t xml:space="preserve"> </w:t>
      </w:r>
      <w:r w:rsidR="005C2526" w:rsidRPr="005C2526">
        <w:t>zeigt ein Prozessdiagram</w:t>
      </w:r>
      <w:r w:rsidR="00665797">
        <w:t>m aus einem RESS-Herstellungs</w:t>
      </w:r>
      <w:r w:rsidR="005C2526" w:rsidRPr="005C2526">
        <w:t>gang. Ein Anstieg des Düsendrucks (violette Linie) zeigt, dass die Düse geöffnet wurde. Bei jedem Sprühvorgang wurde eine neue Platte mit Alufolie verwendet. Es wurde entweder 3</w:t>
      </w:r>
      <w:r w:rsidR="005C2526">
        <w:t xml:space="preserve"> </w:t>
      </w:r>
      <w:r w:rsidR="005C2526" w:rsidRPr="005C2526">
        <w:t>s oder 10</w:t>
      </w:r>
      <w:r w:rsidR="005C2526">
        <w:t xml:space="preserve"> </w:t>
      </w:r>
      <w:r w:rsidR="005C2526" w:rsidRPr="005C2526">
        <w:t>s lang gesprüht. Aus dem Diagramm können unterschiedliche Informationen gewonnen werden: Beispielsweise würde man eine Blockierung der Düse erkennen, da in diesem Fall der Düsendruck nach Schließen</w:t>
      </w:r>
      <w:r w:rsidR="00AA7367">
        <w:t xml:space="preserve"> </w:t>
      </w:r>
      <w:r w:rsidR="001651EE">
        <w:t>des Ventils nicht abgebaut würde</w:t>
      </w:r>
      <w:r w:rsidR="005C2526" w:rsidRPr="005C2526">
        <w:t xml:space="preserve">. Anhand der Düsentemperatur kann überprüft werden, ob die </w:t>
      </w:r>
      <w:r w:rsidR="005C2526" w:rsidRPr="005C2526">
        <w:lastRenderedPageBreak/>
        <w:t>eingestellte Heizleistung des Düsenheizblocks ausreicht, um genügend Wärme zur Verdampfung des Ethanols zu liefern</w:t>
      </w:r>
      <w:r w:rsidR="00216741">
        <w:t xml:space="preserve"> und um ein Einfrieren der Düse zu verhindern</w:t>
      </w:r>
      <w:r w:rsidR="005C2526" w:rsidRPr="005C2526">
        <w:t>. Anhand des Kesseldruck- und Temperaturverlaufs können Aussagen zur Phasenlage des Gemisches gemacht werden. Hierüber erfolgt auch die Kontrolle, ob während der gesamten Versuchsdurchführung der überkritische Zustand vorliegt. Des Weiteren kann durch spätere Auswertung ein eventuell bestehender Zusammenhang zwischen den Partikeleigenschaften und der jeweiligen Sprühphase in Abhängigkeit von Ausgangsdruck und Temperatur gefunden werden.</w:t>
      </w:r>
    </w:p>
    <w:p w14:paraId="69B1A4CF" w14:textId="77777777" w:rsidR="001651EE" w:rsidRPr="005C2526" w:rsidRDefault="001651EE" w:rsidP="007B444A">
      <w:pPr>
        <w:spacing w:after="120"/>
      </w:pPr>
    </w:p>
    <w:p w14:paraId="5F0C7F40" w14:textId="77777777" w:rsidR="005C2526" w:rsidRDefault="005C2526" w:rsidP="007970F4">
      <w:pPr>
        <w:pStyle w:val="Beschriftung"/>
        <w:ind w:firstLine="142"/>
        <w:jc w:val="center"/>
      </w:pPr>
      <w:r w:rsidRPr="005C2526">
        <w:rPr>
          <w:noProof/>
          <w:lang w:eastAsia="de-DE"/>
        </w:rPr>
        <w:drawing>
          <wp:inline distT="0" distB="0" distL="0" distR="0" wp14:anchorId="7E975C4E" wp14:editId="0FBD1F9D">
            <wp:extent cx="6195695" cy="3999665"/>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BEBA8EAE-BF5A-486C-A8C5-ECC9F3942E4B}">
                          <a14:imgProps xmlns:a14="http://schemas.microsoft.com/office/drawing/2010/main">
                            <a14:imgLayer r:embed="rId76">
                              <a14:imgEffect>
                                <a14:brightnessContrast bright="-1000" contrast="4000"/>
                              </a14:imgEffect>
                            </a14:imgLayer>
                          </a14:imgProps>
                        </a:ext>
                        <a:ext uri="{28A0092B-C50C-407E-A947-70E740481C1C}">
                          <a14:useLocalDpi xmlns:a14="http://schemas.microsoft.com/office/drawing/2010/main" val="0"/>
                        </a:ext>
                      </a:extLst>
                    </a:blip>
                    <a:srcRect/>
                    <a:stretch>
                      <a:fillRect/>
                    </a:stretch>
                  </pic:blipFill>
                  <pic:spPr bwMode="auto">
                    <a:xfrm>
                      <a:off x="0" y="0"/>
                      <a:ext cx="6196552" cy="4000218"/>
                    </a:xfrm>
                    <a:prstGeom prst="rect">
                      <a:avLst/>
                    </a:prstGeom>
                    <a:noFill/>
                  </pic:spPr>
                </pic:pic>
              </a:graphicData>
            </a:graphic>
          </wp:inline>
        </w:drawing>
      </w:r>
    </w:p>
    <w:p w14:paraId="7D7AA339" w14:textId="77777777" w:rsidR="005C2526" w:rsidRPr="005C2526" w:rsidRDefault="005C2526" w:rsidP="007970F4">
      <w:pPr>
        <w:pStyle w:val="Beschriftung"/>
        <w:ind w:firstLine="0"/>
        <w:rPr>
          <w:b w:val="0"/>
        </w:rPr>
      </w:pPr>
      <w:bookmarkStart w:id="272" w:name="_Ref267873245"/>
      <w:r w:rsidRPr="005C2526">
        <w:t xml:space="preserve">Abbildung </w:t>
      </w:r>
      <w:fldSimple w:instr=" SEQ Abbildung \* ARABIC ">
        <w:r w:rsidR="00711AB8">
          <w:rPr>
            <w:noProof/>
          </w:rPr>
          <w:t>42</w:t>
        </w:r>
      </w:fldSimple>
      <w:bookmarkEnd w:id="272"/>
      <w:r>
        <w:rPr>
          <w:b w:val="0"/>
        </w:rPr>
        <w:t xml:space="preserve"> Prozessdiagramm RESS-Sprühversuch; Vorversuch diskontinuierlich</w:t>
      </w:r>
      <w:r w:rsidR="00216741">
        <w:rPr>
          <w:b w:val="0"/>
        </w:rPr>
        <w:t>.</w:t>
      </w:r>
    </w:p>
    <w:p w14:paraId="64D4ADE7" w14:textId="77777777" w:rsidR="009F351E" w:rsidRDefault="009F351E" w:rsidP="009F351E">
      <w:pPr>
        <w:spacing w:after="0"/>
      </w:pPr>
    </w:p>
    <w:p w14:paraId="4E205BD9" w14:textId="77777777" w:rsidR="0017279D" w:rsidRDefault="005C2526" w:rsidP="001651EE">
      <w:pPr>
        <w:spacing w:after="120"/>
      </w:pPr>
      <w:r w:rsidRPr="005C2526">
        <w:t>Zur Charakterisierung der hergestellten Partikel wurden mit handelsüblicher Alu</w:t>
      </w:r>
      <w:r w:rsidR="0017279D">
        <w:t>minium</w:t>
      </w:r>
      <w:r w:rsidRPr="005C2526">
        <w:t>folie bespannte Glasplatten besprüht, die anschließe</w:t>
      </w:r>
      <w:r w:rsidR="00280E97">
        <w:t>nd per REM</w:t>
      </w:r>
      <w:r w:rsidRPr="005C2526">
        <w:t xml:space="preserve"> untersucht wurden. Von den besprühten Alufolien wurden aus unterschiedlichen Regionen Ausschnitte im Größenbereich von jeweils ca. 1 cm</w:t>
      </w:r>
      <w:r w:rsidRPr="005C2526">
        <w:rPr>
          <w:vertAlign w:val="superscript"/>
        </w:rPr>
        <w:t>2</w:t>
      </w:r>
      <w:r w:rsidRPr="005C2526">
        <w:t xml:space="preserve"> entnommen </w:t>
      </w:r>
      <w:r w:rsidR="0017279D">
        <w:t xml:space="preserve">und </w:t>
      </w:r>
      <w:r w:rsidRPr="005C2526">
        <w:t>nach Bedampfung mit Gold unt</w:t>
      </w:r>
      <w:r w:rsidR="0017279D">
        <w:t>er dem Rasterelektronenmikroskop</w:t>
      </w:r>
      <w:r w:rsidRPr="005C2526">
        <w:t xml:space="preserve"> untersucht. Zwei der Aufnahmen sind in </w:t>
      </w:r>
      <w:r w:rsidR="00D16240">
        <w:fldChar w:fldCharType="begin"/>
      </w:r>
      <w:r w:rsidR="00280E97">
        <w:instrText xml:space="preserve"> REF _Ref272960654 \h </w:instrText>
      </w:r>
      <w:r w:rsidR="00D16240">
        <w:fldChar w:fldCharType="separate"/>
      </w:r>
      <w:r w:rsidR="00711AB8" w:rsidRPr="0017279D">
        <w:t xml:space="preserve">Abbildung </w:t>
      </w:r>
      <w:r w:rsidR="00711AB8">
        <w:rPr>
          <w:noProof/>
        </w:rPr>
        <w:t>43</w:t>
      </w:r>
      <w:r w:rsidR="00D16240">
        <w:fldChar w:fldCharType="end"/>
      </w:r>
      <w:r w:rsidR="0017279D">
        <w:t xml:space="preserve"> gezeigt.</w:t>
      </w:r>
    </w:p>
    <w:p w14:paraId="4A706102" w14:textId="77777777" w:rsidR="009F351E" w:rsidRDefault="009F351E" w:rsidP="009F351E">
      <w:pPr>
        <w:spacing w:after="0"/>
      </w:pPr>
    </w:p>
    <w:p w14:paraId="54466703" w14:textId="77777777" w:rsidR="005600B4" w:rsidRDefault="005600B4" w:rsidP="007970F4">
      <w:pPr>
        <w:spacing w:line="240" w:lineRule="auto"/>
        <w:jc w:val="center"/>
      </w:pPr>
      <w:r>
        <w:rPr>
          <w:noProof/>
          <w:lang w:eastAsia="de-DE"/>
        </w:rPr>
        <w:lastRenderedPageBreak/>
        <w:drawing>
          <wp:inline distT="0" distB="0" distL="0" distR="0" wp14:anchorId="65728680" wp14:editId="759ECCBD">
            <wp:extent cx="2826005" cy="2119505"/>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75482.tif"/>
                    <pic:cNvPicPr/>
                  </pic:nvPicPr>
                  <pic:blipFill>
                    <a:blip r:embed="rId77">
                      <a:extLst>
                        <a:ext uri="{28A0092B-C50C-407E-A947-70E740481C1C}">
                          <a14:useLocalDpi xmlns:a14="http://schemas.microsoft.com/office/drawing/2010/main" val="0"/>
                        </a:ext>
                      </a:extLst>
                    </a:blip>
                    <a:stretch>
                      <a:fillRect/>
                    </a:stretch>
                  </pic:blipFill>
                  <pic:spPr>
                    <a:xfrm>
                      <a:off x="0" y="0"/>
                      <a:ext cx="2830991" cy="2123245"/>
                    </a:xfrm>
                    <a:prstGeom prst="rect">
                      <a:avLst/>
                    </a:prstGeom>
                  </pic:spPr>
                </pic:pic>
              </a:graphicData>
            </a:graphic>
          </wp:inline>
        </w:drawing>
      </w:r>
      <w:r w:rsidR="00F77578">
        <w:rPr>
          <w:noProof/>
          <w:lang w:eastAsia="de-DE"/>
        </w:rPr>
        <w:drawing>
          <wp:inline distT="0" distB="0" distL="0" distR="0" wp14:anchorId="6821729B" wp14:editId="66369F90">
            <wp:extent cx="2845558" cy="2131168"/>
            <wp:effectExtent l="0" t="0" r="0" b="254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45558" cy="2131168"/>
                    </a:xfrm>
                    <a:prstGeom prst="rect">
                      <a:avLst/>
                    </a:prstGeom>
                    <a:noFill/>
                  </pic:spPr>
                </pic:pic>
              </a:graphicData>
            </a:graphic>
          </wp:inline>
        </w:drawing>
      </w:r>
    </w:p>
    <w:p w14:paraId="2BEABD66" w14:textId="77777777" w:rsidR="0017279D" w:rsidRPr="0017279D" w:rsidRDefault="0017279D" w:rsidP="007E7407">
      <w:pPr>
        <w:pStyle w:val="Beschriftung"/>
        <w:ind w:firstLine="0"/>
        <w:rPr>
          <w:b w:val="0"/>
        </w:rPr>
      </w:pPr>
      <w:bookmarkStart w:id="273" w:name="_Ref272960654"/>
      <w:r w:rsidRPr="0017279D">
        <w:t xml:space="preserve">Abbildung </w:t>
      </w:r>
      <w:fldSimple w:instr=" SEQ Abbildung \* ARABIC ">
        <w:r w:rsidR="00711AB8">
          <w:rPr>
            <w:noProof/>
          </w:rPr>
          <w:t>43</w:t>
        </w:r>
      </w:fldSimple>
      <w:bookmarkEnd w:id="273"/>
      <w:r>
        <w:t xml:space="preserve"> </w:t>
      </w:r>
      <w:r w:rsidR="00C267E3">
        <w:rPr>
          <w:b w:val="0"/>
        </w:rPr>
        <w:t xml:space="preserve">REM </w:t>
      </w:r>
      <w:r>
        <w:rPr>
          <w:b w:val="0"/>
        </w:rPr>
        <w:t>Aufnahmen von besprühten Alumini</w:t>
      </w:r>
      <w:r w:rsidR="00F77578">
        <w:rPr>
          <w:b w:val="0"/>
        </w:rPr>
        <w:t xml:space="preserve">umfolien aus </w:t>
      </w:r>
      <w:r w:rsidR="00831493">
        <w:rPr>
          <w:b w:val="0"/>
        </w:rPr>
        <w:t>RESS-</w:t>
      </w:r>
      <w:r w:rsidR="00F77578">
        <w:rPr>
          <w:b w:val="0"/>
        </w:rPr>
        <w:t>Vorversuch mit Resomer</w:t>
      </w:r>
      <w:r w:rsidR="007E7407" w:rsidRPr="00902C2E">
        <w:rPr>
          <w:vertAlign w:val="superscript"/>
        </w:rPr>
        <w:t>®</w:t>
      </w:r>
      <w:r w:rsidR="00F77578">
        <w:rPr>
          <w:b w:val="0"/>
        </w:rPr>
        <w:t xml:space="preserve"> RG 858 </w:t>
      </w:r>
      <w:r>
        <w:rPr>
          <w:b w:val="0"/>
        </w:rPr>
        <w:t>S</w:t>
      </w:r>
      <w:r w:rsidR="00216741">
        <w:rPr>
          <w:b w:val="0"/>
        </w:rPr>
        <w:t>.</w:t>
      </w:r>
    </w:p>
    <w:p w14:paraId="6770CDB1" w14:textId="77777777" w:rsidR="009F351E" w:rsidRDefault="009F351E" w:rsidP="001651EE">
      <w:pPr>
        <w:spacing w:after="120"/>
      </w:pPr>
    </w:p>
    <w:p w14:paraId="6D8FDEC2" w14:textId="77777777" w:rsidR="0017279D" w:rsidRDefault="0017279D" w:rsidP="007B444A">
      <w:pPr>
        <w:spacing w:after="120"/>
      </w:pPr>
      <w:r w:rsidRPr="0017279D">
        <w:t>Der mittlere Partikeldurchmesser wurde anhand einer größeren Anzahl an REM Aufnahmen ermittelt. Er liegt zwischen 200 nm und 300 nm.</w:t>
      </w:r>
      <w:r>
        <w:t xml:space="preserve"> Zur Bestimmung wurden 100 Partikel</w:t>
      </w:r>
      <w:r w:rsidR="00F77578">
        <w:t xml:space="preserve"> aus mehreren Aufnahmen</w:t>
      </w:r>
      <w:r w:rsidR="00831493">
        <w:t xml:space="preserve"> </w:t>
      </w:r>
      <w:r w:rsidR="00AA7367">
        <w:t>vermessen</w:t>
      </w:r>
      <w:r>
        <w:t>.</w:t>
      </w:r>
    </w:p>
    <w:p w14:paraId="4361A20D" w14:textId="77777777" w:rsidR="00CF4C8E" w:rsidRDefault="005C2526" w:rsidP="007B444A">
      <w:pPr>
        <w:spacing w:after="120"/>
      </w:pPr>
      <w:r w:rsidRPr="005C2526">
        <w:t>Die Auswertung der besprühten Alufolien ergab, dass die Morphologie der Partikel in den verschiedenen Sprühphasen</w:t>
      </w:r>
      <w:r>
        <w:t xml:space="preserve">, die in </w:t>
      </w:r>
      <w:r w:rsidR="00D16240">
        <w:fldChar w:fldCharType="begin"/>
      </w:r>
      <w:r>
        <w:instrText xml:space="preserve"> REF _Ref267873245 \h </w:instrText>
      </w:r>
      <w:r w:rsidR="00D16240">
        <w:fldChar w:fldCharType="separate"/>
      </w:r>
      <w:r w:rsidR="00711AB8" w:rsidRPr="005C2526">
        <w:t xml:space="preserve">Abbildung </w:t>
      </w:r>
      <w:r w:rsidR="00711AB8">
        <w:rPr>
          <w:noProof/>
        </w:rPr>
        <w:t>42</w:t>
      </w:r>
      <w:r w:rsidR="00D16240">
        <w:fldChar w:fldCharType="end"/>
      </w:r>
      <w:r w:rsidRPr="005C2526">
        <w:t xml:space="preserve"> </w:t>
      </w:r>
      <w:r>
        <w:t xml:space="preserve">dokumentiert wurden, </w:t>
      </w:r>
      <w:r w:rsidRPr="005C2526">
        <w:t>keine signifikanten Unterschiede aufwies. Erkennbar war lediglich eine geringere Anzahl an Partikeln ab der vierten Sprühphase (um die 11. Minute).</w:t>
      </w:r>
    </w:p>
    <w:p w14:paraId="1392A404" w14:textId="77777777" w:rsidR="00CF4C8E" w:rsidRDefault="00CF4C8E" w:rsidP="009337E8">
      <w:pPr>
        <w:pStyle w:val="berschrift3"/>
      </w:pPr>
      <w:bookmarkStart w:id="274" w:name="_Toc294380269"/>
      <w:r>
        <w:t>Ergebnis</w:t>
      </w:r>
      <w:r w:rsidR="00806D3D">
        <w:t>se semi-kontinuierlicher Prozess</w:t>
      </w:r>
      <w:bookmarkEnd w:id="274"/>
    </w:p>
    <w:p w14:paraId="7BAAF861" w14:textId="77777777" w:rsidR="001C4F2D" w:rsidRDefault="00981401" w:rsidP="00981401">
      <w:r>
        <w:t xml:space="preserve">Mithilfe der in Kapitel </w:t>
      </w:r>
      <w:r w:rsidR="00D16240">
        <w:fldChar w:fldCharType="begin"/>
      </w:r>
      <w:r>
        <w:instrText xml:space="preserve"> REF _Ref268459720 \r \h </w:instrText>
      </w:r>
      <w:r w:rsidR="00D16240">
        <w:fldChar w:fldCharType="separate"/>
      </w:r>
      <w:r w:rsidR="00711AB8">
        <w:t>4.6.2</w:t>
      </w:r>
      <w:r w:rsidR="00D16240">
        <w:fldChar w:fldCharType="end"/>
      </w:r>
      <w:r>
        <w:t xml:space="preserve"> beschriebene</w:t>
      </w:r>
      <w:r w:rsidR="009F3041">
        <w:t>n Erweiterungen der Anlage konnte</w:t>
      </w:r>
      <w:r>
        <w:t xml:space="preserve"> ein kontinuierlicher Sprühvorgang bei konstantem Druck und konstantem Massenverhältnis zwischen Ethanol und CO</w:t>
      </w:r>
      <w:r w:rsidRPr="00981401">
        <w:rPr>
          <w:vertAlign w:val="subscript"/>
        </w:rPr>
        <w:t>2</w:t>
      </w:r>
      <w:r w:rsidR="009F3041">
        <w:t xml:space="preserve"> erfolgreich durchgeführt werden</w:t>
      </w:r>
      <w:r>
        <w:t>.</w:t>
      </w:r>
      <w:r w:rsidR="00242C12">
        <w:t xml:space="preserve"> </w:t>
      </w:r>
      <w:r w:rsidR="001C4F2D">
        <w:t>Da eine kontinuierliche Nachspeisung von P</w:t>
      </w:r>
      <w:r w:rsidR="00831493">
        <w:t>olymer noch nicht vorgesehen ist oder implementiert war</w:t>
      </w:r>
      <w:r w:rsidR="001C4F2D">
        <w:t>, wird der Proze</w:t>
      </w:r>
      <w:r w:rsidR="001D3380">
        <w:t>ss als semi- und nicht als voll</w:t>
      </w:r>
      <w:r w:rsidR="001C4F2D">
        <w:t xml:space="preserve">kontinuierlich bezeichnet. </w:t>
      </w:r>
    </w:p>
    <w:p w14:paraId="690793A7" w14:textId="77777777" w:rsidR="003F5F69" w:rsidRDefault="00A811A6" w:rsidP="00CD7147">
      <w:r>
        <w:t>Nach ein</w:t>
      </w:r>
      <w:r w:rsidR="00831493">
        <w:t>er</w:t>
      </w:r>
      <w:r w:rsidR="00242C12">
        <w:t xml:space="preserve"> </w:t>
      </w:r>
      <w:r w:rsidR="00831493">
        <w:t>einstündigen</w:t>
      </w:r>
      <w:r w:rsidR="00242C12">
        <w:t xml:space="preserve"> Lösungsphase und anschließendem Sprühen über einen Z</w:t>
      </w:r>
      <w:r w:rsidR="003A6B39">
        <w:t>eitraum von einer Stunde hinweg</w:t>
      </w:r>
      <w:r w:rsidR="00242C12">
        <w:t xml:space="preserve"> wurde das im Druckbehälter vorgelegte Polymer vollständig gelös</w:t>
      </w:r>
      <w:r w:rsidR="00184835">
        <w:t xml:space="preserve">t und versprüht. Mit der eingebauten Sprühkammer konnten die Partikel in Form einer ethanolischen Suspension gesammelt und kontinuierlich </w:t>
      </w:r>
      <w:r w:rsidR="003A1069">
        <w:t xml:space="preserve">aus </w:t>
      </w:r>
      <w:r w:rsidR="00184835">
        <w:t xml:space="preserve">der Anlage entnommen werden. </w:t>
      </w:r>
      <w:r w:rsidR="00242C12">
        <w:t>Die Ergebnisse der getestete</w:t>
      </w:r>
      <w:r w:rsidR="009F3041">
        <w:t xml:space="preserve">n PLGA Typen sind in </w:t>
      </w:r>
      <w:r w:rsidR="00D16240">
        <w:fldChar w:fldCharType="begin"/>
      </w:r>
      <w:r w:rsidR="009F3041">
        <w:instrText xml:space="preserve"> REF _Ref268460804 \h </w:instrText>
      </w:r>
      <w:r w:rsidR="00D16240">
        <w:fldChar w:fldCharType="separate"/>
      </w:r>
      <w:r w:rsidR="00711AB8" w:rsidRPr="009F3041">
        <w:t xml:space="preserve">Tabelle </w:t>
      </w:r>
      <w:r w:rsidR="00711AB8">
        <w:rPr>
          <w:noProof/>
        </w:rPr>
        <w:t>28</w:t>
      </w:r>
      <w:r w:rsidR="00D16240">
        <w:fldChar w:fldCharType="end"/>
      </w:r>
      <w:r w:rsidR="009F3041">
        <w:t xml:space="preserve"> </w:t>
      </w:r>
      <w:r w:rsidR="00242C12">
        <w:t xml:space="preserve">dargestellt. </w:t>
      </w:r>
      <w:r w:rsidR="001C4F2D">
        <w:t>Als Kriterien z</w:t>
      </w:r>
      <w:r w:rsidR="005314F7">
        <w:t>ur Beurteilung</w:t>
      </w:r>
      <w:r w:rsidR="009F3041">
        <w:t xml:space="preserve"> der Löslichkeit des Polymers</w:t>
      </w:r>
      <w:r w:rsidR="00184835">
        <w:t xml:space="preserve"> </w:t>
      </w:r>
      <w:r w:rsidR="003A6B39">
        <w:t>wurden Ausbeute und</w:t>
      </w:r>
      <w:r w:rsidR="005314F7">
        <w:t xml:space="preserve"> etwaige Polymerrückstände</w:t>
      </w:r>
      <w:r w:rsidR="009F3041">
        <w:t xml:space="preserve"> im Druckbehälte</w:t>
      </w:r>
      <w:r w:rsidR="005314F7">
        <w:t>r nach Versuchsende herangezogen</w:t>
      </w:r>
      <w:r w:rsidR="009F3041">
        <w:t>.</w:t>
      </w:r>
      <w:r w:rsidR="009F3041" w:rsidRPr="009F3041">
        <w:t xml:space="preserve"> </w:t>
      </w:r>
      <w:r w:rsidR="005D1F40" w:rsidRPr="005D1F40">
        <w:t>Da de</w:t>
      </w:r>
      <w:r w:rsidR="005D1F40">
        <w:t>r gesamte Feststoffgehalt der</w:t>
      </w:r>
      <w:r w:rsidR="005D1F40" w:rsidRPr="005D1F40">
        <w:t xml:space="preserve"> Suspension dem Polymergehalt entspricht, wurde nach Eindampfen einer genau gewogenen Menge Suspension eine gravimetrische Bestimmung des Polymergehalts und damit der Ausbeute durchgeführt.</w:t>
      </w:r>
    </w:p>
    <w:p w14:paraId="62B85597" w14:textId="77777777" w:rsidR="009F3041" w:rsidRPr="009F3041" w:rsidRDefault="009F3041" w:rsidP="007E7407">
      <w:pPr>
        <w:pStyle w:val="Beschriftung"/>
        <w:spacing w:after="120"/>
        <w:ind w:firstLine="0"/>
        <w:rPr>
          <w:b w:val="0"/>
        </w:rPr>
      </w:pPr>
      <w:bookmarkStart w:id="275" w:name="_Ref268460804"/>
      <w:r w:rsidRPr="009F3041">
        <w:lastRenderedPageBreak/>
        <w:t xml:space="preserve">Tabelle </w:t>
      </w:r>
      <w:fldSimple w:instr=" SEQ Tabelle \* ARABIC ">
        <w:r w:rsidR="00711AB8">
          <w:rPr>
            <w:noProof/>
          </w:rPr>
          <w:t>28</w:t>
        </w:r>
      </w:fldSimple>
      <w:bookmarkEnd w:id="275"/>
      <w:r>
        <w:t xml:space="preserve"> </w:t>
      </w:r>
      <w:r>
        <w:rPr>
          <w:b w:val="0"/>
        </w:rPr>
        <w:t>Getestete PLGA Polymere</w:t>
      </w:r>
      <w:r w:rsidR="005314F7">
        <w:rPr>
          <w:b w:val="0"/>
        </w:rPr>
        <w:t xml:space="preserve"> und Ergebnisse</w:t>
      </w:r>
      <w:r w:rsidR="00831493">
        <w:rPr>
          <w:b w:val="0"/>
        </w:rPr>
        <w:t>; die in Klammern stehenden</w:t>
      </w:r>
      <w:r w:rsidR="005D50CA">
        <w:rPr>
          <w:b w:val="0"/>
        </w:rPr>
        <w:t xml:space="preserve"> Werte in der Spalte MW entsprechen den mittels GPC gemessenen mittleren Molekulargewichten der PLGA Polymere (Kalibration mit Polystyrol)</w:t>
      </w:r>
      <w:r w:rsidR="00831493">
        <w:rPr>
          <w:b w:val="0"/>
        </w:rPr>
        <w:t>, die nicht in Klammern stehenden Werte sind Angaben des Herstellers.</w:t>
      </w:r>
    </w:p>
    <w:tbl>
      <w:tblPr>
        <w:tblStyle w:val="Tabellenraster"/>
        <w:tblW w:w="0" w:type="auto"/>
        <w:jc w:val="center"/>
        <w:tblLook w:val="04A0" w:firstRow="1" w:lastRow="0" w:firstColumn="1" w:lastColumn="0" w:noHBand="0" w:noVBand="1"/>
      </w:tblPr>
      <w:tblGrid>
        <w:gridCol w:w="1845"/>
        <w:gridCol w:w="1807"/>
        <w:gridCol w:w="1418"/>
        <w:gridCol w:w="2268"/>
        <w:gridCol w:w="1514"/>
      </w:tblGrid>
      <w:tr w:rsidR="007C5508" w:rsidRPr="00A0224A" w14:paraId="2BB2C0FB" w14:textId="77777777" w:rsidTr="009E27A0">
        <w:trPr>
          <w:jc w:val="center"/>
        </w:trPr>
        <w:tc>
          <w:tcPr>
            <w:tcW w:w="1845" w:type="dxa"/>
            <w:tcBorders>
              <w:top w:val="single" w:sz="8" w:space="0" w:color="auto"/>
              <w:left w:val="single" w:sz="8" w:space="0" w:color="auto"/>
              <w:bottom w:val="single" w:sz="8" w:space="0" w:color="auto"/>
              <w:right w:val="single" w:sz="8" w:space="0" w:color="auto"/>
            </w:tcBorders>
            <w:shd w:val="clear" w:color="auto" w:fill="E6E6E6"/>
            <w:vAlign w:val="center"/>
          </w:tcPr>
          <w:p w14:paraId="54B87F96" w14:textId="77777777" w:rsidR="007C5508" w:rsidRPr="00AA7367" w:rsidRDefault="007C5508" w:rsidP="00D10D29">
            <w:pPr>
              <w:spacing w:after="120" w:line="240" w:lineRule="auto"/>
              <w:jc w:val="center"/>
              <w:rPr>
                <w:rFonts w:eastAsia="Times New Roman" w:cs="Times New Roman"/>
                <w:b/>
                <w:sz w:val="20"/>
                <w:szCs w:val="20"/>
                <w:lang w:eastAsia="de-DE"/>
              </w:rPr>
            </w:pPr>
            <w:r w:rsidRPr="00AA7367">
              <w:rPr>
                <w:rFonts w:eastAsia="Times New Roman" w:cs="Times New Roman"/>
                <w:b/>
                <w:sz w:val="20"/>
                <w:szCs w:val="20"/>
                <w:lang w:eastAsia="de-DE"/>
              </w:rPr>
              <w:t>PLGA Typ</w:t>
            </w:r>
          </w:p>
        </w:tc>
        <w:tc>
          <w:tcPr>
            <w:tcW w:w="1807" w:type="dxa"/>
            <w:tcBorders>
              <w:top w:val="single" w:sz="8" w:space="0" w:color="auto"/>
              <w:left w:val="single" w:sz="8" w:space="0" w:color="auto"/>
              <w:bottom w:val="single" w:sz="8" w:space="0" w:color="auto"/>
              <w:right w:val="single" w:sz="8" w:space="0" w:color="auto"/>
            </w:tcBorders>
            <w:shd w:val="clear" w:color="auto" w:fill="E6E6E6"/>
            <w:vAlign w:val="center"/>
          </w:tcPr>
          <w:p w14:paraId="45036F64" w14:textId="77777777" w:rsidR="007C5508" w:rsidRPr="00AA7367" w:rsidRDefault="007C5508" w:rsidP="00D10D29">
            <w:pPr>
              <w:spacing w:after="120" w:line="240" w:lineRule="auto"/>
              <w:jc w:val="center"/>
              <w:rPr>
                <w:rFonts w:eastAsia="Times New Roman" w:cs="Times New Roman"/>
                <w:b/>
                <w:sz w:val="20"/>
                <w:szCs w:val="20"/>
                <w:lang w:eastAsia="de-DE"/>
              </w:rPr>
            </w:pPr>
            <w:r w:rsidRPr="00AA7367">
              <w:rPr>
                <w:rFonts w:eastAsia="Times New Roman" w:cs="Times New Roman"/>
                <w:b/>
                <w:sz w:val="20"/>
                <w:szCs w:val="20"/>
                <w:lang w:eastAsia="de-DE"/>
              </w:rPr>
              <w:t>MW [g/mol]</w:t>
            </w:r>
          </w:p>
        </w:tc>
        <w:tc>
          <w:tcPr>
            <w:tcW w:w="1418" w:type="dxa"/>
            <w:tcBorders>
              <w:top w:val="single" w:sz="8" w:space="0" w:color="auto"/>
              <w:left w:val="single" w:sz="8" w:space="0" w:color="auto"/>
              <w:bottom w:val="single" w:sz="8" w:space="0" w:color="auto"/>
              <w:right w:val="single" w:sz="8" w:space="0" w:color="auto"/>
            </w:tcBorders>
            <w:shd w:val="clear" w:color="auto" w:fill="E6E6E6"/>
            <w:vAlign w:val="center"/>
          </w:tcPr>
          <w:p w14:paraId="2FD51743" w14:textId="77777777" w:rsidR="007C5508" w:rsidRPr="00AA7367" w:rsidRDefault="007C5508" w:rsidP="00D10D29">
            <w:pPr>
              <w:spacing w:after="120" w:line="240" w:lineRule="auto"/>
              <w:jc w:val="center"/>
              <w:rPr>
                <w:rFonts w:eastAsia="Times New Roman" w:cs="Times New Roman"/>
                <w:b/>
                <w:sz w:val="20"/>
                <w:szCs w:val="20"/>
                <w:lang w:eastAsia="de-DE"/>
              </w:rPr>
            </w:pPr>
            <w:r w:rsidRPr="00AA7367">
              <w:rPr>
                <w:rFonts w:eastAsia="Times New Roman" w:cs="Times New Roman"/>
                <w:b/>
                <w:sz w:val="20"/>
                <w:szCs w:val="20"/>
                <w:lang w:eastAsia="de-DE"/>
              </w:rPr>
              <w:t>Glycolid-Anteil</w:t>
            </w:r>
          </w:p>
        </w:tc>
        <w:tc>
          <w:tcPr>
            <w:tcW w:w="2268" w:type="dxa"/>
            <w:tcBorders>
              <w:top w:val="single" w:sz="8" w:space="0" w:color="auto"/>
              <w:left w:val="single" w:sz="8" w:space="0" w:color="auto"/>
              <w:bottom w:val="single" w:sz="8" w:space="0" w:color="auto"/>
              <w:right w:val="single" w:sz="8" w:space="0" w:color="auto"/>
            </w:tcBorders>
            <w:shd w:val="clear" w:color="auto" w:fill="E6E6E6"/>
            <w:vAlign w:val="center"/>
          </w:tcPr>
          <w:p w14:paraId="1CEA2734" w14:textId="77777777" w:rsidR="007C5508" w:rsidRPr="00AA7367" w:rsidRDefault="007C5508" w:rsidP="00D10D29">
            <w:pPr>
              <w:spacing w:after="120" w:line="240" w:lineRule="auto"/>
              <w:jc w:val="center"/>
              <w:rPr>
                <w:rFonts w:eastAsia="Times New Roman" w:cs="Times New Roman"/>
                <w:b/>
                <w:sz w:val="20"/>
                <w:szCs w:val="20"/>
                <w:lang w:eastAsia="de-DE"/>
              </w:rPr>
            </w:pPr>
            <w:r w:rsidRPr="00AA7367">
              <w:rPr>
                <w:rFonts w:eastAsia="Times New Roman" w:cs="Times New Roman"/>
                <w:b/>
                <w:sz w:val="20"/>
                <w:szCs w:val="20"/>
                <w:lang w:eastAsia="de-DE"/>
              </w:rPr>
              <w:t>Ausbeute / Rückstand                    im Autoklaven</w:t>
            </w:r>
          </w:p>
        </w:tc>
        <w:tc>
          <w:tcPr>
            <w:tcW w:w="1514" w:type="dxa"/>
            <w:tcBorders>
              <w:top w:val="single" w:sz="8" w:space="0" w:color="auto"/>
              <w:left w:val="single" w:sz="8" w:space="0" w:color="auto"/>
              <w:bottom w:val="single" w:sz="8" w:space="0" w:color="auto"/>
              <w:right w:val="single" w:sz="8" w:space="0" w:color="auto"/>
            </w:tcBorders>
            <w:shd w:val="clear" w:color="auto" w:fill="E6E6E6"/>
            <w:vAlign w:val="center"/>
          </w:tcPr>
          <w:p w14:paraId="5DEEC2C4" w14:textId="77777777" w:rsidR="007C5508" w:rsidRPr="00AA7367" w:rsidRDefault="007C5508" w:rsidP="00D10D29">
            <w:pPr>
              <w:spacing w:after="120" w:line="240" w:lineRule="auto"/>
              <w:jc w:val="center"/>
              <w:rPr>
                <w:rFonts w:eastAsia="Times New Roman" w:cs="Times New Roman"/>
                <w:b/>
                <w:sz w:val="20"/>
                <w:szCs w:val="20"/>
                <w:lang w:eastAsia="de-DE"/>
              </w:rPr>
            </w:pPr>
            <w:r w:rsidRPr="00AA7367">
              <w:rPr>
                <w:rFonts w:eastAsia="Times New Roman" w:cs="Times New Roman"/>
                <w:b/>
                <w:sz w:val="20"/>
                <w:szCs w:val="20"/>
                <w:lang w:eastAsia="de-DE"/>
              </w:rPr>
              <w:t>Partikel</w:t>
            </w:r>
            <w:r w:rsidR="0008744C" w:rsidRPr="00AA7367">
              <w:rPr>
                <w:rFonts w:eastAsia="Times New Roman" w:cs="Times New Roman"/>
                <w:b/>
                <w:sz w:val="20"/>
                <w:szCs w:val="20"/>
                <w:lang w:eastAsia="de-DE"/>
              </w:rPr>
              <w:t>größe</w:t>
            </w:r>
          </w:p>
        </w:tc>
      </w:tr>
      <w:tr w:rsidR="007C5508" w:rsidRPr="00A0224A" w14:paraId="619F1F42" w14:textId="77777777" w:rsidTr="009E27A0">
        <w:trPr>
          <w:jc w:val="center"/>
        </w:trPr>
        <w:tc>
          <w:tcPr>
            <w:tcW w:w="1845" w:type="dxa"/>
            <w:tcBorders>
              <w:top w:val="single" w:sz="8" w:space="0" w:color="auto"/>
              <w:left w:val="single" w:sz="8" w:space="0" w:color="auto"/>
            </w:tcBorders>
            <w:vAlign w:val="center"/>
          </w:tcPr>
          <w:p w14:paraId="03A2269E" w14:textId="77777777" w:rsidR="007C5508" w:rsidRPr="00AA7367" w:rsidRDefault="007C5508" w:rsidP="00242C12">
            <w:pPr>
              <w:spacing w:after="120"/>
              <w:jc w:val="center"/>
              <w:rPr>
                <w:rFonts w:eastAsia="Times New Roman" w:cs="Times New Roman"/>
                <w:sz w:val="18"/>
                <w:szCs w:val="18"/>
                <w:lang w:eastAsia="de-DE"/>
              </w:rPr>
            </w:pPr>
            <w:r w:rsidRPr="00AA7367">
              <w:rPr>
                <w:rFonts w:eastAsia="Times New Roman" w:cs="Times New Roman"/>
                <w:sz w:val="18"/>
                <w:szCs w:val="18"/>
                <w:lang w:eastAsia="de-DE"/>
              </w:rPr>
              <w:t>Resomer</w:t>
            </w:r>
            <w:r w:rsidR="00216741" w:rsidRPr="00906DB9">
              <w:rPr>
                <w:b/>
                <w:color w:val="000000" w:themeColor="text1"/>
                <w:vertAlign w:val="superscript"/>
              </w:rPr>
              <w:sym w:font="Symbol" w:char="F0D2"/>
            </w:r>
            <w:r w:rsidRPr="00AA7367">
              <w:rPr>
                <w:rFonts w:eastAsia="Times New Roman" w:cs="Times New Roman"/>
                <w:sz w:val="18"/>
                <w:szCs w:val="18"/>
                <w:lang w:eastAsia="de-DE"/>
              </w:rPr>
              <w:t xml:space="preserve"> RG 503 H</w:t>
            </w:r>
          </w:p>
        </w:tc>
        <w:tc>
          <w:tcPr>
            <w:tcW w:w="1807" w:type="dxa"/>
            <w:tcBorders>
              <w:top w:val="single" w:sz="8" w:space="0" w:color="auto"/>
            </w:tcBorders>
            <w:vAlign w:val="center"/>
          </w:tcPr>
          <w:p w14:paraId="7EB02F2C" w14:textId="77777777" w:rsidR="007C5508" w:rsidRPr="00831493" w:rsidRDefault="007C5508" w:rsidP="005D50CA">
            <w:pPr>
              <w:spacing w:after="120" w:line="240" w:lineRule="auto"/>
              <w:jc w:val="center"/>
              <w:rPr>
                <w:rFonts w:eastAsia="Times New Roman" w:cs="Times New Roman"/>
                <w:sz w:val="18"/>
                <w:szCs w:val="18"/>
                <w:vertAlign w:val="superscript"/>
                <w:lang w:eastAsia="de-DE"/>
              </w:rPr>
            </w:pPr>
            <w:r w:rsidRPr="00AA7367">
              <w:rPr>
                <w:rFonts w:eastAsia="Times New Roman" w:cs="Times New Roman"/>
                <w:sz w:val="18"/>
                <w:szCs w:val="18"/>
                <w:lang w:eastAsia="de-DE"/>
              </w:rPr>
              <w:t>24.000 – 38.000</w:t>
            </w:r>
          </w:p>
          <w:p w14:paraId="480E9888" w14:textId="77777777" w:rsidR="005D50CA" w:rsidRPr="00AA7367" w:rsidRDefault="005D50CA" w:rsidP="005D50CA">
            <w:pPr>
              <w:spacing w:after="120" w:line="240" w:lineRule="auto"/>
              <w:jc w:val="center"/>
              <w:rPr>
                <w:rFonts w:eastAsia="Times New Roman" w:cs="Times New Roman"/>
                <w:sz w:val="18"/>
                <w:szCs w:val="18"/>
                <w:lang w:eastAsia="de-DE"/>
              </w:rPr>
            </w:pPr>
            <w:r>
              <w:rPr>
                <w:rFonts w:eastAsia="Times New Roman" w:cs="Times New Roman"/>
                <w:sz w:val="18"/>
                <w:szCs w:val="18"/>
                <w:lang w:eastAsia="de-DE"/>
              </w:rPr>
              <w:t>(27.400)</w:t>
            </w:r>
          </w:p>
        </w:tc>
        <w:tc>
          <w:tcPr>
            <w:tcW w:w="1418" w:type="dxa"/>
            <w:tcBorders>
              <w:top w:val="single" w:sz="8" w:space="0" w:color="auto"/>
            </w:tcBorders>
            <w:vAlign w:val="center"/>
          </w:tcPr>
          <w:p w14:paraId="72FE6275" w14:textId="77777777" w:rsidR="007C5508" w:rsidRPr="00AA7367" w:rsidRDefault="007C5508" w:rsidP="00242C12">
            <w:pPr>
              <w:spacing w:after="120"/>
              <w:jc w:val="center"/>
              <w:rPr>
                <w:rFonts w:eastAsia="Times New Roman" w:cs="Times New Roman"/>
                <w:sz w:val="18"/>
                <w:szCs w:val="18"/>
                <w:lang w:eastAsia="de-DE"/>
              </w:rPr>
            </w:pPr>
            <w:r w:rsidRPr="00AA7367">
              <w:rPr>
                <w:rFonts w:eastAsia="Times New Roman" w:cs="Times New Roman"/>
                <w:sz w:val="18"/>
                <w:szCs w:val="18"/>
                <w:lang w:eastAsia="de-DE"/>
              </w:rPr>
              <w:t>50%</w:t>
            </w:r>
          </w:p>
        </w:tc>
        <w:tc>
          <w:tcPr>
            <w:tcW w:w="2268" w:type="dxa"/>
            <w:tcBorders>
              <w:top w:val="single" w:sz="8" w:space="0" w:color="auto"/>
            </w:tcBorders>
            <w:vAlign w:val="center"/>
          </w:tcPr>
          <w:p w14:paraId="24142688" w14:textId="77777777" w:rsidR="007C5508" w:rsidRPr="00AA7367" w:rsidRDefault="007C5508" w:rsidP="007C5508">
            <w:pPr>
              <w:spacing w:after="120"/>
              <w:jc w:val="center"/>
              <w:rPr>
                <w:rFonts w:eastAsia="Times New Roman" w:cs="Times New Roman"/>
                <w:sz w:val="18"/>
                <w:szCs w:val="18"/>
                <w:lang w:eastAsia="de-DE"/>
              </w:rPr>
            </w:pPr>
            <w:r w:rsidRPr="00AA7367">
              <w:rPr>
                <w:rFonts w:eastAsia="Times New Roman" w:cs="Times New Roman"/>
                <w:sz w:val="18"/>
                <w:szCs w:val="18"/>
                <w:lang w:eastAsia="de-DE"/>
              </w:rPr>
              <w:t>&lt;1% /</w:t>
            </w:r>
          </w:p>
          <w:p w14:paraId="3416E4FB" w14:textId="77777777" w:rsidR="007C5508" w:rsidRPr="00AA7367" w:rsidRDefault="007C5508" w:rsidP="00242C12">
            <w:pPr>
              <w:spacing w:after="120"/>
              <w:jc w:val="center"/>
              <w:rPr>
                <w:rFonts w:eastAsia="Times New Roman" w:cs="Times New Roman"/>
                <w:sz w:val="18"/>
                <w:szCs w:val="18"/>
                <w:lang w:eastAsia="de-DE"/>
              </w:rPr>
            </w:pPr>
            <w:r w:rsidRPr="00AA7367">
              <w:rPr>
                <w:rFonts w:eastAsia="Times New Roman" w:cs="Times New Roman"/>
                <w:sz w:val="18"/>
                <w:szCs w:val="18"/>
                <w:lang w:eastAsia="de-DE"/>
              </w:rPr>
              <w:t>großer Rückstand &gt;90%</w:t>
            </w:r>
          </w:p>
        </w:tc>
        <w:tc>
          <w:tcPr>
            <w:tcW w:w="1514" w:type="dxa"/>
            <w:tcBorders>
              <w:top w:val="single" w:sz="8" w:space="0" w:color="auto"/>
              <w:right w:val="single" w:sz="8" w:space="0" w:color="auto"/>
            </w:tcBorders>
            <w:vAlign w:val="center"/>
          </w:tcPr>
          <w:p w14:paraId="6D5B4626" w14:textId="77777777" w:rsidR="007C5508" w:rsidRPr="00AA7367" w:rsidRDefault="00F204F7" w:rsidP="007C5508">
            <w:pPr>
              <w:spacing w:after="120"/>
              <w:jc w:val="center"/>
              <w:rPr>
                <w:rFonts w:eastAsia="Times New Roman" w:cs="Times New Roman"/>
                <w:sz w:val="18"/>
                <w:szCs w:val="18"/>
                <w:lang w:eastAsia="de-DE"/>
              </w:rPr>
            </w:pPr>
            <w:r w:rsidRPr="00AA7367">
              <w:rPr>
                <w:rFonts w:eastAsia="Times New Roman" w:cs="Times New Roman"/>
                <w:sz w:val="18"/>
                <w:szCs w:val="18"/>
                <w:lang w:eastAsia="de-DE"/>
              </w:rPr>
              <w:t>keine Partikel detektierbar</w:t>
            </w:r>
          </w:p>
        </w:tc>
      </w:tr>
      <w:tr w:rsidR="007C5508" w:rsidRPr="00A0224A" w14:paraId="4C4048A0" w14:textId="77777777" w:rsidTr="009E27A0">
        <w:trPr>
          <w:jc w:val="center"/>
        </w:trPr>
        <w:tc>
          <w:tcPr>
            <w:tcW w:w="1845" w:type="dxa"/>
            <w:tcBorders>
              <w:left w:val="single" w:sz="8" w:space="0" w:color="auto"/>
            </w:tcBorders>
            <w:vAlign w:val="center"/>
          </w:tcPr>
          <w:p w14:paraId="307EFFC5" w14:textId="77777777" w:rsidR="007C5508" w:rsidRPr="00AA7367" w:rsidRDefault="007C5508" w:rsidP="00242C12">
            <w:pPr>
              <w:spacing w:after="120"/>
              <w:jc w:val="center"/>
              <w:rPr>
                <w:rFonts w:eastAsia="Times New Roman" w:cs="Times New Roman"/>
                <w:sz w:val="18"/>
                <w:szCs w:val="18"/>
                <w:lang w:eastAsia="de-DE"/>
              </w:rPr>
            </w:pPr>
            <w:r w:rsidRPr="00AA7367">
              <w:rPr>
                <w:rFonts w:eastAsia="Times New Roman" w:cs="Times New Roman"/>
                <w:sz w:val="18"/>
                <w:szCs w:val="18"/>
                <w:lang w:eastAsia="de-DE"/>
              </w:rPr>
              <w:t>Resomer</w:t>
            </w:r>
            <w:r w:rsidR="00216741" w:rsidRPr="00906DB9">
              <w:rPr>
                <w:b/>
                <w:color w:val="000000" w:themeColor="text1"/>
                <w:vertAlign w:val="superscript"/>
              </w:rPr>
              <w:sym w:font="Symbol" w:char="F0D2"/>
            </w:r>
            <w:r w:rsidRPr="00AA7367">
              <w:rPr>
                <w:rFonts w:eastAsia="Times New Roman" w:cs="Times New Roman"/>
                <w:sz w:val="18"/>
                <w:szCs w:val="18"/>
                <w:lang w:eastAsia="de-DE"/>
              </w:rPr>
              <w:t xml:space="preserve"> RG 858 S</w:t>
            </w:r>
          </w:p>
        </w:tc>
        <w:tc>
          <w:tcPr>
            <w:tcW w:w="1807" w:type="dxa"/>
            <w:vAlign w:val="center"/>
          </w:tcPr>
          <w:p w14:paraId="1326E569" w14:textId="77777777" w:rsidR="007C5508" w:rsidRDefault="007C5508" w:rsidP="005D50CA">
            <w:pPr>
              <w:spacing w:after="120" w:line="240" w:lineRule="auto"/>
              <w:jc w:val="center"/>
              <w:rPr>
                <w:rFonts w:eastAsia="Times New Roman" w:cs="Times New Roman"/>
                <w:sz w:val="18"/>
                <w:szCs w:val="18"/>
                <w:lang w:eastAsia="de-DE"/>
              </w:rPr>
            </w:pPr>
            <w:r w:rsidRPr="00AA7367">
              <w:rPr>
                <w:rFonts w:eastAsia="Times New Roman" w:cs="Times New Roman"/>
                <w:sz w:val="18"/>
                <w:szCs w:val="18"/>
                <w:lang w:eastAsia="de-DE"/>
              </w:rPr>
              <w:t>190.000 – 240.000</w:t>
            </w:r>
          </w:p>
          <w:p w14:paraId="563BB380" w14:textId="77777777" w:rsidR="0042603B" w:rsidRPr="00AA7367" w:rsidRDefault="0042603B" w:rsidP="005D50CA">
            <w:pPr>
              <w:spacing w:after="120" w:line="240" w:lineRule="auto"/>
              <w:jc w:val="center"/>
              <w:rPr>
                <w:rFonts w:eastAsia="Times New Roman" w:cs="Times New Roman"/>
                <w:sz w:val="18"/>
                <w:szCs w:val="18"/>
                <w:lang w:eastAsia="de-DE"/>
              </w:rPr>
            </w:pPr>
            <w:r>
              <w:rPr>
                <w:rFonts w:eastAsia="Times New Roman" w:cs="Times New Roman"/>
                <w:sz w:val="18"/>
                <w:szCs w:val="18"/>
                <w:lang w:eastAsia="de-DE"/>
              </w:rPr>
              <w:t>(154.000)</w:t>
            </w:r>
          </w:p>
        </w:tc>
        <w:tc>
          <w:tcPr>
            <w:tcW w:w="1418" w:type="dxa"/>
            <w:vAlign w:val="center"/>
          </w:tcPr>
          <w:p w14:paraId="4B6224D8" w14:textId="77777777" w:rsidR="007C5508" w:rsidRPr="00AA7367" w:rsidRDefault="007C5508" w:rsidP="00242C12">
            <w:pPr>
              <w:spacing w:after="120"/>
              <w:jc w:val="center"/>
              <w:rPr>
                <w:rFonts w:eastAsia="Times New Roman" w:cs="Times New Roman"/>
                <w:sz w:val="18"/>
                <w:szCs w:val="18"/>
                <w:lang w:eastAsia="de-DE"/>
              </w:rPr>
            </w:pPr>
            <w:r w:rsidRPr="00AA7367">
              <w:rPr>
                <w:rFonts w:eastAsia="Times New Roman" w:cs="Times New Roman"/>
                <w:sz w:val="18"/>
                <w:szCs w:val="18"/>
                <w:lang w:eastAsia="de-DE"/>
              </w:rPr>
              <w:t>15%</w:t>
            </w:r>
          </w:p>
        </w:tc>
        <w:tc>
          <w:tcPr>
            <w:tcW w:w="2268" w:type="dxa"/>
            <w:vAlign w:val="center"/>
          </w:tcPr>
          <w:p w14:paraId="0F2C492A" w14:textId="77777777" w:rsidR="007C5508" w:rsidRPr="00AA7367" w:rsidRDefault="007C5508" w:rsidP="007C5508">
            <w:pPr>
              <w:spacing w:after="120"/>
              <w:jc w:val="center"/>
              <w:rPr>
                <w:rFonts w:eastAsia="Times New Roman" w:cs="Times New Roman"/>
                <w:sz w:val="18"/>
                <w:szCs w:val="18"/>
                <w:lang w:eastAsia="de-DE"/>
              </w:rPr>
            </w:pPr>
            <w:r w:rsidRPr="00AA7367">
              <w:rPr>
                <w:rFonts w:eastAsia="Times New Roman" w:cs="Times New Roman"/>
                <w:sz w:val="18"/>
                <w:szCs w:val="18"/>
                <w:lang w:eastAsia="de-DE"/>
              </w:rPr>
              <w:t>2% /</w:t>
            </w:r>
          </w:p>
          <w:p w14:paraId="30FF89CE" w14:textId="77777777" w:rsidR="007C5508" w:rsidRPr="00AA7367" w:rsidRDefault="007C5508" w:rsidP="00242C12">
            <w:pPr>
              <w:spacing w:after="120"/>
              <w:jc w:val="center"/>
              <w:rPr>
                <w:rFonts w:eastAsia="Times New Roman" w:cs="Times New Roman"/>
                <w:sz w:val="18"/>
                <w:szCs w:val="18"/>
                <w:lang w:eastAsia="de-DE"/>
              </w:rPr>
            </w:pPr>
            <w:r w:rsidRPr="00AA7367">
              <w:rPr>
                <w:rFonts w:eastAsia="Times New Roman" w:cs="Times New Roman"/>
                <w:sz w:val="18"/>
                <w:szCs w:val="18"/>
                <w:lang w:eastAsia="de-DE"/>
              </w:rPr>
              <w:t>großer Rückstand &gt;90%</w:t>
            </w:r>
          </w:p>
        </w:tc>
        <w:tc>
          <w:tcPr>
            <w:tcW w:w="1514" w:type="dxa"/>
            <w:tcBorders>
              <w:right w:val="single" w:sz="8" w:space="0" w:color="auto"/>
            </w:tcBorders>
            <w:vAlign w:val="center"/>
          </w:tcPr>
          <w:p w14:paraId="56566A7E" w14:textId="77777777" w:rsidR="00F204F7" w:rsidRPr="00AA7367" w:rsidRDefault="00F204F7" w:rsidP="00F204F7">
            <w:pPr>
              <w:spacing w:after="120"/>
              <w:jc w:val="center"/>
              <w:rPr>
                <w:rFonts w:eastAsia="Times New Roman" w:cs="Times New Roman"/>
                <w:sz w:val="18"/>
                <w:szCs w:val="18"/>
                <w:lang w:eastAsia="de-DE"/>
              </w:rPr>
            </w:pPr>
            <w:r w:rsidRPr="00AA7367">
              <w:rPr>
                <w:rFonts w:eastAsia="Times New Roman" w:cs="Times New Roman"/>
                <w:sz w:val="18"/>
                <w:szCs w:val="18"/>
                <w:lang w:eastAsia="de-DE"/>
              </w:rPr>
              <w:t>200 – 300 nm</w:t>
            </w:r>
          </w:p>
        </w:tc>
      </w:tr>
      <w:tr w:rsidR="007C5508" w:rsidRPr="00A0224A" w14:paraId="08FEA7B0" w14:textId="77777777" w:rsidTr="009E27A0">
        <w:trPr>
          <w:jc w:val="center"/>
        </w:trPr>
        <w:tc>
          <w:tcPr>
            <w:tcW w:w="1845" w:type="dxa"/>
            <w:tcBorders>
              <w:left w:val="single" w:sz="8" w:space="0" w:color="auto"/>
            </w:tcBorders>
            <w:vAlign w:val="center"/>
          </w:tcPr>
          <w:p w14:paraId="592F0EB2" w14:textId="77777777" w:rsidR="007C5508" w:rsidRPr="00AA7367" w:rsidRDefault="007C5508" w:rsidP="00242C12">
            <w:pPr>
              <w:spacing w:after="120"/>
              <w:jc w:val="center"/>
              <w:rPr>
                <w:rFonts w:eastAsia="Times New Roman" w:cs="Times New Roman"/>
                <w:sz w:val="18"/>
                <w:szCs w:val="18"/>
                <w:lang w:eastAsia="de-DE"/>
              </w:rPr>
            </w:pPr>
            <w:r w:rsidRPr="00AA7367">
              <w:rPr>
                <w:rFonts w:eastAsia="Times New Roman" w:cs="Times New Roman"/>
                <w:sz w:val="18"/>
                <w:szCs w:val="18"/>
                <w:lang w:eastAsia="de-DE"/>
              </w:rPr>
              <w:t>Resomer</w:t>
            </w:r>
            <w:r w:rsidR="00216741" w:rsidRPr="00906DB9">
              <w:rPr>
                <w:b/>
                <w:color w:val="000000" w:themeColor="text1"/>
                <w:vertAlign w:val="superscript"/>
              </w:rPr>
              <w:sym w:font="Symbol" w:char="F0D2"/>
            </w:r>
            <w:r w:rsidRPr="00AA7367">
              <w:rPr>
                <w:rFonts w:eastAsia="Times New Roman" w:cs="Times New Roman"/>
                <w:sz w:val="18"/>
                <w:szCs w:val="18"/>
                <w:lang w:eastAsia="de-DE"/>
              </w:rPr>
              <w:t xml:space="preserve"> RG 753 H</w:t>
            </w:r>
          </w:p>
        </w:tc>
        <w:tc>
          <w:tcPr>
            <w:tcW w:w="1807" w:type="dxa"/>
            <w:vAlign w:val="center"/>
          </w:tcPr>
          <w:p w14:paraId="7D53A411" w14:textId="77777777" w:rsidR="007C5508" w:rsidRDefault="007C5508" w:rsidP="005D50CA">
            <w:pPr>
              <w:spacing w:after="120" w:line="240" w:lineRule="auto"/>
              <w:jc w:val="center"/>
              <w:rPr>
                <w:rFonts w:eastAsia="Times New Roman" w:cs="Times New Roman"/>
                <w:sz w:val="18"/>
                <w:szCs w:val="18"/>
                <w:lang w:eastAsia="de-DE"/>
              </w:rPr>
            </w:pPr>
            <w:r w:rsidRPr="00AA7367">
              <w:rPr>
                <w:rFonts w:eastAsia="Times New Roman" w:cs="Times New Roman"/>
                <w:sz w:val="18"/>
                <w:szCs w:val="18"/>
                <w:lang w:eastAsia="de-DE"/>
              </w:rPr>
              <w:t>22.000 – 36.000</w:t>
            </w:r>
          </w:p>
          <w:p w14:paraId="0CCA257A" w14:textId="77777777" w:rsidR="005D50CA" w:rsidRPr="00AA7367" w:rsidRDefault="005D50CA" w:rsidP="005D50CA">
            <w:pPr>
              <w:spacing w:after="120" w:line="240" w:lineRule="auto"/>
              <w:jc w:val="center"/>
              <w:rPr>
                <w:rFonts w:eastAsia="Times New Roman" w:cs="Times New Roman"/>
                <w:sz w:val="18"/>
                <w:szCs w:val="18"/>
                <w:lang w:eastAsia="de-DE"/>
              </w:rPr>
            </w:pPr>
            <w:r>
              <w:rPr>
                <w:rFonts w:eastAsia="Times New Roman" w:cs="Times New Roman"/>
                <w:sz w:val="18"/>
                <w:szCs w:val="18"/>
                <w:lang w:eastAsia="de-DE"/>
              </w:rPr>
              <w:t>(32.800)</w:t>
            </w:r>
          </w:p>
        </w:tc>
        <w:tc>
          <w:tcPr>
            <w:tcW w:w="1418" w:type="dxa"/>
            <w:vAlign w:val="center"/>
          </w:tcPr>
          <w:p w14:paraId="420C7231" w14:textId="77777777" w:rsidR="007C5508" w:rsidRPr="00AA7367" w:rsidRDefault="007C5508" w:rsidP="00242C12">
            <w:pPr>
              <w:spacing w:after="120"/>
              <w:jc w:val="center"/>
              <w:rPr>
                <w:rFonts w:eastAsia="Times New Roman" w:cs="Times New Roman"/>
                <w:sz w:val="18"/>
                <w:szCs w:val="18"/>
                <w:lang w:eastAsia="de-DE"/>
              </w:rPr>
            </w:pPr>
            <w:r w:rsidRPr="00AA7367">
              <w:rPr>
                <w:rFonts w:eastAsia="Times New Roman" w:cs="Times New Roman"/>
                <w:sz w:val="18"/>
                <w:szCs w:val="18"/>
                <w:lang w:eastAsia="de-DE"/>
              </w:rPr>
              <w:t>25%</w:t>
            </w:r>
          </w:p>
        </w:tc>
        <w:tc>
          <w:tcPr>
            <w:tcW w:w="2268" w:type="dxa"/>
            <w:vAlign w:val="center"/>
          </w:tcPr>
          <w:p w14:paraId="72859678" w14:textId="77777777" w:rsidR="007C5508" w:rsidRPr="00AA7367" w:rsidRDefault="007C5508" w:rsidP="007C5508">
            <w:pPr>
              <w:spacing w:after="120"/>
              <w:jc w:val="center"/>
              <w:rPr>
                <w:rFonts w:eastAsia="Times New Roman" w:cs="Times New Roman"/>
                <w:sz w:val="18"/>
                <w:szCs w:val="18"/>
                <w:lang w:eastAsia="de-DE"/>
              </w:rPr>
            </w:pPr>
            <w:r w:rsidRPr="00AA7367">
              <w:rPr>
                <w:rFonts w:eastAsia="Times New Roman" w:cs="Times New Roman"/>
                <w:sz w:val="18"/>
                <w:szCs w:val="18"/>
                <w:lang w:eastAsia="de-DE"/>
              </w:rPr>
              <w:t>5% /</w:t>
            </w:r>
          </w:p>
          <w:p w14:paraId="09EA5D2D" w14:textId="77777777" w:rsidR="007C5508" w:rsidRPr="00AA7367" w:rsidRDefault="00D10D29" w:rsidP="00242C12">
            <w:pPr>
              <w:spacing w:after="120"/>
              <w:jc w:val="center"/>
              <w:rPr>
                <w:rFonts w:eastAsia="Times New Roman" w:cs="Times New Roman"/>
                <w:sz w:val="18"/>
                <w:szCs w:val="18"/>
                <w:lang w:eastAsia="de-DE"/>
              </w:rPr>
            </w:pPr>
            <w:r w:rsidRPr="00AA7367">
              <w:rPr>
                <w:rFonts w:eastAsia="Times New Roman" w:cs="Times New Roman"/>
                <w:sz w:val="18"/>
                <w:szCs w:val="18"/>
                <w:lang w:eastAsia="de-DE"/>
              </w:rPr>
              <w:t>Rückstand ca.4</w:t>
            </w:r>
            <w:r w:rsidR="007C5508" w:rsidRPr="00AA7367">
              <w:rPr>
                <w:rFonts w:eastAsia="Times New Roman" w:cs="Times New Roman"/>
                <w:sz w:val="18"/>
                <w:szCs w:val="18"/>
                <w:lang w:eastAsia="de-DE"/>
              </w:rPr>
              <w:t>0%</w:t>
            </w:r>
          </w:p>
        </w:tc>
        <w:tc>
          <w:tcPr>
            <w:tcW w:w="1514" w:type="dxa"/>
            <w:tcBorders>
              <w:right w:val="single" w:sz="8" w:space="0" w:color="auto"/>
            </w:tcBorders>
            <w:vAlign w:val="center"/>
          </w:tcPr>
          <w:p w14:paraId="7F054A41" w14:textId="77777777" w:rsidR="007C5508" w:rsidRPr="00AA7367" w:rsidRDefault="00F204F7" w:rsidP="007C5508">
            <w:pPr>
              <w:spacing w:after="120"/>
              <w:jc w:val="center"/>
              <w:rPr>
                <w:rFonts w:eastAsia="Times New Roman" w:cs="Times New Roman"/>
                <w:sz w:val="18"/>
                <w:szCs w:val="18"/>
                <w:lang w:eastAsia="de-DE"/>
              </w:rPr>
            </w:pPr>
            <w:r w:rsidRPr="00AA7367">
              <w:rPr>
                <w:rFonts w:eastAsia="Times New Roman" w:cs="Times New Roman"/>
                <w:sz w:val="18"/>
                <w:szCs w:val="18"/>
                <w:lang w:eastAsia="de-DE"/>
              </w:rPr>
              <w:t>350 –</w:t>
            </w:r>
            <w:r w:rsidR="0008744C" w:rsidRPr="00AA7367">
              <w:rPr>
                <w:rFonts w:eastAsia="Times New Roman" w:cs="Times New Roman"/>
                <w:sz w:val="18"/>
                <w:szCs w:val="18"/>
                <w:lang w:eastAsia="de-DE"/>
              </w:rPr>
              <w:t xml:space="preserve"> 450</w:t>
            </w:r>
            <w:r w:rsidRPr="00AA7367">
              <w:rPr>
                <w:rFonts w:eastAsia="Times New Roman" w:cs="Times New Roman"/>
                <w:sz w:val="18"/>
                <w:szCs w:val="18"/>
                <w:lang w:eastAsia="de-DE"/>
              </w:rPr>
              <w:t xml:space="preserve"> nm</w:t>
            </w:r>
          </w:p>
        </w:tc>
      </w:tr>
      <w:tr w:rsidR="007C5508" w:rsidRPr="00A0224A" w14:paraId="5069B728" w14:textId="77777777" w:rsidTr="009E27A0">
        <w:trPr>
          <w:jc w:val="center"/>
        </w:trPr>
        <w:tc>
          <w:tcPr>
            <w:tcW w:w="1845" w:type="dxa"/>
            <w:tcBorders>
              <w:left w:val="single" w:sz="8" w:space="0" w:color="auto"/>
              <w:bottom w:val="single" w:sz="8" w:space="0" w:color="auto"/>
            </w:tcBorders>
            <w:vAlign w:val="center"/>
          </w:tcPr>
          <w:p w14:paraId="2C73B905" w14:textId="77777777" w:rsidR="007C5508" w:rsidRPr="00AA7367" w:rsidRDefault="007C5508" w:rsidP="00242C12">
            <w:pPr>
              <w:spacing w:after="120"/>
              <w:jc w:val="center"/>
              <w:rPr>
                <w:rFonts w:eastAsia="Times New Roman" w:cs="Times New Roman"/>
                <w:sz w:val="18"/>
                <w:szCs w:val="18"/>
                <w:lang w:eastAsia="de-DE"/>
              </w:rPr>
            </w:pPr>
            <w:r w:rsidRPr="00AA7367">
              <w:rPr>
                <w:rFonts w:eastAsia="Times New Roman" w:cs="Times New Roman"/>
                <w:sz w:val="18"/>
                <w:szCs w:val="18"/>
                <w:lang w:eastAsia="de-DE"/>
              </w:rPr>
              <w:t>Resomer</w:t>
            </w:r>
            <w:r w:rsidR="00216741" w:rsidRPr="00906DB9">
              <w:rPr>
                <w:b/>
                <w:color w:val="000000" w:themeColor="text1"/>
                <w:vertAlign w:val="superscript"/>
              </w:rPr>
              <w:sym w:font="Symbol" w:char="F0D2"/>
            </w:r>
            <w:r w:rsidRPr="00AA7367">
              <w:rPr>
                <w:rFonts w:eastAsia="Times New Roman" w:cs="Times New Roman"/>
                <w:sz w:val="18"/>
                <w:szCs w:val="18"/>
                <w:lang w:eastAsia="de-DE"/>
              </w:rPr>
              <w:t xml:space="preserve"> RG 752 H</w:t>
            </w:r>
          </w:p>
        </w:tc>
        <w:tc>
          <w:tcPr>
            <w:tcW w:w="0" w:type="auto"/>
            <w:tcBorders>
              <w:bottom w:val="single" w:sz="8" w:space="0" w:color="auto"/>
            </w:tcBorders>
            <w:vAlign w:val="center"/>
          </w:tcPr>
          <w:p w14:paraId="6E8DC37D" w14:textId="77777777" w:rsidR="007C5508" w:rsidRPr="005D50CA" w:rsidRDefault="005D50CA" w:rsidP="005D50CA">
            <w:pPr>
              <w:spacing w:after="120" w:line="240" w:lineRule="auto"/>
              <w:jc w:val="center"/>
              <w:rPr>
                <w:rFonts w:eastAsia="Times New Roman" w:cs="Times New Roman"/>
                <w:sz w:val="18"/>
                <w:szCs w:val="18"/>
                <w:lang w:eastAsia="de-DE"/>
              </w:rPr>
            </w:pPr>
            <w:r>
              <w:rPr>
                <w:rFonts w:eastAsia="Times New Roman" w:cs="Times New Roman"/>
                <w:sz w:val="18"/>
                <w:szCs w:val="18"/>
                <w:lang w:eastAsia="de-DE"/>
              </w:rPr>
              <w:t xml:space="preserve">4.000 </w:t>
            </w:r>
            <w:r w:rsidR="007C5508" w:rsidRPr="005D50CA">
              <w:rPr>
                <w:rFonts w:eastAsia="Times New Roman" w:cs="Times New Roman"/>
                <w:sz w:val="18"/>
                <w:szCs w:val="18"/>
                <w:lang w:eastAsia="de-DE"/>
              </w:rPr>
              <w:t>– 15.000</w:t>
            </w:r>
          </w:p>
          <w:p w14:paraId="4F9187F9" w14:textId="77777777" w:rsidR="005D50CA" w:rsidRPr="005D50CA" w:rsidRDefault="005D50CA" w:rsidP="005D50CA">
            <w:pPr>
              <w:spacing w:after="120" w:line="240" w:lineRule="auto"/>
              <w:jc w:val="center"/>
              <w:rPr>
                <w:rFonts w:eastAsia="Times New Roman" w:cs="Times New Roman"/>
                <w:sz w:val="18"/>
                <w:szCs w:val="18"/>
                <w:lang w:eastAsia="de-DE"/>
              </w:rPr>
            </w:pPr>
            <w:r>
              <w:rPr>
                <w:rFonts w:eastAsia="Times New Roman" w:cs="Times New Roman"/>
                <w:sz w:val="18"/>
                <w:szCs w:val="18"/>
                <w:lang w:eastAsia="de-DE"/>
              </w:rPr>
              <w:t>(11.200)</w:t>
            </w:r>
          </w:p>
        </w:tc>
        <w:tc>
          <w:tcPr>
            <w:tcW w:w="1418" w:type="dxa"/>
            <w:tcBorders>
              <w:bottom w:val="single" w:sz="8" w:space="0" w:color="auto"/>
            </w:tcBorders>
            <w:vAlign w:val="center"/>
          </w:tcPr>
          <w:p w14:paraId="1D1A3526" w14:textId="77777777" w:rsidR="007C5508" w:rsidRPr="00AA7367" w:rsidRDefault="007C5508" w:rsidP="00242C12">
            <w:pPr>
              <w:spacing w:after="120"/>
              <w:jc w:val="center"/>
              <w:rPr>
                <w:rFonts w:eastAsia="Times New Roman" w:cs="Times New Roman"/>
                <w:sz w:val="18"/>
                <w:szCs w:val="18"/>
                <w:lang w:eastAsia="de-DE"/>
              </w:rPr>
            </w:pPr>
            <w:r w:rsidRPr="00AA7367">
              <w:rPr>
                <w:rFonts w:eastAsia="Times New Roman" w:cs="Times New Roman"/>
                <w:sz w:val="18"/>
                <w:szCs w:val="18"/>
                <w:lang w:eastAsia="de-DE"/>
              </w:rPr>
              <w:t>25%</w:t>
            </w:r>
          </w:p>
        </w:tc>
        <w:tc>
          <w:tcPr>
            <w:tcW w:w="2268" w:type="dxa"/>
            <w:tcBorders>
              <w:bottom w:val="single" w:sz="8" w:space="0" w:color="auto"/>
            </w:tcBorders>
            <w:vAlign w:val="center"/>
          </w:tcPr>
          <w:p w14:paraId="1175B68B" w14:textId="77777777" w:rsidR="007C5508" w:rsidRPr="00AA7367" w:rsidRDefault="007C5508" w:rsidP="007C5508">
            <w:pPr>
              <w:spacing w:after="120"/>
              <w:jc w:val="center"/>
              <w:rPr>
                <w:rFonts w:eastAsia="Times New Roman" w:cs="Times New Roman"/>
                <w:sz w:val="18"/>
                <w:szCs w:val="18"/>
                <w:lang w:eastAsia="de-DE"/>
              </w:rPr>
            </w:pPr>
            <w:r w:rsidRPr="00AA7367">
              <w:rPr>
                <w:rFonts w:eastAsia="Times New Roman" w:cs="Times New Roman"/>
                <w:sz w:val="18"/>
                <w:szCs w:val="18"/>
                <w:lang w:eastAsia="de-DE"/>
              </w:rPr>
              <w:t>40% /</w:t>
            </w:r>
          </w:p>
          <w:p w14:paraId="6BE8ADC3" w14:textId="77777777" w:rsidR="007C5508" w:rsidRPr="00AA7367" w:rsidRDefault="007C5508" w:rsidP="00242C12">
            <w:pPr>
              <w:spacing w:after="120"/>
              <w:jc w:val="center"/>
              <w:rPr>
                <w:rFonts w:eastAsia="Times New Roman" w:cs="Times New Roman"/>
                <w:sz w:val="18"/>
                <w:szCs w:val="18"/>
                <w:lang w:eastAsia="de-DE"/>
              </w:rPr>
            </w:pPr>
            <w:r w:rsidRPr="00AA7367">
              <w:rPr>
                <w:rFonts w:eastAsia="Times New Roman" w:cs="Times New Roman"/>
                <w:sz w:val="18"/>
                <w:szCs w:val="18"/>
                <w:lang w:eastAsia="de-DE"/>
              </w:rPr>
              <w:t>kein Rückstand &lt;1%</w:t>
            </w:r>
          </w:p>
        </w:tc>
        <w:tc>
          <w:tcPr>
            <w:tcW w:w="1514" w:type="dxa"/>
            <w:tcBorders>
              <w:bottom w:val="single" w:sz="8" w:space="0" w:color="auto"/>
              <w:right w:val="single" w:sz="8" w:space="0" w:color="auto"/>
            </w:tcBorders>
            <w:vAlign w:val="center"/>
          </w:tcPr>
          <w:p w14:paraId="585F05AE" w14:textId="77777777" w:rsidR="007C5508" w:rsidRPr="00AA7367" w:rsidRDefault="00F204F7" w:rsidP="007C5508">
            <w:pPr>
              <w:spacing w:after="120"/>
              <w:jc w:val="center"/>
              <w:rPr>
                <w:rFonts w:eastAsia="Times New Roman" w:cs="Times New Roman"/>
                <w:sz w:val="18"/>
                <w:szCs w:val="18"/>
                <w:lang w:eastAsia="de-DE"/>
              </w:rPr>
            </w:pPr>
            <w:r w:rsidRPr="00AA7367">
              <w:rPr>
                <w:rFonts w:eastAsia="Times New Roman" w:cs="Times New Roman"/>
                <w:sz w:val="18"/>
                <w:szCs w:val="18"/>
                <w:lang w:eastAsia="de-DE"/>
              </w:rPr>
              <w:t>300 – 400 nm</w:t>
            </w:r>
          </w:p>
        </w:tc>
      </w:tr>
    </w:tbl>
    <w:p w14:paraId="02A4564C" w14:textId="77777777" w:rsidR="00242C12" w:rsidRDefault="00242C12" w:rsidP="00981401"/>
    <w:p w14:paraId="758F5023" w14:textId="77777777" w:rsidR="009911B7" w:rsidRPr="00824158" w:rsidRDefault="005314F7" w:rsidP="00981401">
      <w:r w:rsidRPr="005314F7">
        <w:t>Ob</w:t>
      </w:r>
      <w:r w:rsidR="003A6B39">
        <w:t>wohl sich laut Conway et al. ein</w:t>
      </w:r>
      <w:r w:rsidRPr="005314F7">
        <w:t xml:space="preserve"> erhöhte</w:t>
      </w:r>
      <w:r w:rsidR="003A6B39">
        <w:t>r</w:t>
      </w:r>
      <w:r w:rsidRPr="005314F7">
        <w:t xml:space="preserve"> Glycolid-Anteil negativ auf die Löslichkeit in überkritischem CO</w:t>
      </w:r>
      <w:r w:rsidRPr="005314F7">
        <w:rPr>
          <w:vertAlign w:val="subscript"/>
        </w:rPr>
        <w:t>2</w:t>
      </w:r>
      <w:r w:rsidRPr="005314F7">
        <w:t xml:space="preserve"> auswirken sollte</w:t>
      </w:r>
      <w:r w:rsidRPr="005314F7">
        <w:rPr>
          <w:vertAlign w:val="superscript"/>
        </w:rPr>
        <w:endnoteReference w:id="160"/>
      </w:r>
      <w:r w:rsidRPr="005314F7">
        <w:t xml:space="preserve">, wurde für </w:t>
      </w:r>
      <w:r w:rsidR="003A6B39">
        <w:t>Resomer</w:t>
      </w:r>
      <w:r w:rsidR="001651EE">
        <w:rPr>
          <w:vertAlign w:val="superscript"/>
        </w:rPr>
        <w:sym w:font="Symbol" w:char="F0D2"/>
      </w:r>
      <w:r w:rsidR="003A6B39">
        <w:t xml:space="preserve"> RG 752 </w:t>
      </w:r>
      <w:r w:rsidRPr="005314F7">
        <w:t>H (Glycolid-</w:t>
      </w:r>
      <w:r w:rsidR="0042603B">
        <w:t>Anteil 25%, MW 11.200</w:t>
      </w:r>
      <w:r w:rsidR="003A6B39">
        <w:t> </w:t>
      </w:r>
      <w:r w:rsidRPr="005314F7">
        <w:t>g/mol) überraschender Weise eine deutlich bessere Löslichkeit im überkritischen CO</w:t>
      </w:r>
      <w:r w:rsidRPr="005314F7">
        <w:rPr>
          <w:vertAlign w:val="subscript"/>
        </w:rPr>
        <w:t>2</w:t>
      </w:r>
      <w:r w:rsidRPr="005314F7">
        <w:t>-Eth</w:t>
      </w:r>
      <w:r w:rsidR="003A6B39">
        <w:t>anol-Gemisch im Vergleich zu Resomer</w:t>
      </w:r>
      <w:r w:rsidR="00216741" w:rsidRPr="00216741">
        <w:rPr>
          <w:b/>
          <w:vertAlign w:val="superscript"/>
        </w:rPr>
        <w:sym w:font="Symbol" w:char="F0D2"/>
      </w:r>
      <w:r w:rsidR="003A6B39">
        <w:t xml:space="preserve"> RG 858 </w:t>
      </w:r>
      <w:r w:rsidRPr="005314F7">
        <w:t>S (Glycolid-Anteil 15%</w:t>
      </w:r>
      <w:r>
        <w:t>,</w:t>
      </w:r>
      <w:r w:rsidR="0042603B">
        <w:t xml:space="preserve"> MW 154.000</w:t>
      </w:r>
      <w:r w:rsidR="003A6B39">
        <w:t> </w:t>
      </w:r>
      <w:r w:rsidRPr="005314F7">
        <w:t xml:space="preserve">g/mol) beobachtet. Dieser Effekt kann dadurch erklärt werden, dass der negative Einfluss des höheren Glycolid-Anteils </w:t>
      </w:r>
      <w:r w:rsidR="0042603B">
        <w:t xml:space="preserve">auf die Löslichkeit </w:t>
      </w:r>
      <w:r w:rsidRPr="005314F7">
        <w:t>durch den positiven des erheblich geringeren Molekulargewichts überkompensiert wird.</w:t>
      </w:r>
      <w:r w:rsidR="00AE5A43">
        <w:t xml:space="preserve"> </w:t>
      </w:r>
      <w:r w:rsidR="00824158">
        <w:t>Diese Erklärung steht mit den Ergebnissen einer Untersuchung von Tom e</w:t>
      </w:r>
      <w:r w:rsidR="00CC069D">
        <w:t>t al. aus dem Jahre 1991 in</w:t>
      </w:r>
      <w:r w:rsidR="00824158">
        <w:t xml:space="preserve"> Einklang. Sie fanden heraus,</w:t>
      </w:r>
      <w:r w:rsidR="00E25931">
        <w:t xml:space="preserve"> dass die Löslichkeit von Polyhydroxysäuren in überkritischem CO</w:t>
      </w:r>
      <w:r w:rsidR="00E25931">
        <w:rPr>
          <w:vertAlign w:val="subscript"/>
        </w:rPr>
        <w:t>2</w:t>
      </w:r>
      <w:r w:rsidR="00824158">
        <w:t xml:space="preserve"> mit abnehmendem Molekulargewicht steigt</w:t>
      </w:r>
      <w:r w:rsidR="00D16240">
        <w:fldChar w:fldCharType="begin"/>
      </w:r>
      <w:r w:rsidR="00824158">
        <w:instrText xml:space="preserve"> NOTEREF _Ref284377525 \f \h </w:instrText>
      </w:r>
      <w:r w:rsidR="00D16240">
        <w:fldChar w:fldCharType="separate"/>
      </w:r>
      <w:r w:rsidR="00711AB8" w:rsidRPr="00711AB8">
        <w:rPr>
          <w:rStyle w:val="Endnotenzeichen"/>
        </w:rPr>
        <w:t>163</w:t>
      </w:r>
      <w:r w:rsidR="00D16240">
        <w:fldChar w:fldCharType="end"/>
      </w:r>
      <w:r w:rsidR="00824158">
        <w:t>.</w:t>
      </w:r>
    </w:p>
    <w:p w14:paraId="16024734" w14:textId="77777777" w:rsidR="005314F7" w:rsidRDefault="00CC069D" w:rsidP="00981401">
      <w:r>
        <w:t xml:space="preserve">In der vorliegenden Arbeit wurde die Löslichkeit der in </w:t>
      </w:r>
      <w:r w:rsidR="00D16240">
        <w:fldChar w:fldCharType="begin"/>
      </w:r>
      <w:r>
        <w:instrText xml:space="preserve"> REF _Ref268460804 \h </w:instrText>
      </w:r>
      <w:r w:rsidR="00D16240">
        <w:fldChar w:fldCharType="separate"/>
      </w:r>
      <w:r w:rsidR="00711AB8" w:rsidRPr="009F3041">
        <w:t xml:space="preserve">Tabelle </w:t>
      </w:r>
      <w:r w:rsidR="00711AB8">
        <w:rPr>
          <w:noProof/>
        </w:rPr>
        <w:t>28</w:t>
      </w:r>
      <w:r w:rsidR="00D16240">
        <w:fldChar w:fldCharType="end"/>
      </w:r>
      <w:r>
        <w:t xml:space="preserve"> aufgeführten</w:t>
      </w:r>
      <w:r w:rsidR="005314F7">
        <w:t xml:space="preserve"> PLGA Pol</w:t>
      </w:r>
      <w:r w:rsidR="001651EE">
        <w:t>ymere</w:t>
      </w:r>
      <w:r w:rsidR="009911B7">
        <w:t xml:space="preserve"> in überkritischem Gemisch von CO</w:t>
      </w:r>
      <w:r w:rsidR="009911B7" w:rsidRPr="009911B7">
        <w:rPr>
          <w:vertAlign w:val="subscript"/>
        </w:rPr>
        <w:t>2</w:t>
      </w:r>
      <w:r w:rsidR="009911B7">
        <w:t xml:space="preserve"> und Ethanol</w:t>
      </w:r>
      <w:r>
        <w:t xml:space="preserve"> untersucht.</w:t>
      </w:r>
      <w:r w:rsidR="00824158">
        <w:t xml:space="preserve"> </w:t>
      </w:r>
      <w:r>
        <w:t>Dabei wurden</w:t>
      </w:r>
      <w:r w:rsidR="00824158">
        <w:t xml:space="preserve"> </w:t>
      </w:r>
      <w:r w:rsidR="009911B7">
        <w:t>folgende Trends beobachtet: Mit steigendem Glycolid-Anteil und mit steigendem</w:t>
      </w:r>
      <w:r w:rsidR="006D382E">
        <w:t xml:space="preserve"> </w:t>
      </w:r>
      <w:r w:rsidR="009911B7">
        <w:t>Molekulargewicht nimmt die Löslichkeit jeweils ab. Das Molekulargewicht hat dabei einen größeren Einfluss als das Lactid zu Glycolid-Verhältnis.</w:t>
      </w:r>
    </w:p>
    <w:p w14:paraId="70726370" w14:textId="77777777" w:rsidR="009911B7" w:rsidRPr="009911B7" w:rsidRDefault="009911B7" w:rsidP="009911B7">
      <w:r>
        <w:t>Durch den kontinuierliche</w:t>
      </w:r>
      <w:r w:rsidR="009F6BC3">
        <w:t>n Betrieb konnte die Ausbeute von Partikeln aus</w:t>
      </w:r>
      <w:r>
        <w:t xml:space="preserve"> Resomer</w:t>
      </w:r>
      <w:r w:rsidR="001651EE">
        <w:rPr>
          <w:vertAlign w:val="superscript"/>
        </w:rPr>
        <w:sym w:font="Symbol" w:char="F0D2"/>
      </w:r>
      <w:r w:rsidRPr="009911B7">
        <w:t xml:space="preserve"> RG 752 </w:t>
      </w:r>
      <w:r>
        <w:t>H deutlich erhöht</w:t>
      </w:r>
      <w:r w:rsidRPr="009911B7">
        <w:t xml:space="preserve"> werden. Vor der Umsetzung der beschriebenen Modifikationen verblieb der größte Teil des Polymers nach Versuchsende im Druckbehälter (&gt;90%). Nun konnte nach Versuchsende bis auf geringfügige, kaum sichtbare Spuren keine erfassbare Menge an ungelöstem Polymer als Rückstand im</w:t>
      </w:r>
      <w:r w:rsidR="001C4F2D">
        <w:t xml:space="preserve"> Druckbehälter gefunden werden.</w:t>
      </w:r>
      <w:r w:rsidR="001D3380">
        <w:t xml:space="preserve"> Dies war selbst bei Erhöhung der eingesetzten Polymermenge auf 7,0 g der Fall.</w:t>
      </w:r>
    </w:p>
    <w:p w14:paraId="6F5DBFD0" w14:textId="77777777" w:rsidR="009911B7" w:rsidRPr="009911B7" w:rsidRDefault="0042603B" w:rsidP="009911B7">
      <w:r>
        <w:lastRenderedPageBreak/>
        <w:t>D</w:t>
      </w:r>
      <w:r w:rsidR="009911B7" w:rsidRPr="009911B7">
        <w:t xml:space="preserve">urch die </w:t>
      </w:r>
      <w:r w:rsidR="001651EE">
        <w:t xml:space="preserve">beschriebenen </w:t>
      </w:r>
      <w:r w:rsidR="009911B7" w:rsidRPr="009911B7">
        <w:t>Erweiterungen der Anlage zum semi-kontin</w:t>
      </w:r>
      <w:r w:rsidR="009911B7">
        <w:t xml:space="preserve">uierlichen Betrieb </w:t>
      </w:r>
      <w:r>
        <w:t xml:space="preserve">wurde </w:t>
      </w:r>
      <w:r w:rsidR="009911B7">
        <w:t xml:space="preserve">die </w:t>
      </w:r>
      <w:r>
        <w:t>Partikela</w:t>
      </w:r>
      <w:r w:rsidR="009911B7">
        <w:t>usbeute</w:t>
      </w:r>
      <w:r w:rsidR="009911B7" w:rsidRPr="009911B7">
        <w:t xml:space="preserve"> von 6% auf knapp 40% gesteigert.</w:t>
      </w:r>
      <w:r w:rsidR="001C4F2D">
        <w:t xml:space="preserve"> Damit konnte die Effizienz des Prozesses deutlich gesteigert werden.</w:t>
      </w:r>
    </w:p>
    <w:p w14:paraId="7A947FC7" w14:textId="77777777" w:rsidR="003B37C5" w:rsidRDefault="003B37C5" w:rsidP="00ED4563">
      <w:pPr>
        <w:pStyle w:val="berschrift4"/>
      </w:pPr>
      <w:bookmarkStart w:id="276" w:name="_Toc294380270"/>
      <w:r>
        <w:t>DLS Partikelgrößenmessung</w:t>
      </w:r>
      <w:bookmarkEnd w:id="276"/>
    </w:p>
    <w:p w14:paraId="2DF6E0D1" w14:textId="77777777" w:rsidR="00184835" w:rsidRDefault="00635735" w:rsidP="00184835">
      <w:r>
        <w:t>Per DLS Verfahren wurde die</w:t>
      </w:r>
      <w:r w:rsidR="00B47C24">
        <w:t xml:space="preserve"> mittlere Partikelgröße sowie die</w:t>
      </w:r>
      <w:r>
        <w:t xml:space="preserve"> Partikelgrößenverteilung der erzeugten Polymerpartikel ermittelt. Zur Durchführung der Messung wurde ein Teil der ethanolischen Partikelsuspension mit einer 0,5%igen wässrigen PVA-Lösung </w:t>
      </w:r>
      <w:r w:rsidR="002844AC">
        <w:t xml:space="preserve">im Verhältnis von 1:1 </w:t>
      </w:r>
      <w:r>
        <w:t>gemischt.</w:t>
      </w:r>
      <w:r w:rsidR="002844AC">
        <w:t xml:space="preserve"> Diese wässrige Suspension wurde für die Messung verwendet. Um einen Einfluss des Ethanols auf das Messergebnis auszuschließen, wurde eine weitere Messung nach Abziehen des Lösungsmittels mit einem Rotationsverdampfer durchgeführt. Diese Probe wurde anschließend gefriergetrocknet und nach Redispergierung in destilliertem Wasser erneut gemessen. D</w:t>
      </w:r>
      <w:r w:rsidR="00B47C24">
        <w:t xml:space="preserve">ie Ergebnisse hierzu sind in </w:t>
      </w:r>
      <w:r w:rsidR="00D16240">
        <w:fldChar w:fldCharType="begin"/>
      </w:r>
      <w:r w:rsidR="00B47C24">
        <w:instrText xml:space="preserve"> REF _Ref268465103 \h </w:instrText>
      </w:r>
      <w:r w:rsidR="00D16240">
        <w:fldChar w:fldCharType="separate"/>
      </w:r>
      <w:r w:rsidR="00711AB8" w:rsidRPr="002844AC">
        <w:t xml:space="preserve">Tabelle </w:t>
      </w:r>
      <w:r w:rsidR="00711AB8">
        <w:rPr>
          <w:noProof/>
        </w:rPr>
        <w:t>29</w:t>
      </w:r>
      <w:r w:rsidR="00D16240">
        <w:fldChar w:fldCharType="end"/>
      </w:r>
      <w:r w:rsidR="003A6B39">
        <w:t xml:space="preserve"> und </w:t>
      </w:r>
      <w:r w:rsidR="00D16240">
        <w:fldChar w:fldCharType="begin"/>
      </w:r>
      <w:r w:rsidR="003A6B39">
        <w:instrText xml:space="preserve"> REF _Ref268466916 \h </w:instrText>
      </w:r>
      <w:r w:rsidR="00D16240">
        <w:fldChar w:fldCharType="separate"/>
      </w:r>
      <w:r w:rsidR="00711AB8" w:rsidRPr="003A6B39">
        <w:t xml:space="preserve">Abbildung </w:t>
      </w:r>
      <w:r w:rsidR="00711AB8">
        <w:rPr>
          <w:noProof/>
        </w:rPr>
        <w:t>44</w:t>
      </w:r>
      <w:r w:rsidR="00D16240">
        <w:fldChar w:fldCharType="end"/>
      </w:r>
      <w:r w:rsidR="002844AC">
        <w:t xml:space="preserve"> dargestellt.</w:t>
      </w:r>
    </w:p>
    <w:p w14:paraId="731B7E93" w14:textId="77777777" w:rsidR="009A2476" w:rsidRDefault="009A2476" w:rsidP="009A2476">
      <w:pPr>
        <w:spacing w:after="0"/>
      </w:pPr>
    </w:p>
    <w:p w14:paraId="00D3C6A4" w14:textId="77777777" w:rsidR="002844AC" w:rsidRPr="002844AC" w:rsidRDefault="002844AC" w:rsidP="007E7407">
      <w:pPr>
        <w:pStyle w:val="Beschriftung"/>
        <w:spacing w:after="120"/>
        <w:ind w:firstLine="0"/>
        <w:rPr>
          <w:b w:val="0"/>
        </w:rPr>
      </w:pPr>
      <w:bookmarkStart w:id="277" w:name="_Ref268465103"/>
      <w:r w:rsidRPr="002844AC">
        <w:t xml:space="preserve">Tabelle </w:t>
      </w:r>
      <w:fldSimple w:instr=" SEQ Tabelle \* ARABIC ">
        <w:r w:rsidR="00711AB8">
          <w:rPr>
            <w:noProof/>
          </w:rPr>
          <w:t>29</w:t>
        </w:r>
      </w:fldSimple>
      <w:bookmarkEnd w:id="277"/>
      <w:r>
        <w:t xml:space="preserve"> </w:t>
      </w:r>
      <w:r>
        <w:rPr>
          <w:b w:val="0"/>
        </w:rPr>
        <w:t>Mittlerer Partikeldurchmesser und Polydispersitätsindex der per RESS Verfahren erzeugten Partikel aus Resomer</w:t>
      </w:r>
      <w:r w:rsidR="007E7407" w:rsidRPr="00902C2E">
        <w:rPr>
          <w:vertAlign w:val="superscript"/>
        </w:rPr>
        <w:t>®</w:t>
      </w:r>
      <w:r>
        <w:rPr>
          <w:b w:val="0"/>
        </w:rPr>
        <w:t> RG 752 H</w:t>
      </w:r>
      <w:r w:rsidR="00216741">
        <w:rPr>
          <w:b w:val="0"/>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9"/>
        <w:gridCol w:w="3057"/>
        <w:gridCol w:w="2954"/>
      </w:tblGrid>
      <w:tr w:rsidR="002844AC" w:rsidRPr="00A0224A" w14:paraId="2DBAB68B" w14:textId="77777777" w:rsidTr="009E27A0">
        <w:trPr>
          <w:trHeight w:val="454"/>
        </w:trPr>
        <w:tc>
          <w:tcPr>
            <w:tcW w:w="3261" w:type="dxa"/>
            <w:tcBorders>
              <w:top w:val="nil"/>
              <w:left w:val="nil"/>
              <w:bottom w:val="single" w:sz="8" w:space="0" w:color="auto"/>
              <w:right w:val="single" w:sz="8" w:space="0" w:color="auto"/>
            </w:tcBorders>
            <w:shd w:val="clear" w:color="auto" w:fill="auto"/>
          </w:tcPr>
          <w:p w14:paraId="57783128" w14:textId="77777777" w:rsidR="002844AC" w:rsidRPr="00A0224A" w:rsidRDefault="002844AC" w:rsidP="002844AC">
            <w:pPr>
              <w:spacing w:after="0" w:line="240" w:lineRule="auto"/>
              <w:rPr>
                <w:rFonts w:ascii="Arial" w:eastAsia="SimSun" w:hAnsi="Arial" w:cs="Times New Roman"/>
                <w:sz w:val="20"/>
                <w:szCs w:val="20"/>
                <w:lang w:eastAsia="de-DE"/>
              </w:rPr>
            </w:pPr>
          </w:p>
        </w:tc>
        <w:tc>
          <w:tcPr>
            <w:tcW w:w="311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902B27C" w14:textId="77777777" w:rsidR="002844AC" w:rsidRPr="00AA7367" w:rsidRDefault="002844AC" w:rsidP="005B2CE3">
            <w:pPr>
              <w:spacing w:after="0" w:line="240" w:lineRule="auto"/>
              <w:jc w:val="center"/>
              <w:rPr>
                <w:rFonts w:eastAsia="SimSun" w:cs="Times New Roman"/>
                <w:b/>
                <w:sz w:val="20"/>
                <w:szCs w:val="20"/>
                <w:lang w:eastAsia="de-DE"/>
              </w:rPr>
            </w:pPr>
            <w:r w:rsidRPr="00AA7367">
              <w:rPr>
                <w:rFonts w:eastAsia="SimSun" w:cs="Times New Roman"/>
                <w:b/>
                <w:sz w:val="20"/>
                <w:szCs w:val="20"/>
                <w:lang w:eastAsia="de-DE"/>
              </w:rPr>
              <w:t>mittlerer Partikeldurchmesser</w:t>
            </w:r>
          </w:p>
        </w:tc>
        <w:tc>
          <w:tcPr>
            <w:tcW w:w="3007"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7861404" w14:textId="77777777" w:rsidR="002844AC" w:rsidRPr="00AA7367" w:rsidRDefault="002844AC" w:rsidP="005B2CE3">
            <w:pPr>
              <w:spacing w:after="0" w:line="240" w:lineRule="auto"/>
              <w:jc w:val="center"/>
              <w:rPr>
                <w:rFonts w:eastAsia="SimSun" w:cs="Times New Roman"/>
                <w:b/>
                <w:sz w:val="20"/>
                <w:szCs w:val="20"/>
                <w:lang w:eastAsia="de-DE"/>
              </w:rPr>
            </w:pPr>
            <w:r w:rsidRPr="00AA7367">
              <w:rPr>
                <w:rFonts w:eastAsia="SimSun" w:cs="Times New Roman"/>
                <w:b/>
                <w:sz w:val="20"/>
                <w:szCs w:val="20"/>
                <w:lang w:eastAsia="de-DE"/>
              </w:rPr>
              <w:t>Polydispersitätsindex (PDI)</w:t>
            </w:r>
          </w:p>
        </w:tc>
      </w:tr>
      <w:tr w:rsidR="002844AC" w:rsidRPr="00A0224A" w14:paraId="0C176623" w14:textId="77777777" w:rsidTr="009E27A0">
        <w:trPr>
          <w:trHeight w:val="567"/>
        </w:trPr>
        <w:tc>
          <w:tcPr>
            <w:tcW w:w="3261" w:type="dxa"/>
            <w:tcBorders>
              <w:top w:val="single" w:sz="8" w:space="0" w:color="auto"/>
              <w:left w:val="single" w:sz="8" w:space="0" w:color="auto"/>
              <w:bottom w:val="single" w:sz="8" w:space="0" w:color="auto"/>
              <w:right w:val="single" w:sz="8" w:space="0" w:color="auto"/>
            </w:tcBorders>
            <w:shd w:val="clear" w:color="auto" w:fill="auto"/>
          </w:tcPr>
          <w:p w14:paraId="6EF9CB35" w14:textId="77777777" w:rsidR="005B2CE3" w:rsidRPr="00AA7367" w:rsidRDefault="002844AC" w:rsidP="002844AC">
            <w:pPr>
              <w:spacing w:after="0" w:line="240" w:lineRule="auto"/>
              <w:rPr>
                <w:rFonts w:eastAsia="SimSun" w:cs="Times New Roman"/>
                <w:sz w:val="18"/>
                <w:szCs w:val="18"/>
                <w:lang w:eastAsia="de-DE"/>
              </w:rPr>
            </w:pPr>
            <w:r w:rsidRPr="00AA7367">
              <w:rPr>
                <w:rFonts w:eastAsia="SimSun" w:cs="Times New Roman"/>
                <w:sz w:val="18"/>
                <w:szCs w:val="18"/>
                <w:lang w:eastAsia="de-DE"/>
              </w:rPr>
              <w:t xml:space="preserve">1) Gemisch ethanolische Suspension </w:t>
            </w:r>
          </w:p>
          <w:p w14:paraId="7FF5B2DA" w14:textId="77777777" w:rsidR="002844AC" w:rsidRPr="00AA7367" w:rsidRDefault="005B2CE3" w:rsidP="002844AC">
            <w:pPr>
              <w:spacing w:after="0" w:line="240" w:lineRule="auto"/>
              <w:rPr>
                <w:rFonts w:eastAsia="SimSun" w:cs="Times New Roman"/>
                <w:sz w:val="18"/>
                <w:szCs w:val="18"/>
                <w:lang w:eastAsia="de-DE"/>
              </w:rPr>
            </w:pPr>
            <w:r w:rsidRPr="00AA7367">
              <w:rPr>
                <w:rFonts w:eastAsia="SimSun" w:cs="Times New Roman"/>
                <w:sz w:val="18"/>
                <w:szCs w:val="18"/>
                <w:lang w:eastAsia="de-DE"/>
              </w:rPr>
              <w:t xml:space="preserve">    </w:t>
            </w:r>
            <w:r w:rsidR="002844AC" w:rsidRPr="00AA7367">
              <w:rPr>
                <w:rFonts w:eastAsia="SimSun" w:cs="Times New Roman"/>
                <w:sz w:val="18"/>
                <w:szCs w:val="18"/>
                <w:lang w:eastAsia="de-DE"/>
              </w:rPr>
              <w:t>mit wässriger PVA-Lösung (1:1)</w:t>
            </w:r>
          </w:p>
        </w:tc>
        <w:tc>
          <w:tcPr>
            <w:tcW w:w="3118" w:type="dxa"/>
            <w:tcBorders>
              <w:top w:val="single" w:sz="8" w:space="0" w:color="auto"/>
              <w:left w:val="single" w:sz="8" w:space="0" w:color="auto"/>
            </w:tcBorders>
            <w:shd w:val="clear" w:color="auto" w:fill="auto"/>
            <w:vAlign w:val="center"/>
          </w:tcPr>
          <w:p w14:paraId="0FDB461E" w14:textId="77777777" w:rsidR="002844AC" w:rsidRPr="00AA7367" w:rsidRDefault="002844AC" w:rsidP="002844AC">
            <w:pPr>
              <w:spacing w:after="0" w:line="240" w:lineRule="auto"/>
              <w:jc w:val="center"/>
              <w:rPr>
                <w:rFonts w:eastAsia="SimSun" w:cs="Times New Roman"/>
                <w:sz w:val="18"/>
                <w:szCs w:val="18"/>
                <w:lang w:eastAsia="de-DE"/>
              </w:rPr>
            </w:pPr>
            <w:r w:rsidRPr="00AA7367">
              <w:rPr>
                <w:rFonts w:eastAsia="SimSun" w:cs="Times New Roman"/>
                <w:sz w:val="18"/>
                <w:szCs w:val="18"/>
                <w:lang w:eastAsia="de-DE"/>
              </w:rPr>
              <w:t>346 nm</w:t>
            </w:r>
          </w:p>
        </w:tc>
        <w:tc>
          <w:tcPr>
            <w:tcW w:w="3007" w:type="dxa"/>
            <w:tcBorders>
              <w:top w:val="single" w:sz="8" w:space="0" w:color="auto"/>
              <w:right w:val="single" w:sz="8" w:space="0" w:color="auto"/>
            </w:tcBorders>
            <w:shd w:val="clear" w:color="auto" w:fill="auto"/>
            <w:vAlign w:val="center"/>
          </w:tcPr>
          <w:p w14:paraId="6A1D962F" w14:textId="77777777" w:rsidR="002844AC" w:rsidRPr="00AA7367" w:rsidRDefault="002844AC" w:rsidP="002844AC">
            <w:pPr>
              <w:spacing w:after="0" w:line="240" w:lineRule="auto"/>
              <w:jc w:val="center"/>
              <w:rPr>
                <w:rFonts w:eastAsia="SimSun" w:cs="Times New Roman"/>
                <w:sz w:val="18"/>
                <w:szCs w:val="18"/>
                <w:lang w:eastAsia="de-DE"/>
              </w:rPr>
            </w:pPr>
            <w:r w:rsidRPr="00AA7367">
              <w:rPr>
                <w:rFonts w:eastAsia="SimSun" w:cs="Times New Roman"/>
                <w:sz w:val="18"/>
                <w:szCs w:val="18"/>
                <w:lang w:eastAsia="de-DE"/>
              </w:rPr>
              <w:t>0,051</w:t>
            </w:r>
          </w:p>
        </w:tc>
      </w:tr>
      <w:tr w:rsidR="002844AC" w:rsidRPr="00A0224A" w14:paraId="09E27C7D" w14:textId="77777777" w:rsidTr="009E27A0">
        <w:trPr>
          <w:trHeight w:val="567"/>
        </w:trPr>
        <w:tc>
          <w:tcPr>
            <w:tcW w:w="3261" w:type="dxa"/>
            <w:tcBorders>
              <w:top w:val="single" w:sz="8" w:space="0" w:color="auto"/>
              <w:left w:val="single" w:sz="8" w:space="0" w:color="auto"/>
              <w:bottom w:val="single" w:sz="8" w:space="0" w:color="auto"/>
              <w:right w:val="single" w:sz="8" w:space="0" w:color="auto"/>
            </w:tcBorders>
            <w:shd w:val="clear" w:color="auto" w:fill="auto"/>
          </w:tcPr>
          <w:p w14:paraId="78B6171E" w14:textId="77777777" w:rsidR="005B2CE3" w:rsidRPr="00AA7367" w:rsidRDefault="002844AC" w:rsidP="002844AC">
            <w:pPr>
              <w:spacing w:after="0" w:line="240" w:lineRule="auto"/>
              <w:rPr>
                <w:rFonts w:eastAsia="SimSun" w:cs="Times New Roman"/>
                <w:sz w:val="18"/>
                <w:szCs w:val="18"/>
                <w:lang w:eastAsia="de-DE"/>
              </w:rPr>
            </w:pPr>
            <w:r w:rsidRPr="00AA7367">
              <w:rPr>
                <w:rFonts w:eastAsia="SimSun" w:cs="Times New Roman"/>
                <w:sz w:val="18"/>
                <w:szCs w:val="18"/>
                <w:lang w:eastAsia="de-DE"/>
              </w:rPr>
              <w:t xml:space="preserve">2) Partikelsuspension nach </w:t>
            </w:r>
            <w:r w:rsidR="005B2CE3" w:rsidRPr="00AA7367">
              <w:rPr>
                <w:rFonts w:eastAsia="SimSun" w:cs="Times New Roman"/>
                <w:sz w:val="18"/>
                <w:szCs w:val="18"/>
                <w:lang w:eastAsia="de-DE"/>
              </w:rPr>
              <w:t xml:space="preserve">  </w:t>
            </w:r>
          </w:p>
          <w:p w14:paraId="7CA1C1E5" w14:textId="77777777" w:rsidR="002844AC" w:rsidRPr="00AA7367" w:rsidRDefault="005B2CE3" w:rsidP="002844AC">
            <w:pPr>
              <w:spacing w:after="0" w:line="240" w:lineRule="auto"/>
              <w:rPr>
                <w:rFonts w:eastAsia="SimSun" w:cs="Times New Roman"/>
                <w:sz w:val="18"/>
                <w:szCs w:val="18"/>
                <w:lang w:eastAsia="de-DE"/>
              </w:rPr>
            </w:pPr>
            <w:r w:rsidRPr="00AA7367">
              <w:rPr>
                <w:rFonts w:eastAsia="SimSun" w:cs="Times New Roman"/>
                <w:sz w:val="18"/>
                <w:szCs w:val="18"/>
                <w:lang w:eastAsia="de-DE"/>
              </w:rPr>
              <w:t xml:space="preserve">    Abziehen</w:t>
            </w:r>
            <w:r w:rsidR="002844AC" w:rsidRPr="00AA7367">
              <w:rPr>
                <w:rFonts w:eastAsia="SimSun" w:cs="Times New Roman"/>
                <w:sz w:val="18"/>
                <w:szCs w:val="18"/>
                <w:lang w:eastAsia="de-DE"/>
              </w:rPr>
              <w:t xml:space="preserve"> des Ethanols</w:t>
            </w:r>
          </w:p>
        </w:tc>
        <w:tc>
          <w:tcPr>
            <w:tcW w:w="3118" w:type="dxa"/>
            <w:tcBorders>
              <w:left w:val="single" w:sz="8" w:space="0" w:color="auto"/>
              <w:bottom w:val="single" w:sz="4" w:space="0" w:color="auto"/>
            </w:tcBorders>
            <w:shd w:val="clear" w:color="auto" w:fill="auto"/>
            <w:vAlign w:val="center"/>
          </w:tcPr>
          <w:p w14:paraId="649872E3" w14:textId="77777777" w:rsidR="002844AC" w:rsidRPr="00AA7367" w:rsidRDefault="002844AC" w:rsidP="002844AC">
            <w:pPr>
              <w:spacing w:after="0" w:line="240" w:lineRule="auto"/>
              <w:jc w:val="center"/>
              <w:rPr>
                <w:rFonts w:eastAsia="SimSun" w:cs="Times New Roman"/>
                <w:sz w:val="18"/>
                <w:szCs w:val="18"/>
                <w:lang w:eastAsia="de-DE"/>
              </w:rPr>
            </w:pPr>
            <w:r w:rsidRPr="00AA7367">
              <w:rPr>
                <w:rFonts w:eastAsia="SimSun" w:cs="Times New Roman"/>
                <w:sz w:val="18"/>
                <w:szCs w:val="18"/>
                <w:lang w:eastAsia="de-DE"/>
              </w:rPr>
              <w:t>320 nm</w:t>
            </w:r>
          </w:p>
        </w:tc>
        <w:tc>
          <w:tcPr>
            <w:tcW w:w="3007" w:type="dxa"/>
            <w:tcBorders>
              <w:bottom w:val="single" w:sz="4" w:space="0" w:color="auto"/>
              <w:right w:val="single" w:sz="8" w:space="0" w:color="auto"/>
            </w:tcBorders>
            <w:shd w:val="clear" w:color="auto" w:fill="auto"/>
            <w:vAlign w:val="center"/>
          </w:tcPr>
          <w:p w14:paraId="477C62AE" w14:textId="77777777" w:rsidR="002844AC" w:rsidRPr="00AA7367" w:rsidRDefault="002844AC" w:rsidP="002844AC">
            <w:pPr>
              <w:spacing w:after="0" w:line="240" w:lineRule="auto"/>
              <w:jc w:val="center"/>
              <w:rPr>
                <w:rFonts w:eastAsia="SimSun" w:cs="Times New Roman"/>
                <w:sz w:val="18"/>
                <w:szCs w:val="18"/>
                <w:lang w:eastAsia="de-DE"/>
              </w:rPr>
            </w:pPr>
            <w:r w:rsidRPr="00AA7367">
              <w:rPr>
                <w:rFonts w:eastAsia="SimSun" w:cs="Times New Roman"/>
                <w:sz w:val="18"/>
                <w:szCs w:val="18"/>
                <w:lang w:eastAsia="de-DE"/>
              </w:rPr>
              <w:t>0,048</w:t>
            </w:r>
          </w:p>
        </w:tc>
      </w:tr>
      <w:tr w:rsidR="002844AC" w:rsidRPr="00A0224A" w14:paraId="16C3AE3C" w14:textId="77777777" w:rsidTr="009E27A0">
        <w:trPr>
          <w:trHeight w:val="567"/>
        </w:trPr>
        <w:tc>
          <w:tcPr>
            <w:tcW w:w="3261" w:type="dxa"/>
            <w:tcBorders>
              <w:top w:val="single" w:sz="8" w:space="0" w:color="auto"/>
              <w:left w:val="single" w:sz="8" w:space="0" w:color="auto"/>
              <w:bottom w:val="single" w:sz="8" w:space="0" w:color="auto"/>
              <w:right w:val="single" w:sz="8" w:space="0" w:color="auto"/>
            </w:tcBorders>
            <w:shd w:val="clear" w:color="auto" w:fill="auto"/>
          </w:tcPr>
          <w:p w14:paraId="50CE81A1" w14:textId="77777777" w:rsidR="005B2CE3" w:rsidRPr="00AA7367" w:rsidRDefault="002844AC" w:rsidP="002844AC">
            <w:pPr>
              <w:spacing w:after="0" w:line="240" w:lineRule="auto"/>
              <w:rPr>
                <w:rFonts w:eastAsia="SimSun" w:cs="Times New Roman"/>
                <w:sz w:val="18"/>
                <w:szCs w:val="18"/>
                <w:lang w:eastAsia="de-DE"/>
              </w:rPr>
            </w:pPr>
            <w:r w:rsidRPr="00AA7367">
              <w:rPr>
                <w:rFonts w:eastAsia="SimSun" w:cs="Times New Roman"/>
                <w:sz w:val="18"/>
                <w:szCs w:val="18"/>
                <w:lang w:eastAsia="de-DE"/>
              </w:rPr>
              <w:t xml:space="preserve">3) In Wasser redispergiertes </w:t>
            </w:r>
            <w:r w:rsidR="005B2CE3" w:rsidRPr="00AA7367">
              <w:rPr>
                <w:rFonts w:eastAsia="SimSun" w:cs="Times New Roman"/>
                <w:sz w:val="18"/>
                <w:szCs w:val="18"/>
                <w:lang w:eastAsia="de-DE"/>
              </w:rPr>
              <w:t xml:space="preserve"> </w:t>
            </w:r>
          </w:p>
          <w:p w14:paraId="1D4FDC80" w14:textId="77777777" w:rsidR="002844AC" w:rsidRPr="00AA7367" w:rsidRDefault="005B2CE3" w:rsidP="002844AC">
            <w:pPr>
              <w:spacing w:after="0" w:line="240" w:lineRule="auto"/>
              <w:rPr>
                <w:rFonts w:eastAsia="SimSun" w:cs="Times New Roman"/>
                <w:sz w:val="18"/>
                <w:szCs w:val="18"/>
                <w:lang w:eastAsia="de-DE"/>
              </w:rPr>
            </w:pPr>
            <w:r w:rsidRPr="00AA7367">
              <w:rPr>
                <w:rFonts w:eastAsia="SimSun" w:cs="Times New Roman"/>
                <w:sz w:val="18"/>
                <w:szCs w:val="18"/>
                <w:lang w:eastAsia="de-DE"/>
              </w:rPr>
              <w:t xml:space="preserve">    </w:t>
            </w:r>
            <w:r w:rsidR="002844AC" w:rsidRPr="00AA7367">
              <w:rPr>
                <w:rFonts w:eastAsia="SimSun" w:cs="Times New Roman"/>
                <w:sz w:val="18"/>
                <w:szCs w:val="18"/>
                <w:lang w:eastAsia="de-DE"/>
              </w:rPr>
              <w:t>Lyophilisat</w:t>
            </w:r>
          </w:p>
        </w:tc>
        <w:tc>
          <w:tcPr>
            <w:tcW w:w="3118" w:type="dxa"/>
            <w:tcBorders>
              <w:top w:val="single" w:sz="4" w:space="0" w:color="auto"/>
              <w:left w:val="single" w:sz="8" w:space="0" w:color="auto"/>
              <w:bottom w:val="single" w:sz="8" w:space="0" w:color="auto"/>
            </w:tcBorders>
            <w:shd w:val="clear" w:color="auto" w:fill="auto"/>
            <w:vAlign w:val="center"/>
          </w:tcPr>
          <w:p w14:paraId="1BCADA44" w14:textId="77777777" w:rsidR="002844AC" w:rsidRPr="00AA7367" w:rsidRDefault="002844AC" w:rsidP="002844AC">
            <w:pPr>
              <w:spacing w:after="0" w:line="240" w:lineRule="auto"/>
              <w:jc w:val="center"/>
              <w:rPr>
                <w:rFonts w:eastAsia="SimSun" w:cs="Times New Roman"/>
                <w:sz w:val="18"/>
                <w:szCs w:val="18"/>
                <w:lang w:eastAsia="de-DE"/>
              </w:rPr>
            </w:pPr>
            <w:r w:rsidRPr="00AA7367">
              <w:rPr>
                <w:rFonts w:eastAsia="SimSun" w:cs="Times New Roman"/>
                <w:sz w:val="18"/>
                <w:szCs w:val="18"/>
                <w:lang w:eastAsia="de-DE"/>
              </w:rPr>
              <w:t>313 nm</w:t>
            </w:r>
          </w:p>
        </w:tc>
        <w:tc>
          <w:tcPr>
            <w:tcW w:w="3007" w:type="dxa"/>
            <w:tcBorders>
              <w:top w:val="single" w:sz="4" w:space="0" w:color="auto"/>
              <w:bottom w:val="single" w:sz="8" w:space="0" w:color="auto"/>
              <w:right w:val="single" w:sz="8" w:space="0" w:color="auto"/>
            </w:tcBorders>
            <w:shd w:val="clear" w:color="auto" w:fill="auto"/>
            <w:vAlign w:val="center"/>
          </w:tcPr>
          <w:p w14:paraId="50242C48" w14:textId="77777777" w:rsidR="002844AC" w:rsidRPr="00AA7367" w:rsidRDefault="002844AC" w:rsidP="002844AC">
            <w:pPr>
              <w:keepNext/>
              <w:spacing w:after="0" w:line="240" w:lineRule="auto"/>
              <w:jc w:val="center"/>
              <w:rPr>
                <w:rFonts w:eastAsia="SimSun" w:cs="Times New Roman"/>
                <w:sz w:val="18"/>
                <w:szCs w:val="18"/>
                <w:lang w:eastAsia="de-DE"/>
              </w:rPr>
            </w:pPr>
            <w:r w:rsidRPr="00AA7367">
              <w:rPr>
                <w:rFonts w:eastAsia="SimSun" w:cs="Times New Roman"/>
                <w:sz w:val="18"/>
                <w:szCs w:val="18"/>
                <w:lang w:eastAsia="de-DE"/>
              </w:rPr>
              <w:t>0,040</w:t>
            </w:r>
          </w:p>
        </w:tc>
      </w:tr>
    </w:tbl>
    <w:p w14:paraId="6BFFF2BC" w14:textId="77777777" w:rsidR="00B47C24" w:rsidRDefault="00B47C24" w:rsidP="00184835"/>
    <w:p w14:paraId="55100650" w14:textId="77777777" w:rsidR="0026025C" w:rsidRDefault="003A6B39" w:rsidP="00184835">
      <w:r>
        <w:t>Es wurden erfolgreich N</w:t>
      </w:r>
      <w:r w:rsidR="002844AC">
        <w:t>anopartikel</w:t>
      </w:r>
      <w:r>
        <w:t xml:space="preserve"> aus Resomer</w:t>
      </w:r>
      <w:r w:rsidR="007E7407" w:rsidRPr="00902C2E">
        <w:rPr>
          <w:vertAlign w:val="superscript"/>
        </w:rPr>
        <w:t>®</w:t>
      </w:r>
      <w:r>
        <w:t xml:space="preserve"> RG 752 H</w:t>
      </w:r>
      <w:r w:rsidR="002844AC">
        <w:t xml:space="preserve"> </w:t>
      </w:r>
      <w:r w:rsidR="001E4C59">
        <w:t>mit einem mittl</w:t>
      </w:r>
      <w:r w:rsidR="00904119">
        <w:t>eren Partikeldurchmesser von 320 nm und einem PDI von 0,048</w:t>
      </w:r>
      <w:r w:rsidR="001E4C59">
        <w:t xml:space="preserve"> </w:t>
      </w:r>
      <w:r w:rsidR="002844AC">
        <w:t>hergestellt</w:t>
      </w:r>
      <w:r w:rsidR="001E4C59">
        <w:t>.</w:t>
      </w:r>
    </w:p>
    <w:p w14:paraId="62CF1A2E" w14:textId="77777777" w:rsidR="002844AC" w:rsidRDefault="0026025C" w:rsidP="00184835">
      <w:r>
        <w:t xml:space="preserve">Ein Vergleich der erzielten Partikelgrößen mit den </w:t>
      </w:r>
      <w:r w:rsidR="00FF798C">
        <w:t>Partikelgrößen</w:t>
      </w:r>
      <w:r>
        <w:t xml:space="preserve"> </w:t>
      </w:r>
      <w:r w:rsidR="00FF798C">
        <w:t>des Polymeres im Ausgangsmaterial vor der Bearbeitung mit RESS</w:t>
      </w:r>
      <w:r w:rsidR="00831493">
        <w:t xml:space="preserve"> (Partikeldurchmesser &gt;20 µm)</w:t>
      </w:r>
      <w:r>
        <w:t xml:space="preserve"> </w:t>
      </w:r>
      <w:r w:rsidR="00FF798C">
        <w:t xml:space="preserve">zeigt, dass das Polymer während des Prozesses tatsächlich in Lösung gegangen sein muss und beim Versprühen wieder ausgefallen ist. Eine rein mechanische </w:t>
      </w:r>
      <w:r w:rsidR="00997563">
        <w:t>Stofftrennung kann somit ausgeschlossen werden.</w:t>
      </w:r>
    </w:p>
    <w:p w14:paraId="3E2C3EDD" w14:textId="77777777" w:rsidR="009F6BC3" w:rsidRDefault="00B47C24" w:rsidP="00184835">
      <w:r>
        <w:t>Da Viskosität und Brechungsindex da</w:t>
      </w:r>
      <w:r w:rsidR="007970F4">
        <w:t>s Messergebnis beeinflussen, war</w:t>
      </w:r>
      <w:r>
        <w:t xml:space="preserve"> ein Effekt des Ethanols </w:t>
      </w:r>
      <w:r w:rsidR="00904119">
        <w:t>auf die Messung festzustellen. Nach Abziehen des Lösungsmitt</w:t>
      </w:r>
      <w:r w:rsidR="007970F4">
        <w:t>els wurde</w:t>
      </w:r>
      <w:r w:rsidR="00904119">
        <w:t xml:space="preserve"> ein geringfügig kleinerer Partikeldurchmesser von 320 nm statt 346 nm ermittelt. Da destilliertes Wasser bei der Messung als Referenzmedium herangezogen wird, ist davon auszugehen, dass der zweite Wert nach Entfernen des Ethanols näher an dem wahren Wert liegt.</w:t>
      </w:r>
      <w:r w:rsidR="009F6BC3">
        <w:t xml:space="preserve"> </w:t>
      </w:r>
      <w:r w:rsidR="003252BE">
        <w:t xml:space="preserve">Die detaillierte </w:t>
      </w:r>
      <w:r w:rsidR="003252BE">
        <w:lastRenderedPageBreak/>
        <w:t>Betrachtung der Partikelgrößenverteilung</w:t>
      </w:r>
      <w:r w:rsidR="00B300D2">
        <w:t xml:space="preserve"> dieser Probe</w:t>
      </w:r>
      <w:r w:rsidR="003252BE">
        <w:t xml:space="preserve"> in </w:t>
      </w:r>
      <w:r w:rsidR="00D16240">
        <w:fldChar w:fldCharType="begin"/>
      </w:r>
      <w:r w:rsidR="003252BE">
        <w:instrText xml:space="preserve"> REF _Ref268466916 \h </w:instrText>
      </w:r>
      <w:r w:rsidR="00D16240">
        <w:fldChar w:fldCharType="separate"/>
      </w:r>
      <w:r w:rsidR="00711AB8" w:rsidRPr="003A6B39">
        <w:t xml:space="preserve">Abbildung </w:t>
      </w:r>
      <w:r w:rsidR="00711AB8">
        <w:rPr>
          <w:noProof/>
        </w:rPr>
        <w:t>44</w:t>
      </w:r>
      <w:r w:rsidR="00D16240">
        <w:fldChar w:fldCharType="end"/>
      </w:r>
      <w:r w:rsidR="003252BE">
        <w:t xml:space="preserve"> erfolgt aus diesem Grund anhand von Probe 2 in </w:t>
      </w:r>
      <w:r w:rsidR="00D16240">
        <w:fldChar w:fldCharType="begin"/>
      </w:r>
      <w:r w:rsidR="003252BE">
        <w:instrText xml:space="preserve"> REF _Ref268465103 \h </w:instrText>
      </w:r>
      <w:r w:rsidR="00D16240">
        <w:fldChar w:fldCharType="separate"/>
      </w:r>
      <w:r w:rsidR="00711AB8" w:rsidRPr="002844AC">
        <w:t xml:space="preserve">Tabelle </w:t>
      </w:r>
      <w:r w:rsidR="00711AB8">
        <w:rPr>
          <w:noProof/>
        </w:rPr>
        <w:t>29</w:t>
      </w:r>
      <w:r w:rsidR="00D16240">
        <w:fldChar w:fldCharType="end"/>
      </w:r>
      <w:r w:rsidR="003252BE">
        <w:t>.</w:t>
      </w:r>
    </w:p>
    <w:p w14:paraId="42746A32" w14:textId="77777777" w:rsidR="009A2476" w:rsidRDefault="009A2476" w:rsidP="009A2476">
      <w:pPr>
        <w:spacing w:after="0"/>
      </w:pPr>
    </w:p>
    <w:p w14:paraId="071AC5B4" w14:textId="77777777" w:rsidR="003A6B39" w:rsidRDefault="003A6B39" w:rsidP="00D30671">
      <w:pPr>
        <w:spacing w:after="120" w:line="240" w:lineRule="auto"/>
        <w:jc w:val="center"/>
      </w:pPr>
      <w:r w:rsidRPr="00A0224A">
        <w:rPr>
          <w:rFonts w:ascii="Arial" w:eastAsia="SimSun" w:hAnsi="Arial" w:cs="Times New Roman"/>
          <w:noProof/>
          <w:lang w:eastAsia="de-DE"/>
        </w:rPr>
        <w:drawing>
          <wp:inline distT="0" distB="0" distL="0" distR="0" wp14:anchorId="58944FCC" wp14:editId="4CC621F2">
            <wp:extent cx="5412403" cy="2822483"/>
            <wp:effectExtent l="0" t="0" r="0" b="0"/>
            <wp:docPr id="14" name="Diagramm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91F2D16" w14:textId="77777777" w:rsidR="003A6B39" w:rsidRDefault="003A6B39" w:rsidP="007E7407">
      <w:pPr>
        <w:pStyle w:val="Beschriftung"/>
        <w:ind w:firstLine="0"/>
        <w:rPr>
          <w:b w:val="0"/>
        </w:rPr>
      </w:pPr>
      <w:bookmarkStart w:id="278" w:name="_Ref268466916"/>
      <w:r w:rsidRPr="003A6B39">
        <w:t xml:space="preserve">Abbildung </w:t>
      </w:r>
      <w:fldSimple w:instr=" SEQ Abbildung \* ARABIC ">
        <w:r w:rsidR="00711AB8">
          <w:rPr>
            <w:noProof/>
          </w:rPr>
          <w:t>44</w:t>
        </w:r>
      </w:fldSimple>
      <w:bookmarkEnd w:id="278"/>
      <w:r>
        <w:t xml:space="preserve"> </w:t>
      </w:r>
      <w:r w:rsidR="007E2344">
        <w:rPr>
          <w:b w:val="0"/>
        </w:rPr>
        <w:t>Resomer</w:t>
      </w:r>
      <w:r w:rsidR="007E7407" w:rsidRPr="00902C2E">
        <w:rPr>
          <w:vertAlign w:val="superscript"/>
        </w:rPr>
        <w:t>®</w:t>
      </w:r>
      <w:r w:rsidR="007E2344">
        <w:rPr>
          <w:b w:val="0"/>
        </w:rPr>
        <w:t xml:space="preserve"> RG 752 H</w:t>
      </w:r>
      <w:r w:rsidR="005B2CE3">
        <w:rPr>
          <w:b w:val="0"/>
        </w:rPr>
        <w:t xml:space="preserve"> Partikelsuspe</w:t>
      </w:r>
      <w:r w:rsidR="00300532">
        <w:rPr>
          <w:b w:val="0"/>
        </w:rPr>
        <w:t>n</w:t>
      </w:r>
      <w:r w:rsidR="005B2CE3">
        <w:rPr>
          <w:b w:val="0"/>
        </w:rPr>
        <w:t>sion</w:t>
      </w:r>
      <w:r w:rsidR="007E2344">
        <w:rPr>
          <w:b w:val="0"/>
        </w:rPr>
        <w:t xml:space="preserve">; </w:t>
      </w:r>
      <w:r w:rsidRPr="003A6B39">
        <w:rPr>
          <w:b w:val="0"/>
        </w:rPr>
        <w:t xml:space="preserve">DLS </w:t>
      </w:r>
      <w:r>
        <w:rPr>
          <w:b w:val="0"/>
        </w:rPr>
        <w:t xml:space="preserve">Partikelgrößenverteilung von Probe 2 aus </w:t>
      </w:r>
      <w:r w:rsidR="00057BAF">
        <w:fldChar w:fldCharType="begin"/>
      </w:r>
      <w:r w:rsidR="00057BAF">
        <w:instrText xml:space="preserve"> REF _Ref268465103 \h  \* MERGEFORMAT </w:instrText>
      </w:r>
      <w:r w:rsidR="00057BAF">
        <w:fldChar w:fldCharType="separate"/>
      </w:r>
      <w:r w:rsidR="00711AB8" w:rsidRPr="00711AB8">
        <w:rPr>
          <w:b w:val="0"/>
        </w:rPr>
        <w:t xml:space="preserve">Tabelle </w:t>
      </w:r>
      <w:r w:rsidR="00711AB8" w:rsidRPr="00711AB8">
        <w:rPr>
          <w:b w:val="0"/>
          <w:noProof/>
        </w:rPr>
        <w:t>29</w:t>
      </w:r>
      <w:r w:rsidR="00057BAF">
        <w:fldChar w:fldCharType="end"/>
      </w:r>
      <w:r w:rsidR="00216741">
        <w:rPr>
          <w:b w:val="0"/>
        </w:rPr>
        <w:t>.</w:t>
      </w:r>
    </w:p>
    <w:p w14:paraId="2C115C4A" w14:textId="77777777" w:rsidR="009A2476" w:rsidRDefault="009A2476" w:rsidP="003A6B39"/>
    <w:p w14:paraId="310E5EAC" w14:textId="77777777" w:rsidR="00B300D2" w:rsidRDefault="00D16240" w:rsidP="003A6B39">
      <w:r>
        <w:fldChar w:fldCharType="begin"/>
      </w:r>
      <w:r w:rsidR="003A6B39">
        <w:instrText xml:space="preserve"> REF _Ref268466916 \h </w:instrText>
      </w:r>
      <w:r>
        <w:fldChar w:fldCharType="separate"/>
      </w:r>
      <w:r w:rsidR="00711AB8" w:rsidRPr="003A6B39">
        <w:t xml:space="preserve">Abbildung </w:t>
      </w:r>
      <w:r w:rsidR="00711AB8">
        <w:rPr>
          <w:noProof/>
        </w:rPr>
        <w:t>44</w:t>
      </w:r>
      <w:r>
        <w:fldChar w:fldCharType="end"/>
      </w:r>
      <w:r w:rsidR="003A6B39">
        <w:t xml:space="preserve"> zeigt eine eng verteilte monomodale Partikelgrößenverteilung. Ein geringfügiger Unterschied zwischen anzahlgewichteter und volumenge</w:t>
      </w:r>
      <w:r w:rsidR="00B300D2">
        <w:t>wichteter Größenverteilung deutet darauf hin</w:t>
      </w:r>
      <w:r w:rsidR="003A6B39">
        <w:t>, dass einige wenige große Partikel ent</w:t>
      </w:r>
      <w:r w:rsidR="00340715">
        <w:t>halten sind, die zahlenmäßig jedoch nicht ins Gewicht fallen. Eine leichte Verunreinigung durch Staubpartikel oder einzelne große Partikel oder Agglomerate können bereits einen solchen Effekt hervorrufen.</w:t>
      </w:r>
    </w:p>
    <w:p w14:paraId="0F52B385" w14:textId="77777777" w:rsidR="00B300D2" w:rsidRDefault="00B300D2" w:rsidP="003A6B39">
      <w:r>
        <w:t xml:space="preserve">Die dritte Messung in </w:t>
      </w:r>
      <w:r w:rsidR="00D16240">
        <w:fldChar w:fldCharType="begin"/>
      </w:r>
      <w:r>
        <w:instrText xml:space="preserve"> REF _Ref268465103 \h </w:instrText>
      </w:r>
      <w:r w:rsidR="00D16240">
        <w:fldChar w:fldCharType="separate"/>
      </w:r>
      <w:r w:rsidR="00711AB8" w:rsidRPr="002844AC">
        <w:t xml:space="preserve">Tabelle </w:t>
      </w:r>
      <w:r w:rsidR="00711AB8">
        <w:rPr>
          <w:noProof/>
        </w:rPr>
        <w:t>29</w:t>
      </w:r>
      <w:r w:rsidR="00D16240">
        <w:fldChar w:fldCharType="end"/>
      </w:r>
      <w:r>
        <w:t xml:space="preserve"> zeigt, dass die Partikel durch Gefriertrocknung der wässrigen Suspension in ein trockenes lagerfähiges Endprodukt überführt werden konnten. Die </w:t>
      </w:r>
      <w:r w:rsidR="00216741">
        <w:t>mittlere Partikelgröße und die B</w:t>
      </w:r>
      <w:r>
        <w:t>reite der</w:t>
      </w:r>
      <w:r w:rsidR="00216741">
        <w:t xml:space="preserve"> Partikelgrößenverteilung wurden</w:t>
      </w:r>
      <w:r>
        <w:t xml:space="preserve"> durch den Trocknungsprozess nicht wesentlich beeinflusst. Vor dem Trocknen betrug der Durchmesser 320 nm und der PDI 0,048 und nach dem Trocknen und Redispergieren in destilliertem Wasser 313 nm und der PDI 0,04.</w:t>
      </w:r>
    </w:p>
    <w:p w14:paraId="72BDB048" w14:textId="77777777" w:rsidR="00F204F7" w:rsidRDefault="0008744C" w:rsidP="003A6B39">
      <w:r>
        <w:t>Obwohl für Resomer</w:t>
      </w:r>
      <w:r w:rsidR="00AD6887" w:rsidRPr="00AD6887">
        <w:rPr>
          <w:vertAlign w:val="superscript"/>
        </w:rPr>
        <w:sym w:font="Symbol" w:char="F0D2"/>
      </w:r>
      <w:r>
        <w:t xml:space="preserve"> RG 753 H die Ausbeute mit 5% sehr gering war, sollen die Ergebnisse der Partikelgrößenmessung nicht unerwähnt bleiben.</w:t>
      </w:r>
      <w:r w:rsidR="007E2344">
        <w:t xml:space="preserve"> Der mittlere Partikeldurchmesser betr</w:t>
      </w:r>
      <w:r w:rsidR="006030EF">
        <w:t>ug 393</w:t>
      </w:r>
      <w:r w:rsidR="00D30671">
        <w:t> nm</w:t>
      </w:r>
      <w:r w:rsidR="006030EF">
        <w:t xml:space="preserve"> (</w:t>
      </w:r>
      <w:r w:rsidR="006030EF">
        <w:rPr>
          <w:rFonts w:cs="Times New Roman"/>
        </w:rPr>
        <w:t>±</w:t>
      </w:r>
      <w:r w:rsidR="006030EF">
        <w:t>47,3 nm)</w:t>
      </w:r>
      <w:r w:rsidR="00D30671">
        <w:t xml:space="preserve"> bei einem PDI von 0,015</w:t>
      </w:r>
      <w:r w:rsidR="007E2344">
        <w:t>. Die Par</w:t>
      </w:r>
      <w:r w:rsidR="00D30671">
        <w:t xml:space="preserve">tikelgrößenverteilung ist in </w:t>
      </w:r>
      <w:r w:rsidR="00D16240">
        <w:fldChar w:fldCharType="begin"/>
      </w:r>
      <w:r w:rsidR="00D30671">
        <w:instrText xml:space="preserve"> REF _Ref269066013 \h </w:instrText>
      </w:r>
      <w:r w:rsidR="00D16240">
        <w:fldChar w:fldCharType="separate"/>
      </w:r>
      <w:r w:rsidR="00711AB8" w:rsidRPr="00D30671">
        <w:t xml:space="preserve">Abbildung </w:t>
      </w:r>
      <w:r w:rsidR="00711AB8">
        <w:rPr>
          <w:noProof/>
        </w:rPr>
        <w:t>45</w:t>
      </w:r>
      <w:r w:rsidR="00D16240">
        <w:fldChar w:fldCharType="end"/>
      </w:r>
      <w:r w:rsidR="007E2344">
        <w:t xml:space="preserve"> dargestellt.</w:t>
      </w:r>
    </w:p>
    <w:p w14:paraId="7220B87C" w14:textId="77777777" w:rsidR="009A2476" w:rsidRDefault="009A2476" w:rsidP="009A2476">
      <w:pPr>
        <w:spacing w:after="0"/>
      </w:pPr>
    </w:p>
    <w:p w14:paraId="6C525079" w14:textId="77777777" w:rsidR="007E2344" w:rsidRDefault="007E2344" w:rsidP="00D30671">
      <w:pPr>
        <w:spacing w:after="120" w:line="240" w:lineRule="auto"/>
        <w:jc w:val="center"/>
      </w:pPr>
      <w:r>
        <w:rPr>
          <w:noProof/>
          <w:lang w:eastAsia="de-DE"/>
        </w:rPr>
        <w:lastRenderedPageBreak/>
        <w:drawing>
          <wp:inline distT="0" distB="0" distL="0" distR="0" wp14:anchorId="68111CC6" wp14:editId="7389CC4A">
            <wp:extent cx="5375275" cy="2740660"/>
            <wp:effectExtent l="0" t="0" r="9525" b="2540"/>
            <wp:docPr id="8" name="Diagramm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2CE633A9" w14:textId="77777777" w:rsidR="00D30671" w:rsidRDefault="00D30671" w:rsidP="007E7407">
      <w:pPr>
        <w:pStyle w:val="Beschriftung"/>
        <w:ind w:firstLine="0"/>
        <w:rPr>
          <w:b w:val="0"/>
        </w:rPr>
      </w:pPr>
      <w:bookmarkStart w:id="279" w:name="_Ref269066013"/>
      <w:r w:rsidRPr="00D30671">
        <w:t xml:space="preserve">Abbildung </w:t>
      </w:r>
      <w:fldSimple w:instr=" SEQ Abbildung \* ARABIC ">
        <w:r w:rsidR="00711AB8">
          <w:rPr>
            <w:noProof/>
          </w:rPr>
          <w:t>45</w:t>
        </w:r>
      </w:fldSimple>
      <w:bookmarkEnd w:id="279"/>
      <w:r>
        <w:t xml:space="preserve"> </w:t>
      </w:r>
      <w:r>
        <w:rPr>
          <w:b w:val="0"/>
        </w:rPr>
        <w:t>Resomer</w:t>
      </w:r>
      <w:r w:rsidR="007E7407" w:rsidRPr="00902C2E">
        <w:rPr>
          <w:vertAlign w:val="superscript"/>
        </w:rPr>
        <w:t>®</w:t>
      </w:r>
      <w:r>
        <w:rPr>
          <w:b w:val="0"/>
        </w:rPr>
        <w:t xml:space="preserve"> RG 753 H</w:t>
      </w:r>
      <w:r w:rsidR="005B2CE3">
        <w:rPr>
          <w:b w:val="0"/>
        </w:rPr>
        <w:t xml:space="preserve"> Partikelsuspension</w:t>
      </w:r>
      <w:r>
        <w:rPr>
          <w:b w:val="0"/>
        </w:rPr>
        <w:t xml:space="preserve">; </w:t>
      </w:r>
      <w:r w:rsidRPr="003A6B39">
        <w:rPr>
          <w:b w:val="0"/>
        </w:rPr>
        <w:t xml:space="preserve">DLS </w:t>
      </w:r>
      <w:r>
        <w:rPr>
          <w:b w:val="0"/>
        </w:rPr>
        <w:t>Partikelgrößenverteilung</w:t>
      </w:r>
      <w:r w:rsidR="00216741">
        <w:rPr>
          <w:b w:val="0"/>
        </w:rPr>
        <w:t>.</w:t>
      </w:r>
    </w:p>
    <w:p w14:paraId="16589E0F" w14:textId="77777777" w:rsidR="009F351E" w:rsidRDefault="009F351E" w:rsidP="009A2476">
      <w:pPr>
        <w:spacing w:after="120"/>
      </w:pPr>
    </w:p>
    <w:p w14:paraId="60B459BF" w14:textId="77777777" w:rsidR="00D30671" w:rsidRPr="00D30671" w:rsidRDefault="00D30671" w:rsidP="00D30671">
      <w:r>
        <w:t>Die Verteilungsbreite der Partikelgröße ist noch geringer als bei den Partikeln aus Resomer</w:t>
      </w:r>
      <w:r w:rsidR="007E7407" w:rsidRPr="00902C2E">
        <w:rPr>
          <w:vertAlign w:val="superscript"/>
        </w:rPr>
        <w:t>®</w:t>
      </w:r>
      <w:r>
        <w:t xml:space="preserve"> RG 752 H. Dafür sprechen der niedrige PDI von 0,015 sowie die Tatsache, dass kein nennenswerter Unterschied zwischen intensitäts-, anzahl- und volumengewichteter Verteilung besteht.</w:t>
      </w:r>
    </w:p>
    <w:p w14:paraId="01E3EC5A" w14:textId="77777777" w:rsidR="003B37C5" w:rsidRDefault="003B37C5" w:rsidP="00ED4563">
      <w:pPr>
        <w:pStyle w:val="berschrift4"/>
      </w:pPr>
      <w:bookmarkStart w:id="280" w:name="_Toc294380271"/>
      <w:r>
        <w:t>Rasterelektronenmikroskopie</w:t>
      </w:r>
      <w:bookmarkEnd w:id="280"/>
    </w:p>
    <w:p w14:paraId="1FEEE4C1" w14:textId="77777777" w:rsidR="00B400E9" w:rsidRDefault="00B400E9" w:rsidP="007E581F">
      <w:r>
        <w:t>Die Rasterelektronenmikroskopie (REM) ist die Methode der Wahl, um die Partikelmorphologie zu untersuchen. Außerdem kann anhand von REM Aufnahmen das Ergebnis der DLS Partikelgrößenmessung überprüft werden und es kann eine Aussage darüber getroffen werden, ob die Partikel einzeln oder als Agglomerate vorliegen.</w:t>
      </w:r>
      <w:r w:rsidR="00447587">
        <w:t xml:space="preserve"> Zur Erstellung der Aufnahmen wurde ein Rasterelektronenmikroskop des Typs JSM-6610LA der Firma Jeol Ltd., Tokyo, Japan verwendet. Die Aufnahmen wurden mit einer Beschleunigungsspannung zwischen 7 und 10 kV und einem </w:t>
      </w:r>
      <w:r w:rsidR="00BB6B1B">
        <w:t>Arbeitsabstand zwischen 8 und 12</w:t>
      </w:r>
      <w:r w:rsidR="00447587">
        <w:t xml:space="preserve"> mm erstellt.</w:t>
      </w:r>
    </w:p>
    <w:p w14:paraId="2ACA9277" w14:textId="77777777" w:rsidR="009A2476" w:rsidRDefault="009A2476" w:rsidP="009A2476">
      <w:pPr>
        <w:spacing w:after="0"/>
      </w:pPr>
    </w:p>
    <w:p w14:paraId="38619B40" w14:textId="77777777" w:rsidR="007E581F" w:rsidRDefault="00570862" w:rsidP="00300532">
      <w:pPr>
        <w:spacing w:after="40" w:line="240" w:lineRule="auto"/>
      </w:pPr>
      <w:r w:rsidRPr="00570862">
        <w:rPr>
          <w:noProof/>
          <w:lang w:eastAsia="de-DE"/>
        </w:rPr>
        <w:lastRenderedPageBreak/>
        <w:drawing>
          <wp:inline distT="0" distB="0" distL="0" distR="0" wp14:anchorId="086F3676" wp14:editId="2D88FED9">
            <wp:extent cx="2688609" cy="2016456"/>
            <wp:effectExtent l="19050" t="19050" r="16510" b="22225"/>
            <wp:docPr id="1741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7" name="Grafik 1"/>
                    <pic:cNvPicPr>
                      <a:picLocks noChangeAspect="1"/>
                    </pic:cNvPicPr>
                  </pic:nvPicPr>
                  <pic:blipFill>
                    <a:blip r:embed="rId81">
                      <a:extLst>
                        <a:ext uri="{BEBA8EAE-BF5A-486C-A8C5-ECC9F3942E4B}">
                          <a14:imgProps xmlns:a14="http://schemas.microsoft.com/office/drawing/2010/main">
                            <a14:imgLayer r:embed="rId82">
                              <a14:imgEffect>
                                <a14:brightnessContrast bright="21000" contrast="18000"/>
                              </a14:imgEffect>
                            </a14:imgLayer>
                          </a14:imgProps>
                        </a:ext>
                        <a:ext uri="{28A0092B-C50C-407E-A947-70E740481C1C}">
                          <a14:useLocalDpi xmlns:a14="http://schemas.microsoft.com/office/drawing/2010/main" val="0"/>
                        </a:ext>
                      </a:extLst>
                    </a:blip>
                    <a:srcRect/>
                    <a:stretch>
                      <a:fillRect/>
                    </a:stretch>
                  </pic:blipFill>
                  <pic:spPr bwMode="auto">
                    <a:xfrm>
                      <a:off x="0" y="0"/>
                      <a:ext cx="2689304" cy="2016977"/>
                    </a:xfrm>
                    <a:prstGeom prst="rect">
                      <a:avLst/>
                    </a:prstGeom>
                    <a:noFill/>
                    <a:ln w="6350">
                      <a:solidFill>
                        <a:schemeClr val="tx1"/>
                      </a:solidFill>
                    </a:ln>
                    <a:extLst/>
                  </pic:spPr>
                </pic:pic>
              </a:graphicData>
            </a:graphic>
          </wp:inline>
        </w:drawing>
      </w:r>
      <w:r w:rsidR="006030EF">
        <w:t xml:space="preserve">   </w:t>
      </w:r>
      <w:r w:rsidR="006030EF" w:rsidRPr="00570862">
        <w:rPr>
          <w:noProof/>
          <w:lang w:eastAsia="de-DE"/>
        </w:rPr>
        <w:drawing>
          <wp:inline distT="0" distB="0" distL="0" distR="0" wp14:anchorId="7BA58439" wp14:editId="17CE8428">
            <wp:extent cx="2688609" cy="2016456"/>
            <wp:effectExtent l="19050" t="19050" r="16510" b="22225"/>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6721.tif"/>
                    <pic:cNvPicPr/>
                  </pic:nvPicPr>
                  <pic:blipFill>
                    <a:blip r:embed="rId83">
                      <a:extLst>
                        <a:ext uri="{BEBA8EAE-BF5A-486C-A8C5-ECC9F3942E4B}">
                          <a14:imgProps xmlns:a14="http://schemas.microsoft.com/office/drawing/2010/main">
                            <a14:imgLayer r:embed="rId84">
                              <a14:imgEffect>
                                <a14:brightnessContrast bright="19000" contrast="3000"/>
                              </a14:imgEffect>
                            </a14:imgLayer>
                          </a14:imgProps>
                        </a:ext>
                        <a:ext uri="{28A0092B-C50C-407E-A947-70E740481C1C}">
                          <a14:useLocalDpi xmlns:a14="http://schemas.microsoft.com/office/drawing/2010/main" val="0"/>
                        </a:ext>
                      </a:extLst>
                    </a:blip>
                    <a:stretch>
                      <a:fillRect/>
                    </a:stretch>
                  </pic:blipFill>
                  <pic:spPr>
                    <a:xfrm>
                      <a:off x="0" y="0"/>
                      <a:ext cx="2698265" cy="2023698"/>
                    </a:xfrm>
                    <a:prstGeom prst="rect">
                      <a:avLst/>
                    </a:prstGeom>
                    <a:ln w="6350">
                      <a:solidFill>
                        <a:schemeClr val="tx1"/>
                      </a:solidFill>
                    </a:ln>
                  </pic:spPr>
                </pic:pic>
              </a:graphicData>
            </a:graphic>
          </wp:inline>
        </w:drawing>
      </w:r>
    </w:p>
    <w:p w14:paraId="138DACB0" w14:textId="77777777" w:rsidR="006030EF" w:rsidRDefault="005D1F40" w:rsidP="00300532">
      <w:pPr>
        <w:spacing w:after="120" w:line="240" w:lineRule="auto"/>
      </w:pPr>
      <w:r>
        <w:tab/>
      </w:r>
      <w:r>
        <w:tab/>
      </w:r>
      <w:r>
        <w:tab/>
        <w:t>(A</w:t>
      </w:r>
      <w:r w:rsidR="00D10D29" w:rsidRPr="00D10D29">
        <w:rPr>
          <w:vertAlign w:val="subscript"/>
        </w:rPr>
        <w:t>1</w:t>
      </w:r>
      <w:r>
        <w:t>)</w:t>
      </w:r>
      <w:r>
        <w:tab/>
      </w:r>
      <w:r>
        <w:tab/>
      </w:r>
      <w:r>
        <w:tab/>
      </w:r>
      <w:r>
        <w:tab/>
      </w:r>
      <w:r>
        <w:tab/>
      </w:r>
      <w:r>
        <w:tab/>
        <w:t>(A</w:t>
      </w:r>
      <w:r w:rsidR="00D10D29" w:rsidRPr="00D10D29">
        <w:rPr>
          <w:vertAlign w:val="subscript"/>
        </w:rPr>
        <w:t>2</w:t>
      </w:r>
      <w:r w:rsidR="00300532">
        <w:t>)</w:t>
      </w:r>
    </w:p>
    <w:p w14:paraId="3D268586" w14:textId="77777777" w:rsidR="00075C53" w:rsidRDefault="00300532" w:rsidP="00300532">
      <w:pPr>
        <w:spacing w:after="40" w:line="240" w:lineRule="auto"/>
      </w:pPr>
      <w:r>
        <w:rPr>
          <w:noProof/>
          <w:lang w:eastAsia="de-DE"/>
        </w:rPr>
        <w:drawing>
          <wp:inline distT="0" distB="0" distL="0" distR="0" wp14:anchorId="68B0B956" wp14:editId="5EC30B08">
            <wp:extent cx="2688609" cy="2020029"/>
            <wp:effectExtent l="19050" t="19050" r="16510" b="1841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BEBA8EAE-BF5A-486C-A8C5-ECC9F3942E4B}">
                          <a14:imgProps xmlns:a14="http://schemas.microsoft.com/office/drawing/2010/main">
                            <a14:imgLayer r:embed="rId86">
                              <a14:imgEffect>
                                <a14:brightnessContrast bright="15000" contrast="5000"/>
                              </a14:imgEffect>
                            </a14:imgLayer>
                          </a14:imgProps>
                        </a:ext>
                      </a:extLst>
                    </a:blip>
                    <a:stretch>
                      <a:fillRect/>
                    </a:stretch>
                  </pic:blipFill>
                  <pic:spPr>
                    <a:xfrm>
                      <a:off x="0" y="0"/>
                      <a:ext cx="2689763" cy="2020896"/>
                    </a:xfrm>
                    <a:prstGeom prst="rect">
                      <a:avLst/>
                    </a:prstGeom>
                    <a:ln w="6350">
                      <a:solidFill>
                        <a:schemeClr val="tx1"/>
                      </a:solidFill>
                    </a:ln>
                  </pic:spPr>
                </pic:pic>
              </a:graphicData>
            </a:graphic>
          </wp:inline>
        </w:drawing>
      </w:r>
      <w:r>
        <w:t xml:space="preserve"> </w:t>
      </w:r>
      <w:r w:rsidR="00B819FC" w:rsidRPr="00B819FC">
        <w:t xml:space="preserve"> </w:t>
      </w:r>
      <w:r w:rsidR="006030EF">
        <w:t xml:space="preserve"> </w:t>
      </w:r>
      <w:r w:rsidR="006030EF" w:rsidRPr="00075C53">
        <w:rPr>
          <w:noProof/>
          <w:lang w:eastAsia="de-DE"/>
        </w:rPr>
        <w:drawing>
          <wp:inline distT="0" distB="0" distL="0" distR="0" wp14:anchorId="7B8B163B" wp14:editId="21E0DDF5">
            <wp:extent cx="2695433" cy="2012448"/>
            <wp:effectExtent l="19050" t="19050" r="10160" b="2603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87" cstate="print">
                      <a:extLst>
                        <a:ext uri="{BEBA8EAE-BF5A-486C-A8C5-ECC9F3942E4B}">
                          <a14:imgProps xmlns:a14="http://schemas.microsoft.com/office/drawing/2010/main">
                            <a14:imgLayer r:embed="rId88">
                              <a14:imgEffect>
                                <a14:brightnessContrast bright="16000" contrast="12000"/>
                              </a14:imgEffect>
                            </a14:imgLayer>
                          </a14:imgProps>
                        </a:ext>
                        <a:ext uri="{28A0092B-C50C-407E-A947-70E740481C1C}">
                          <a14:useLocalDpi xmlns:a14="http://schemas.microsoft.com/office/drawing/2010/main" val="0"/>
                        </a:ext>
                      </a:extLst>
                    </a:blip>
                    <a:srcRect/>
                    <a:stretch>
                      <a:fillRect/>
                    </a:stretch>
                  </pic:blipFill>
                  <pic:spPr bwMode="auto">
                    <a:xfrm>
                      <a:off x="0" y="0"/>
                      <a:ext cx="2704791" cy="2019435"/>
                    </a:xfrm>
                    <a:prstGeom prst="rect">
                      <a:avLst/>
                    </a:prstGeom>
                    <a:noFill/>
                    <a:ln w="6350">
                      <a:solidFill>
                        <a:schemeClr val="tx1"/>
                      </a:solidFill>
                    </a:ln>
                    <a:effectLst/>
                    <a:extLst/>
                  </pic:spPr>
                </pic:pic>
              </a:graphicData>
            </a:graphic>
          </wp:inline>
        </w:drawing>
      </w:r>
    </w:p>
    <w:p w14:paraId="09DD3841" w14:textId="77777777" w:rsidR="006030EF" w:rsidRDefault="005D1F40" w:rsidP="00300532">
      <w:pPr>
        <w:spacing w:line="240" w:lineRule="auto"/>
      </w:pPr>
      <w:r>
        <w:tab/>
      </w:r>
      <w:r>
        <w:tab/>
      </w:r>
      <w:r>
        <w:tab/>
        <w:t>(B</w:t>
      </w:r>
      <w:r w:rsidR="00D10D29" w:rsidRPr="00D10D29">
        <w:rPr>
          <w:vertAlign w:val="subscript"/>
        </w:rPr>
        <w:t>1</w:t>
      </w:r>
      <w:r>
        <w:t>)</w:t>
      </w:r>
      <w:r>
        <w:tab/>
      </w:r>
      <w:r>
        <w:tab/>
      </w:r>
      <w:r>
        <w:tab/>
      </w:r>
      <w:r>
        <w:tab/>
      </w:r>
      <w:r>
        <w:tab/>
      </w:r>
      <w:r>
        <w:tab/>
        <w:t>(B</w:t>
      </w:r>
      <w:r w:rsidR="00D10D29" w:rsidRPr="00D10D29">
        <w:rPr>
          <w:vertAlign w:val="subscript"/>
        </w:rPr>
        <w:t>2</w:t>
      </w:r>
      <w:r w:rsidR="00300532">
        <w:t>)</w:t>
      </w:r>
    </w:p>
    <w:p w14:paraId="06C3CF89" w14:textId="77777777" w:rsidR="00075C53" w:rsidRPr="007E581F" w:rsidRDefault="007E581F" w:rsidP="007E7407">
      <w:pPr>
        <w:pStyle w:val="Beschriftung"/>
        <w:ind w:firstLine="0"/>
        <w:rPr>
          <w:b w:val="0"/>
        </w:rPr>
      </w:pPr>
      <w:r w:rsidRPr="007E581F">
        <w:t xml:space="preserve">Abbildung </w:t>
      </w:r>
      <w:fldSimple w:instr=" SEQ Abbildung \* ARABIC ">
        <w:r w:rsidR="00711AB8">
          <w:rPr>
            <w:noProof/>
          </w:rPr>
          <w:t>46</w:t>
        </w:r>
      </w:fldSimple>
      <w:r>
        <w:t xml:space="preserve"> </w:t>
      </w:r>
      <w:r w:rsidRPr="007E581F">
        <w:rPr>
          <w:b w:val="0"/>
        </w:rPr>
        <w:t>REM</w:t>
      </w:r>
      <w:r>
        <w:rPr>
          <w:b w:val="0"/>
        </w:rPr>
        <w:t xml:space="preserve"> Aufn</w:t>
      </w:r>
      <w:r w:rsidR="00570862">
        <w:rPr>
          <w:b w:val="0"/>
        </w:rPr>
        <w:t>ahmen von Resomer</w:t>
      </w:r>
      <w:r w:rsidR="007E7407" w:rsidRPr="00902C2E">
        <w:rPr>
          <w:vertAlign w:val="superscript"/>
        </w:rPr>
        <w:t>®</w:t>
      </w:r>
      <w:r>
        <w:rPr>
          <w:b w:val="0"/>
        </w:rPr>
        <w:t xml:space="preserve"> </w:t>
      </w:r>
      <w:r w:rsidR="00B819FC">
        <w:rPr>
          <w:b w:val="0"/>
        </w:rPr>
        <w:t xml:space="preserve">RG 752 H </w:t>
      </w:r>
      <w:r w:rsidR="00BB6B1B">
        <w:rPr>
          <w:b w:val="0"/>
        </w:rPr>
        <w:t>Partikeln</w:t>
      </w:r>
      <w:r w:rsidR="00C4274A">
        <w:rPr>
          <w:b w:val="0"/>
        </w:rPr>
        <w:t xml:space="preserve"> aus kontinuierlichem Sprühvorgang</w:t>
      </w:r>
      <w:r w:rsidR="009B48FA">
        <w:rPr>
          <w:b w:val="0"/>
        </w:rPr>
        <w:t>;</w:t>
      </w:r>
      <w:r w:rsidR="00BB6B1B">
        <w:rPr>
          <w:b w:val="0"/>
        </w:rPr>
        <w:t xml:space="preserve"> </w:t>
      </w:r>
      <w:r w:rsidR="00C4274A">
        <w:rPr>
          <w:b w:val="0"/>
        </w:rPr>
        <w:t xml:space="preserve">                            </w:t>
      </w:r>
      <w:r w:rsidR="00300532" w:rsidRPr="009F3293">
        <w:t>(</w:t>
      </w:r>
      <w:r w:rsidR="005D1F40" w:rsidRPr="009F3293">
        <w:t>A</w:t>
      </w:r>
      <w:r w:rsidR="00D10D29" w:rsidRPr="009F3293">
        <w:rPr>
          <w:vertAlign w:val="subscript"/>
        </w:rPr>
        <w:t>1</w:t>
      </w:r>
      <w:r w:rsidR="00300532" w:rsidRPr="009F3293">
        <w:t>),</w:t>
      </w:r>
      <w:r w:rsidR="009B48FA" w:rsidRPr="009F3293">
        <w:t xml:space="preserve"> </w:t>
      </w:r>
      <w:r w:rsidR="00D10D29" w:rsidRPr="009F3293">
        <w:t>(</w:t>
      </w:r>
      <w:r w:rsidR="005D1F40" w:rsidRPr="009F3293">
        <w:t>A</w:t>
      </w:r>
      <w:r w:rsidR="00D10D29" w:rsidRPr="009F3293">
        <w:rPr>
          <w:vertAlign w:val="subscript"/>
        </w:rPr>
        <w:t>2</w:t>
      </w:r>
      <w:r w:rsidR="00300532" w:rsidRPr="009F3293">
        <w:t>)</w:t>
      </w:r>
      <w:r>
        <w:rPr>
          <w:b w:val="0"/>
        </w:rPr>
        <w:t>: </w:t>
      </w:r>
      <w:r w:rsidR="005D1F40">
        <w:rPr>
          <w:b w:val="0"/>
        </w:rPr>
        <w:t xml:space="preserve">Gleiche Charge wie </w:t>
      </w:r>
      <w:r w:rsidR="009F3293">
        <w:rPr>
          <w:b w:val="0"/>
        </w:rPr>
        <w:t>Probe Nr. 1 in</w:t>
      </w:r>
      <w:r w:rsidR="00300532">
        <w:rPr>
          <w:b w:val="0"/>
        </w:rPr>
        <w:t xml:space="preserve"> </w:t>
      </w:r>
      <w:r w:rsidR="00057BAF">
        <w:fldChar w:fldCharType="begin"/>
      </w:r>
      <w:r w:rsidR="00057BAF">
        <w:instrText xml:space="preserve"> REF _Ref268465103 \h  \* MERGEFORMAT </w:instrText>
      </w:r>
      <w:r w:rsidR="00057BAF">
        <w:fldChar w:fldCharType="separate"/>
      </w:r>
      <w:r w:rsidR="00711AB8" w:rsidRPr="00711AB8">
        <w:rPr>
          <w:b w:val="0"/>
        </w:rPr>
        <w:t xml:space="preserve">Tabelle </w:t>
      </w:r>
      <w:r w:rsidR="00711AB8" w:rsidRPr="00711AB8">
        <w:rPr>
          <w:b w:val="0"/>
          <w:noProof/>
        </w:rPr>
        <w:t>29</w:t>
      </w:r>
      <w:r w:rsidR="00057BAF">
        <w:fldChar w:fldCharType="end"/>
      </w:r>
      <w:r w:rsidR="00300532">
        <w:rPr>
          <w:b w:val="0"/>
        </w:rPr>
        <w:t xml:space="preserve">; </w:t>
      </w:r>
      <w:r>
        <w:rPr>
          <w:b w:val="0"/>
        </w:rPr>
        <w:t xml:space="preserve">Partikelsuspension 1:10 </w:t>
      </w:r>
      <w:r w:rsidR="00300532">
        <w:rPr>
          <w:b w:val="0"/>
        </w:rPr>
        <w:t xml:space="preserve">mit Ethanol </w:t>
      </w:r>
      <w:r>
        <w:rPr>
          <w:b w:val="0"/>
        </w:rPr>
        <w:t xml:space="preserve">verdünnt und </w:t>
      </w:r>
      <w:r w:rsidR="005D1F40">
        <w:rPr>
          <w:b w:val="0"/>
        </w:rPr>
        <w:t xml:space="preserve">auf einem Probenträger </w:t>
      </w:r>
      <w:r>
        <w:rPr>
          <w:b w:val="0"/>
        </w:rPr>
        <w:t>eingetrockne</w:t>
      </w:r>
      <w:r w:rsidR="00B819FC">
        <w:rPr>
          <w:b w:val="0"/>
        </w:rPr>
        <w:t>t</w:t>
      </w:r>
      <w:r w:rsidR="00D10D29">
        <w:rPr>
          <w:b w:val="0"/>
        </w:rPr>
        <w:t xml:space="preserve">; </w:t>
      </w:r>
      <w:r w:rsidR="00D10D29" w:rsidRPr="009F3293">
        <w:t>(</w:t>
      </w:r>
      <w:r w:rsidR="005D1F40" w:rsidRPr="009F3293">
        <w:t>B</w:t>
      </w:r>
      <w:r w:rsidR="00D10D29" w:rsidRPr="009F3293">
        <w:rPr>
          <w:vertAlign w:val="subscript"/>
        </w:rPr>
        <w:t>1</w:t>
      </w:r>
      <w:r w:rsidR="00300532" w:rsidRPr="009F3293">
        <w:t>),</w:t>
      </w:r>
      <w:r w:rsidR="009B48FA" w:rsidRPr="009F3293">
        <w:t xml:space="preserve"> </w:t>
      </w:r>
      <w:r w:rsidR="00D10D29" w:rsidRPr="009F3293">
        <w:t>(</w:t>
      </w:r>
      <w:r w:rsidR="005D1F40" w:rsidRPr="009F3293">
        <w:t>B</w:t>
      </w:r>
      <w:r w:rsidR="00D10D29" w:rsidRPr="009F3293">
        <w:rPr>
          <w:vertAlign w:val="subscript"/>
        </w:rPr>
        <w:t>2</w:t>
      </w:r>
      <w:r w:rsidR="00300532" w:rsidRPr="009F3293">
        <w:t>)</w:t>
      </w:r>
      <w:r>
        <w:rPr>
          <w:b w:val="0"/>
        </w:rPr>
        <w:t>: </w:t>
      </w:r>
      <w:r w:rsidR="009F3293">
        <w:rPr>
          <w:b w:val="0"/>
        </w:rPr>
        <w:t>entspricht Probe Nr. 3 in</w:t>
      </w:r>
      <w:r w:rsidR="00300532">
        <w:rPr>
          <w:b w:val="0"/>
        </w:rPr>
        <w:t xml:space="preserve"> </w:t>
      </w:r>
      <w:r w:rsidR="00057BAF">
        <w:fldChar w:fldCharType="begin"/>
      </w:r>
      <w:r w:rsidR="00057BAF">
        <w:instrText xml:space="preserve"> REF _Ref268465103 \h  \* MERGEFORMAT </w:instrText>
      </w:r>
      <w:r w:rsidR="00057BAF">
        <w:fldChar w:fldCharType="separate"/>
      </w:r>
      <w:r w:rsidR="00711AB8" w:rsidRPr="00711AB8">
        <w:rPr>
          <w:b w:val="0"/>
        </w:rPr>
        <w:t xml:space="preserve">Tabelle </w:t>
      </w:r>
      <w:r w:rsidR="00711AB8" w:rsidRPr="00711AB8">
        <w:rPr>
          <w:b w:val="0"/>
          <w:noProof/>
        </w:rPr>
        <w:t>29</w:t>
      </w:r>
      <w:r w:rsidR="00057BAF">
        <w:fldChar w:fldCharType="end"/>
      </w:r>
      <w:r w:rsidR="009F3293">
        <w:rPr>
          <w:b w:val="0"/>
        </w:rPr>
        <w:t xml:space="preserve"> vor dem Redispergieren</w:t>
      </w:r>
      <w:r w:rsidR="00300532">
        <w:rPr>
          <w:b w:val="0"/>
        </w:rPr>
        <w:t xml:space="preserve">; </w:t>
      </w:r>
      <w:r w:rsidR="000B4E44">
        <w:rPr>
          <w:b w:val="0"/>
        </w:rPr>
        <w:t>gefriergetrocknete Partikel</w:t>
      </w:r>
      <w:r w:rsidR="00216741">
        <w:rPr>
          <w:b w:val="0"/>
        </w:rPr>
        <w:t>.</w:t>
      </w:r>
    </w:p>
    <w:p w14:paraId="20FD7DE8" w14:textId="77777777" w:rsidR="009F351E" w:rsidRDefault="009F351E" w:rsidP="009F351E">
      <w:pPr>
        <w:spacing w:after="0"/>
      </w:pPr>
    </w:p>
    <w:p w14:paraId="37D3FD88" w14:textId="77777777" w:rsidR="005763F5" w:rsidRDefault="00570862" w:rsidP="005763F5">
      <w:r>
        <w:t>In den e</w:t>
      </w:r>
      <w:r w:rsidR="00095DCC">
        <w:t>lektronenmikroskopischen Aufnahmen der Partikelpro</w:t>
      </w:r>
      <w:r>
        <w:t>ben</w:t>
      </w:r>
      <w:r w:rsidR="00095DCC">
        <w:t xml:space="preserve"> </w:t>
      </w:r>
      <w:r>
        <w:t>spiegeln sich</w:t>
      </w:r>
      <w:r w:rsidR="004B556D">
        <w:t xml:space="preserve"> </w:t>
      </w:r>
      <w:r w:rsidR="00C56EAE">
        <w:t>die Ergebnisse der DLS Me</w:t>
      </w:r>
      <w:r w:rsidR="00095DCC">
        <w:t>ssung</w:t>
      </w:r>
      <w:r>
        <w:t>en klar wieder</w:t>
      </w:r>
      <w:r w:rsidR="00095DCC">
        <w:t xml:space="preserve">. </w:t>
      </w:r>
      <w:r w:rsidR="004B556D">
        <w:t xml:space="preserve">Der mittlere Partikeldurchmesser liegt </w:t>
      </w:r>
      <w:r w:rsidR="009F7A43">
        <w:t>für Resomer</w:t>
      </w:r>
      <w:r w:rsidR="00DE1605" w:rsidRPr="00DE1605">
        <w:rPr>
          <w:vertAlign w:val="superscript"/>
        </w:rPr>
        <w:sym w:font="Symbol" w:char="F0D2"/>
      </w:r>
      <w:r w:rsidR="009F7A43">
        <w:t xml:space="preserve"> RG 752 H </w:t>
      </w:r>
      <w:r w:rsidR="004B556D">
        <w:t>im Bereich zwischen 300 nm und 350 nm.</w:t>
      </w:r>
      <w:r w:rsidR="009F7A43">
        <w:t xml:space="preserve"> Die Partikel aus Resomer</w:t>
      </w:r>
      <w:r w:rsidR="00DE1605" w:rsidRPr="00E93D21">
        <w:rPr>
          <w:vertAlign w:val="superscript"/>
        </w:rPr>
        <w:sym w:font="Symbol" w:char="F0D2"/>
      </w:r>
      <w:r w:rsidR="009F7A43">
        <w:t xml:space="preserve"> RG 753 H </w:t>
      </w:r>
      <w:r w:rsidR="005763F5">
        <w:t>(</w:t>
      </w:r>
      <w:r w:rsidR="00D16240">
        <w:fldChar w:fldCharType="begin"/>
      </w:r>
      <w:r w:rsidR="005763F5">
        <w:instrText xml:space="preserve"> REF _Ref269068528 \h </w:instrText>
      </w:r>
      <w:r w:rsidR="00D16240">
        <w:fldChar w:fldCharType="separate"/>
      </w:r>
      <w:r w:rsidR="00711AB8" w:rsidRPr="005763F5">
        <w:t xml:space="preserve">Abbildung </w:t>
      </w:r>
      <w:r w:rsidR="00711AB8">
        <w:rPr>
          <w:noProof/>
        </w:rPr>
        <w:t>47</w:t>
      </w:r>
      <w:r w:rsidR="00D16240">
        <w:fldChar w:fldCharType="end"/>
      </w:r>
      <w:r w:rsidR="005763F5">
        <w:t xml:space="preserve">) </w:t>
      </w:r>
      <w:r w:rsidR="009F7A43">
        <w:t>haben einen mittleren Partikelgrößendurchmesser zwischen 370 nm und 420 nm und sind damit durchschnittlich um etwa 70 nm größer als die Partikel aus Resomer</w:t>
      </w:r>
      <w:r w:rsidR="00DE1605" w:rsidRPr="00E93D21">
        <w:rPr>
          <w:vertAlign w:val="superscript"/>
        </w:rPr>
        <w:sym w:font="Symbol" w:char="F0D2"/>
      </w:r>
      <w:r w:rsidR="009F7A43">
        <w:t> RG 752 H.</w:t>
      </w:r>
      <w:r w:rsidR="004B556D">
        <w:t xml:space="preserve"> Einzelne</w:t>
      </w:r>
      <w:r w:rsidR="00C56EAE">
        <w:t xml:space="preserve"> wenige</w:t>
      </w:r>
      <w:r w:rsidR="004B556D">
        <w:t xml:space="preserve"> Partikel mit einer Größe bis zu maximal 800 nm sind </w:t>
      </w:r>
      <w:r w:rsidR="009F7A43">
        <w:t xml:space="preserve">bei allen Proben </w:t>
      </w:r>
      <w:r w:rsidR="004B556D">
        <w:t>erkennbar. Die Partikelgrößenverteilung ist</w:t>
      </w:r>
      <w:r w:rsidR="00C56EAE">
        <w:t xml:space="preserve"> dennoch</w:t>
      </w:r>
      <w:r w:rsidR="004B556D">
        <w:t xml:space="preserve"> eng und die Partikel weisen eine sphärische Form auf. In der ethanolischen Suspension liegen die Partikel einzeln vor und sind nicht agglomeriert. Im Lyophilisat liegen die Partikel a</w:t>
      </w:r>
      <w:r w:rsidR="00952C84">
        <w:t>gglomeriert vor, lassen sich jedoch</w:t>
      </w:r>
      <w:r w:rsidR="004B556D">
        <w:t xml:space="preserve"> volls</w:t>
      </w:r>
      <w:r w:rsidR="00952C84">
        <w:t>tändig in Wasser redispergieren</w:t>
      </w:r>
      <w:r w:rsidR="007970F4">
        <w:t>, was mittels DLS Messung gezeigt wurde</w:t>
      </w:r>
      <w:r w:rsidR="004B556D">
        <w:t xml:space="preserve"> (</w:t>
      </w:r>
      <w:r w:rsidR="005763F5">
        <w:t xml:space="preserve">Probe Nr. 3 in </w:t>
      </w:r>
      <w:r w:rsidR="00D16240">
        <w:fldChar w:fldCharType="begin"/>
      </w:r>
      <w:r w:rsidR="004B556D">
        <w:instrText xml:space="preserve"> REF _Ref268465103 \h </w:instrText>
      </w:r>
      <w:r w:rsidR="00D16240">
        <w:fldChar w:fldCharType="separate"/>
      </w:r>
      <w:r w:rsidR="00711AB8" w:rsidRPr="002844AC">
        <w:t xml:space="preserve">Tabelle </w:t>
      </w:r>
      <w:r w:rsidR="00711AB8">
        <w:rPr>
          <w:noProof/>
        </w:rPr>
        <w:t>29</w:t>
      </w:r>
      <w:r w:rsidR="00D16240">
        <w:fldChar w:fldCharType="end"/>
      </w:r>
      <w:r w:rsidR="004B556D">
        <w:t>).</w:t>
      </w:r>
    </w:p>
    <w:p w14:paraId="5AB2127C" w14:textId="77777777" w:rsidR="009A2476" w:rsidRDefault="009A2476" w:rsidP="009A2476">
      <w:pPr>
        <w:spacing w:after="0"/>
        <w:rPr>
          <w:noProof/>
          <w:lang w:eastAsia="de-DE"/>
        </w:rPr>
      </w:pPr>
    </w:p>
    <w:p w14:paraId="7C7C1535" w14:textId="77777777" w:rsidR="000B4E44" w:rsidRDefault="005763F5" w:rsidP="000B4E44">
      <w:pPr>
        <w:spacing w:after="120" w:line="240" w:lineRule="auto"/>
        <w:jc w:val="center"/>
      </w:pPr>
      <w:r>
        <w:rPr>
          <w:noProof/>
          <w:lang w:eastAsia="de-DE"/>
        </w:rPr>
        <w:lastRenderedPageBreak/>
        <w:drawing>
          <wp:inline distT="0" distB="0" distL="0" distR="0" wp14:anchorId="4AAFB1AE" wp14:editId="51404A75">
            <wp:extent cx="2796054" cy="2097042"/>
            <wp:effectExtent l="19050" t="19050" r="23495" b="1778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90220.tif"/>
                    <pic:cNvPicPr/>
                  </pic:nvPicPr>
                  <pic:blipFill>
                    <a:blip r:embed="rId89">
                      <a:extLst>
                        <a:ext uri="{BEBA8EAE-BF5A-486C-A8C5-ECC9F3942E4B}">
                          <a14:imgProps xmlns:a14="http://schemas.microsoft.com/office/drawing/2010/main">
                            <a14:imgLayer r:embed="rId90">
                              <a14:imgEffect>
                                <a14:brightnessContrast bright="20000" contrast="13000"/>
                              </a14:imgEffect>
                            </a14:imgLayer>
                          </a14:imgProps>
                        </a:ext>
                        <a:ext uri="{28A0092B-C50C-407E-A947-70E740481C1C}">
                          <a14:useLocalDpi xmlns:a14="http://schemas.microsoft.com/office/drawing/2010/main" val="0"/>
                        </a:ext>
                      </a:extLst>
                    </a:blip>
                    <a:stretch>
                      <a:fillRect/>
                    </a:stretch>
                  </pic:blipFill>
                  <pic:spPr>
                    <a:xfrm>
                      <a:off x="0" y="0"/>
                      <a:ext cx="2817790" cy="2113344"/>
                    </a:xfrm>
                    <a:prstGeom prst="rect">
                      <a:avLst/>
                    </a:prstGeom>
                    <a:ln w="6350">
                      <a:solidFill>
                        <a:schemeClr val="tx1"/>
                      </a:solidFill>
                    </a:ln>
                  </pic:spPr>
                </pic:pic>
              </a:graphicData>
            </a:graphic>
          </wp:inline>
        </w:drawing>
      </w:r>
      <w:r w:rsidR="006D23C8">
        <w:t xml:space="preserve"> </w:t>
      </w:r>
      <w:r w:rsidR="000B4E44">
        <w:t xml:space="preserve"> </w:t>
      </w:r>
      <w:r w:rsidR="000B4E44" w:rsidRPr="005763F5">
        <w:rPr>
          <w:noProof/>
          <w:lang w:eastAsia="de-DE"/>
        </w:rPr>
        <w:drawing>
          <wp:inline distT="0" distB="0" distL="0" distR="0" wp14:anchorId="2A755A13" wp14:editId="730D5022">
            <wp:extent cx="2785484" cy="2089112"/>
            <wp:effectExtent l="19050" t="19050" r="15240" b="26035"/>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90225.tif"/>
                    <pic:cNvPicPr/>
                  </pic:nvPicPr>
                  <pic:blipFill>
                    <a:blip r:embed="rId91">
                      <a:extLst>
                        <a:ext uri="{BEBA8EAE-BF5A-486C-A8C5-ECC9F3942E4B}">
                          <a14:imgProps xmlns:a14="http://schemas.microsoft.com/office/drawing/2010/main">
                            <a14:imgLayer r:embed="rId92">
                              <a14:imgEffect>
                                <a14:brightnessContrast bright="27000" contrast="11000"/>
                              </a14:imgEffect>
                            </a14:imgLayer>
                          </a14:imgProps>
                        </a:ext>
                        <a:ext uri="{28A0092B-C50C-407E-A947-70E740481C1C}">
                          <a14:useLocalDpi xmlns:a14="http://schemas.microsoft.com/office/drawing/2010/main" val="0"/>
                        </a:ext>
                      </a:extLst>
                    </a:blip>
                    <a:stretch>
                      <a:fillRect/>
                    </a:stretch>
                  </pic:blipFill>
                  <pic:spPr>
                    <a:xfrm>
                      <a:off x="0" y="0"/>
                      <a:ext cx="2838271" cy="2128702"/>
                    </a:xfrm>
                    <a:prstGeom prst="rect">
                      <a:avLst/>
                    </a:prstGeom>
                    <a:ln w="6350">
                      <a:solidFill>
                        <a:schemeClr val="tx1"/>
                      </a:solidFill>
                    </a:ln>
                  </pic:spPr>
                </pic:pic>
              </a:graphicData>
            </a:graphic>
          </wp:inline>
        </w:drawing>
      </w:r>
    </w:p>
    <w:p w14:paraId="3F467D40" w14:textId="77777777" w:rsidR="005763F5" w:rsidRPr="005763F5" w:rsidRDefault="005763F5" w:rsidP="007E7407">
      <w:pPr>
        <w:pStyle w:val="Beschriftung"/>
        <w:ind w:firstLine="0"/>
        <w:rPr>
          <w:b w:val="0"/>
        </w:rPr>
      </w:pPr>
      <w:bookmarkStart w:id="281" w:name="_Ref269068528"/>
      <w:r w:rsidRPr="005763F5">
        <w:t xml:space="preserve">Abbildung </w:t>
      </w:r>
      <w:fldSimple w:instr=" SEQ Abbildung \* ARABIC ">
        <w:r w:rsidR="00711AB8">
          <w:rPr>
            <w:noProof/>
          </w:rPr>
          <w:t>47</w:t>
        </w:r>
      </w:fldSimple>
      <w:bookmarkEnd w:id="281"/>
      <w:r>
        <w:t xml:space="preserve"> </w:t>
      </w:r>
      <w:r>
        <w:rPr>
          <w:b w:val="0"/>
        </w:rPr>
        <w:t>REM Aufnahmen von Resomer</w:t>
      </w:r>
      <w:r w:rsidR="007E7407" w:rsidRPr="00902C2E">
        <w:rPr>
          <w:vertAlign w:val="superscript"/>
        </w:rPr>
        <w:t>®</w:t>
      </w:r>
      <w:r>
        <w:rPr>
          <w:b w:val="0"/>
        </w:rPr>
        <w:t xml:space="preserve"> RG 753 H Partikeln aus kontinuierlichem Sprühvorgang; rechts und links: </w:t>
      </w:r>
      <w:r w:rsidRPr="005763F5">
        <w:rPr>
          <w:b w:val="0"/>
        </w:rPr>
        <w:t>Partikelsuspension mit Ethanol 1:10 verdünnt und eingetrocknet auf einem Probenträger</w:t>
      </w:r>
      <w:r w:rsidR="00216741">
        <w:rPr>
          <w:b w:val="0"/>
        </w:rPr>
        <w:t>.</w:t>
      </w:r>
    </w:p>
    <w:p w14:paraId="0E3FE8C7" w14:textId="77777777" w:rsidR="003B37C5" w:rsidRDefault="003B37C5" w:rsidP="00ED4563">
      <w:pPr>
        <w:pStyle w:val="berschrift4"/>
      </w:pPr>
      <w:bookmarkStart w:id="282" w:name="_Toc294380272"/>
      <w:r>
        <w:t>Verkapselungseffizienz des Modellwirkstoffes</w:t>
      </w:r>
      <w:bookmarkEnd w:id="282"/>
    </w:p>
    <w:p w14:paraId="44D1DCAE" w14:textId="77777777" w:rsidR="00903412" w:rsidRDefault="00952C84" w:rsidP="00903412">
      <w:r>
        <w:t>Es wurde geprüft</w:t>
      </w:r>
      <w:r w:rsidR="00DE65B7">
        <w:t>, ob die RESS Methode zur effizienten Mikroverkapselung des wasserlöslichen Modellpeptides</w:t>
      </w:r>
      <w:r w:rsidR="00931F61">
        <w:t xml:space="preserve"> Desmopressi</w:t>
      </w:r>
      <w:r w:rsidR="00DE65B7">
        <w:t>n in PLGA geeignet ist, womit sie eine industriell und ökologisch attraktive Alternative zur Doppelemulsionsmethode darstellen würde.</w:t>
      </w:r>
    </w:p>
    <w:p w14:paraId="420BD681" w14:textId="77777777" w:rsidR="00445FA1" w:rsidRDefault="00630E96" w:rsidP="00903412">
      <w:r>
        <w:t>Dazu wurden 70 mg Desmopressina</w:t>
      </w:r>
      <w:r w:rsidR="00C855C0">
        <w:t xml:space="preserve">cetat zusammen mit </w:t>
      </w:r>
      <w:r w:rsidR="00962569">
        <w:t>700 mg Resomer</w:t>
      </w:r>
      <w:r w:rsidR="00216741" w:rsidRPr="00906DB9">
        <w:rPr>
          <w:b/>
          <w:color w:val="000000" w:themeColor="text1"/>
          <w:vertAlign w:val="superscript"/>
        </w:rPr>
        <w:sym w:font="Symbol" w:char="F0D2"/>
      </w:r>
      <w:r w:rsidR="00962569">
        <w:t> RG 752 H und 130 </w:t>
      </w:r>
      <w:r w:rsidR="00C855C0">
        <w:t>g Ethanol in den Hochdruckbehälter eingefüllt, mit CO</w:t>
      </w:r>
      <w:r w:rsidR="00C855C0" w:rsidRPr="00C855C0">
        <w:rPr>
          <w:vertAlign w:val="subscript"/>
        </w:rPr>
        <w:t>2</w:t>
      </w:r>
      <w:r w:rsidR="00C855C0">
        <w:t xml:space="preserve"> beaufschlagt und nach drei stündiger Lösungsphase über einen Zeitraum von einer Stunde hinweg versprüht.</w:t>
      </w:r>
    </w:p>
    <w:p w14:paraId="5B30DDCA" w14:textId="77777777" w:rsidR="00C855C0" w:rsidRDefault="00C855C0" w:rsidP="00016B33">
      <w:pPr>
        <w:spacing w:after="120"/>
      </w:pPr>
      <w:r>
        <w:t>Zur Auswertung des Versuchs wurde per HPLC Meth</w:t>
      </w:r>
      <w:r w:rsidR="00630E96">
        <w:t>ode der Gehalt an Desmopressina</w:t>
      </w:r>
      <w:r>
        <w:t xml:space="preserve">cetat in </w:t>
      </w:r>
      <w:r w:rsidR="00D46B2B">
        <w:t>den Polymerpartikeln, im Ethanol-Übersta</w:t>
      </w:r>
      <w:r w:rsidR="000139C0">
        <w:t>nd aus der Sprühkammer sowie im Rückstand aus dem</w:t>
      </w:r>
      <w:r w:rsidR="00D46B2B">
        <w:t xml:space="preserve"> Hochdruckbehälter bestimmt. Die Massenbilanz des M</w:t>
      </w:r>
      <w:r w:rsidR="000139C0">
        <w:t xml:space="preserve">odellwirkstoffes </w:t>
      </w:r>
      <w:r w:rsidR="00076E9C">
        <w:t>für den Verkapselungsversuch mit</w:t>
      </w:r>
      <w:r w:rsidR="00DE65B7">
        <w:t xml:space="preserve"> der semi-kontinuierlichen RESS </w:t>
      </w:r>
      <w:r w:rsidR="00076E9C">
        <w:t xml:space="preserve">Methode </w:t>
      </w:r>
      <w:r w:rsidR="000139C0">
        <w:t xml:space="preserve">ist </w:t>
      </w:r>
      <w:r w:rsidR="00D16240">
        <w:fldChar w:fldCharType="begin"/>
      </w:r>
      <w:r w:rsidR="000139C0">
        <w:instrText xml:space="preserve"> REF _Ref268550050 \h </w:instrText>
      </w:r>
      <w:r w:rsidR="00D16240">
        <w:fldChar w:fldCharType="separate"/>
      </w:r>
      <w:r w:rsidR="00711AB8" w:rsidRPr="007F1DD4">
        <w:t xml:space="preserve">Tabelle </w:t>
      </w:r>
      <w:r w:rsidR="00711AB8">
        <w:rPr>
          <w:noProof/>
        </w:rPr>
        <w:t>30</w:t>
      </w:r>
      <w:r w:rsidR="00D16240">
        <w:fldChar w:fldCharType="end"/>
      </w:r>
      <w:r w:rsidR="00D46B2B">
        <w:t xml:space="preserve"> zu entnehmen.</w:t>
      </w:r>
    </w:p>
    <w:p w14:paraId="7CB980CC" w14:textId="77777777" w:rsidR="003F5F69" w:rsidRDefault="003F5F69" w:rsidP="003F5F69">
      <w:pPr>
        <w:spacing w:after="0"/>
      </w:pPr>
    </w:p>
    <w:p w14:paraId="738EF9F5" w14:textId="77777777" w:rsidR="007F1DD4" w:rsidRPr="007F1DD4" w:rsidRDefault="007F1DD4" w:rsidP="007E7407">
      <w:pPr>
        <w:pStyle w:val="Beschriftung"/>
        <w:ind w:firstLine="0"/>
        <w:rPr>
          <w:b w:val="0"/>
        </w:rPr>
      </w:pPr>
      <w:bookmarkStart w:id="283" w:name="_Ref268550050"/>
      <w:r w:rsidRPr="007F1DD4">
        <w:t xml:space="preserve">Tabelle </w:t>
      </w:r>
      <w:fldSimple w:instr=" SEQ Tabelle \* ARABIC ">
        <w:r w:rsidR="00711AB8">
          <w:rPr>
            <w:noProof/>
          </w:rPr>
          <w:t>30</w:t>
        </w:r>
      </w:fldSimple>
      <w:bookmarkEnd w:id="283"/>
      <w:r>
        <w:t xml:space="preserve"> </w:t>
      </w:r>
      <w:r>
        <w:rPr>
          <w:b w:val="0"/>
        </w:rPr>
        <w:t>Massenbilanz des</w:t>
      </w:r>
      <w:r w:rsidR="00630E96">
        <w:rPr>
          <w:b w:val="0"/>
        </w:rPr>
        <w:t xml:space="preserve"> Modellwirkstoffes Desmopressina</w:t>
      </w:r>
      <w:r>
        <w:rPr>
          <w:b w:val="0"/>
        </w:rPr>
        <w:t>cetat</w:t>
      </w:r>
      <w:r w:rsidR="00CC1152">
        <w:rPr>
          <w:b w:val="0"/>
        </w:rPr>
        <w:t xml:space="preserve"> beim Verkapselungsversuch per RESS-Methode</w:t>
      </w:r>
      <w:r w:rsidR="00630E96">
        <w:rPr>
          <w:b w:val="0"/>
        </w:rPr>
        <w:t>.</w:t>
      </w:r>
    </w:p>
    <w:tbl>
      <w:tblPr>
        <w:tblStyle w:val="Tabellenraster"/>
        <w:tblW w:w="0" w:type="auto"/>
        <w:tblLook w:val="04A0" w:firstRow="1" w:lastRow="0" w:firstColumn="1" w:lastColumn="0" w:noHBand="0" w:noVBand="1"/>
      </w:tblPr>
      <w:tblGrid>
        <w:gridCol w:w="1518"/>
        <w:gridCol w:w="1521"/>
        <w:gridCol w:w="1550"/>
        <w:gridCol w:w="1531"/>
        <w:gridCol w:w="1926"/>
        <w:gridCol w:w="1242"/>
      </w:tblGrid>
      <w:tr w:rsidR="00D46B2B" w14:paraId="6D953994" w14:textId="77777777" w:rsidTr="009E27A0">
        <w:trPr>
          <w:trHeight w:val="797"/>
        </w:trPr>
        <w:tc>
          <w:tcPr>
            <w:tcW w:w="1518" w:type="dxa"/>
            <w:tcBorders>
              <w:top w:val="single" w:sz="8" w:space="0" w:color="auto"/>
              <w:left w:val="single" w:sz="8" w:space="0" w:color="auto"/>
              <w:bottom w:val="single" w:sz="8" w:space="0" w:color="auto"/>
              <w:right w:val="single" w:sz="8" w:space="0" w:color="auto"/>
            </w:tcBorders>
            <w:shd w:val="clear" w:color="auto" w:fill="E6E6E6"/>
          </w:tcPr>
          <w:p w14:paraId="4F1822EA" w14:textId="77777777" w:rsidR="007F1DD4" w:rsidRPr="006D23C8" w:rsidRDefault="00D46B2B" w:rsidP="0068562C">
            <w:pPr>
              <w:spacing w:line="240" w:lineRule="auto"/>
              <w:jc w:val="center"/>
              <w:rPr>
                <w:b/>
                <w:sz w:val="20"/>
                <w:szCs w:val="20"/>
              </w:rPr>
            </w:pPr>
            <w:r w:rsidRPr="006D23C8">
              <w:rPr>
                <w:b/>
                <w:sz w:val="20"/>
                <w:szCs w:val="20"/>
              </w:rPr>
              <w:t>Einwaage</w:t>
            </w:r>
          </w:p>
        </w:tc>
        <w:tc>
          <w:tcPr>
            <w:tcW w:w="1521" w:type="dxa"/>
            <w:tcBorders>
              <w:top w:val="single" w:sz="8" w:space="0" w:color="auto"/>
              <w:left w:val="single" w:sz="8" w:space="0" w:color="auto"/>
              <w:bottom w:val="single" w:sz="8" w:space="0" w:color="auto"/>
              <w:right w:val="single" w:sz="8" w:space="0" w:color="auto"/>
            </w:tcBorders>
            <w:shd w:val="clear" w:color="auto" w:fill="E6E6E6"/>
          </w:tcPr>
          <w:p w14:paraId="6C004F09" w14:textId="77777777" w:rsidR="00D46B2B" w:rsidRPr="006D23C8" w:rsidRDefault="007F1DD4" w:rsidP="0068562C">
            <w:pPr>
              <w:spacing w:line="240" w:lineRule="auto"/>
              <w:jc w:val="center"/>
              <w:rPr>
                <w:b/>
                <w:sz w:val="20"/>
                <w:szCs w:val="20"/>
              </w:rPr>
            </w:pPr>
            <w:r w:rsidRPr="006D23C8">
              <w:rPr>
                <w:b/>
                <w:sz w:val="20"/>
                <w:szCs w:val="20"/>
              </w:rPr>
              <w:t>Anteil</w:t>
            </w:r>
            <w:r w:rsidR="00D46B2B" w:rsidRPr="006D23C8">
              <w:rPr>
                <w:b/>
                <w:sz w:val="20"/>
                <w:szCs w:val="20"/>
              </w:rPr>
              <w:t xml:space="preserve"> im Überstand</w:t>
            </w:r>
            <w:r w:rsidR="0018589B" w:rsidRPr="006D23C8">
              <w:rPr>
                <w:b/>
                <w:sz w:val="20"/>
                <w:szCs w:val="20"/>
              </w:rPr>
              <w:t xml:space="preserve"> Ethanol</w:t>
            </w:r>
          </w:p>
        </w:tc>
        <w:tc>
          <w:tcPr>
            <w:tcW w:w="1550" w:type="dxa"/>
            <w:tcBorders>
              <w:top w:val="single" w:sz="8" w:space="0" w:color="auto"/>
              <w:left w:val="single" w:sz="8" w:space="0" w:color="auto"/>
              <w:bottom w:val="single" w:sz="8" w:space="0" w:color="auto"/>
              <w:right w:val="single" w:sz="8" w:space="0" w:color="auto"/>
            </w:tcBorders>
            <w:shd w:val="clear" w:color="auto" w:fill="E6E6E6"/>
          </w:tcPr>
          <w:p w14:paraId="62E4F8EA" w14:textId="77777777" w:rsidR="00D46B2B" w:rsidRPr="006D23C8" w:rsidRDefault="0018589B" w:rsidP="0068562C">
            <w:pPr>
              <w:spacing w:line="240" w:lineRule="auto"/>
              <w:jc w:val="center"/>
              <w:rPr>
                <w:b/>
                <w:sz w:val="20"/>
                <w:szCs w:val="20"/>
              </w:rPr>
            </w:pPr>
            <w:r w:rsidRPr="006D23C8">
              <w:rPr>
                <w:b/>
                <w:sz w:val="20"/>
                <w:szCs w:val="20"/>
              </w:rPr>
              <w:t xml:space="preserve">In Polymer </w:t>
            </w:r>
            <w:r w:rsidR="00962569" w:rsidRPr="006D23C8">
              <w:rPr>
                <w:b/>
                <w:sz w:val="20"/>
                <w:szCs w:val="20"/>
              </w:rPr>
              <w:t>v</w:t>
            </w:r>
            <w:r w:rsidR="007F1DD4" w:rsidRPr="006D23C8">
              <w:rPr>
                <w:b/>
                <w:sz w:val="20"/>
                <w:szCs w:val="20"/>
              </w:rPr>
              <w:t>erkapselter Anteil</w:t>
            </w:r>
          </w:p>
        </w:tc>
        <w:tc>
          <w:tcPr>
            <w:tcW w:w="1531" w:type="dxa"/>
            <w:tcBorders>
              <w:top w:val="single" w:sz="8" w:space="0" w:color="auto"/>
              <w:left w:val="single" w:sz="8" w:space="0" w:color="auto"/>
              <w:bottom w:val="single" w:sz="8" w:space="0" w:color="auto"/>
              <w:right w:val="single" w:sz="8" w:space="0" w:color="auto"/>
            </w:tcBorders>
            <w:shd w:val="clear" w:color="auto" w:fill="E6E6E6"/>
          </w:tcPr>
          <w:p w14:paraId="052E1189" w14:textId="77777777" w:rsidR="00D46B2B" w:rsidRPr="006D23C8" w:rsidRDefault="007F1DD4" w:rsidP="0068562C">
            <w:pPr>
              <w:spacing w:line="240" w:lineRule="auto"/>
              <w:jc w:val="center"/>
              <w:rPr>
                <w:b/>
                <w:sz w:val="20"/>
                <w:szCs w:val="20"/>
              </w:rPr>
            </w:pPr>
            <w:r w:rsidRPr="006D23C8">
              <w:rPr>
                <w:b/>
                <w:sz w:val="20"/>
                <w:szCs w:val="20"/>
              </w:rPr>
              <w:t xml:space="preserve">Im </w:t>
            </w:r>
            <w:r w:rsidR="0018589B" w:rsidRPr="006D23C8">
              <w:rPr>
                <w:b/>
                <w:sz w:val="20"/>
                <w:szCs w:val="20"/>
              </w:rPr>
              <w:t>Autoklav</w:t>
            </w:r>
            <w:r w:rsidRPr="006D23C8">
              <w:rPr>
                <w:b/>
                <w:sz w:val="20"/>
                <w:szCs w:val="20"/>
              </w:rPr>
              <w:t xml:space="preserve"> verbliebener Anteil</w:t>
            </w:r>
          </w:p>
        </w:tc>
        <w:tc>
          <w:tcPr>
            <w:tcW w:w="1926" w:type="dxa"/>
            <w:tcBorders>
              <w:top w:val="single" w:sz="8" w:space="0" w:color="auto"/>
              <w:left w:val="single" w:sz="8" w:space="0" w:color="auto"/>
              <w:bottom w:val="single" w:sz="8" w:space="0" w:color="auto"/>
              <w:right w:val="single" w:sz="8" w:space="0" w:color="auto"/>
            </w:tcBorders>
            <w:shd w:val="clear" w:color="auto" w:fill="E6E6E6"/>
          </w:tcPr>
          <w:p w14:paraId="53637728" w14:textId="77777777" w:rsidR="00D46B2B" w:rsidRPr="006D23C8" w:rsidRDefault="00CC1152" w:rsidP="0068562C">
            <w:pPr>
              <w:spacing w:line="240" w:lineRule="auto"/>
              <w:jc w:val="center"/>
              <w:rPr>
                <w:b/>
                <w:sz w:val="20"/>
                <w:szCs w:val="20"/>
              </w:rPr>
            </w:pPr>
            <w:r w:rsidRPr="006D23C8">
              <w:rPr>
                <w:b/>
                <w:sz w:val="20"/>
                <w:szCs w:val="20"/>
              </w:rPr>
              <w:t xml:space="preserve">In </w:t>
            </w:r>
            <w:r w:rsidR="007F1DD4" w:rsidRPr="006D23C8">
              <w:rPr>
                <w:b/>
                <w:sz w:val="20"/>
                <w:szCs w:val="20"/>
              </w:rPr>
              <w:t>Sprühkammer verbliebener Anteil</w:t>
            </w:r>
          </w:p>
        </w:tc>
        <w:tc>
          <w:tcPr>
            <w:tcW w:w="1242" w:type="dxa"/>
            <w:tcBorders>
              <w:top w:val="single" w:sz="8" w:space="0" w:color="auto"/>
              <w:left w:val="single" w:sz="8" w:space="0" w:color="auto"/>
              <w:bottom w:val="single" w:sz="8" w:space="0" w:color="auto"/>
              <w:right w:val="single" w:sz="8" w:space="0" w:color="auto"/>
            </w:tcBorders>
            <w:shd w:val="clear" w:color="auto" w:fill="E6E6E6"/>
          </w:tcPr>
          <w:p w14:paraId="29DF10D3" w14:textId="77777777" w:rsidR="00D46B2B" w:rsidRPr="006D23C8" w:rsidRDefault="0018589B" w:rsidP="0068562C">
            <w:pPr>
              <w:spacing w:line="240" w:lineRule="auto"/>
              <w:jc w:val="center"/>
              <w:rPr>
                <w:b/>
                <w:sz w:val="20"/>
                <w:szCs w:val="20"/>
              </w:rPr>
            </w:pPr>
            <w:r w:rsidRPr="006D23C8">
              <w:rPr>
                <w:b/>
                <w:sz w:val="20"/>
                <w:szCs w:val="20"/>
              </w:rPr>
              <w:t xml:space="preserve">Sonstige </w:t>
            </w:r>
            <w:r w:rsidR="007F1DD4" w:rsidRPr="006D23C8">
              <w:rPr>
                <w:b/>
                <w:sz w:val="20"/>
                <w:szCs w:val="20"/>
              </w:rPr>
              <w:t>Verlust</w:t>
            </w:r>
            <w:r w:rsidRPr="006D23C8">
              <w:rPr>
                <w:b/>
                <w:sz w:val="20"/>
                <w:szCs w:val="20"/>
              </w:rPr>
              <w:t>e</w:t>
            </w:r>
          </w:p>
        </w:tc>
      </w:tr>
      <w:tr w:rsidR="00D46B2B" w14:paraId="44C4D907" w14:textId="77777777" w:rsidTr="009E27A0">
        <w:trPr>
          <w:trHeight w:val="397"/>
        </w:trPr>
        <w:tc>
          <w:tcPr>
            <w:tcW w:w="1518" w:type="dxa"/>
            <w:tcBorders>
              <w:top w:val="single" w:sz="8" w:space="0" w:color="auto"/>
              <w:left w:val="single" w:sz="8" w:space="0" w:color="auto"/>
              <w:bottom w:val="nil"/>
            </w:tcBorders>
            <w:vAlign w:val="center"/>
          </w:tcPr>
          <w:p w14:paraId="10CED52F" w14:textId="77777777" w:rsidR="00D46B2B" w:rsidRPr="006D23C8" w:rsidRDefault="007F1DD4" w:rsidP="007B6CB1">
            <w:pPr>
              <w:spacing w:line="240" w:lineRule="auto"/>
              <w:jc w:val="center"/>
              <w:rPr>
                <w:sz w:val="18"/>
                <w:szCs w:val="18"/>
              </w:rPr>
            </w:pPr>
            <w:r w:rsidRPr="006D23C8">
              <w:rPr>
                <w:sz w:val="18"/>
                <w:szCs w:val="18"/>
              </w:rPr>
              <w:t>70,0 mg</w:t>
            </w:r>
          </w:p>
        </w:tc>
        <w:tc>
          <w:tcPr>
            <w:tcW w:w="1521" w:type="dxa"/>
            <w:tcBorders>
              <w:top w:val="single" w:sz="8" w:space="0" w:color="auto"/>
              <w:bottom w:val="nil"/>
            </w:tcBorders>
            <w:vAlign w:val="center"/>
          </w:tcPr>
          <w:p w14:paraId="69D52DA2" w14:textId="77777777" w:rsidR="00D46B2B" w:rsidRPr="006D23C8" w:rsidRDefault="007F1DD4" w:rsidP="007B6CB1">
            <w:pPr>
              <w:spacing w:line="240" w:lineRule="auto"/>
              <w:jc w:val="center"/>
              <w:rPr>
                <w:sz w:val="18"/>
                <w:szCs w:val="18"/>
              </w:rPr>
            </w:pPr>
            <w:r w:rsidRPr="006D23C8">
              <w:rPr>
                <w:sz w:val="18"/>
                <w:szCs w:val="18"/>
              </w:rPr>
              <w:t>8,38 mg</w:t>
            </w:r>
          </w:p>
        </w:tc>
        <w:tc>
          <w:tcPr>
            <w:tcW w:w="1550" w:type="dxa"/>
            <w:tcBorders>
              <w:top w:val="single" w:sz="8" w:space="0" w:color="auto"/>
              <w:bottom w:val="nil"/>
            </w:tcBorders>
            <w:vAlign w:val="center"/>
          </w:tcPr>
          <w:p w14:paraId="32449D95" w14:textId="77777777" w:rsidR="00D46B2B" w:rsidRPr="006D23C8" w:rsidRDefault="007F1DD4" w:rsidP="007B6CB1">
            <w:pPr>
              <w:spacing w:line="240" w:lineRule="auto"/>
              <w:jc w:val="center"/>
              <w:rPr>
                <w:sz w:val="18"/>
                <w:szCs w:val="18"/>
              </w:rPr>
            </w:pPr>
            <w:r w:rsidRPr="006D23C8">
              <w:rPr>
                <w:sz w:val="18"/>
                <w:szCs w:val="18"/>
              </w:rPr>
              <w:t>0,364 mg</w:t>
            </w:r>
          </w:p>
        </w:tc>
        <w:tc>
          <w:tcPr>
            <w:tcW w:w="1531" w:type="dxa"/>
            <w:tcBorders>
              <w:top w:val="single" w:sz="8" w:space="0" w:color="auto"/>
              <w:bottom w:val="nil"/>
            </w:tcBorders>
            <w:vAlign w:val="center"/>
          </w:tcPr>
          <w:p w14:paraId="0D5E2F07" w14:textId="77777777" w:rsidR="00D46B2B" w:rsidRPr="006D23C8" w:rsidRDefault="007F1DD4" w:rsidP="007B6CB1">
            <w:pPr>
              <w:spacing w:line="240" w:lineRule="auto"/>
              <w:jc w:val="center"/>
              <w:rPr>
                <w:sz w:val="18"/>
                <w:szCs w:val="18"/>
              </w:rPr>
            </w:pPr>
            <w:r w:rsidRPr="006D23C8">
              <w:rPr>
                <w:sz w:val="18"/>
                <w:szCs w:val="18"/>
              </w:rPr>
              <w:t>11,71 mg</w:t>
            </w:r>
          </w:p>
        </w:tc>
        <w:tc>
          <w:tcPr>
            <w:tcW w:w="1926" w:type="dxa"/>
            <w:tcBorders>
              <w:top w:val="single" w:sz="8" w:space="0" w:color="auto"/>
              <w:bottom w:val="nil"/>
            </w:tcBorders>
            <w:vAlign w:val="center"/>
          </w:tcPr>
          <w:p w14:paraId="713EE779" w14:textId="77777777" w:rsidR="00D46B2B" w:rsidRPr="006D23C8" w:rsidRDefault="007F1DD4" w:rsidP="007B6CB1">
            <w:pPr>
              <w:spacing w:line="240" w:lineRule="auto"/>
              <w:jc w:val="center"/>
              <w:rPr>
                <w:sz w:val="18"/>
                <w:szCs w:val="18"/>
              </w:rPr>
            </w:pPr>
            <w:r w:rsidRPr="006D23C8">
              <w:rPr>
                <w:sz w:val="18"/>
                <w:szCs w:val="18"/>
              </w:rPr>
              <w:t>31,2 mg</w:t>
            </w:r>
          </w:p>
        </w:tc>
        <w:tc>
          <w:tcPr>
            <w:tcW w:w="1242" w:type="dxa"/>
            <w:tcBorders>
              <w:top w:val="single" w:sz="8" w:space="0" w:color="auto"/>
              <w:bottom w:val="nil"/>
              <w:right w:val="single" w:sz="8" w:space="0" w:color="auto"/>
            </w:tcBorders>
            <w:vAlign w:val="center"/>
          </w:tcPr>
          <w:p w14:paraId="1542F52F" w14:textId="77777777" w:rsidR="00D46B2B" w:rsidRPr="006D23C8" w:rsidRDefault="007F1DD4" w:rsidP="007B6CB1">
            <w:pPr>
              <w:spacing w:line="240" w:lineRule="auto"/>
              <w:jc w:val="center"/>
              <w:rPr>
                <w:sz w:val="18"/>
                <w:szCs w:val="18"/>
              </w:rPr>
            </w:pPr>
            <w:r w:rsidRPr="006D23C8">
              <w:rPr>
                <w:sz w:val="18"/>
                <w:szCs w:val="18"/>
              </w:rPr>
              <w:t>18,35 mg</w:t>
            </w:r>
          </w:p>
        </w:tc>
      </w:tr>
      <w:tr w:rsidR="00D46B2B" w14:paraId="418210D4" w14:textId="77777777" w:rsidTr="009E27A0">
        <w:trPr>
          <w:trHeight w:val="397"/>
        </w:trPr>
        <w:tc>
          <w:tcPr>
            <w:tcW w:w="1518" w:type="dxa"/>
            <w:tcBorders>
              <w:top w:val="nil"/>
              <w:left w:val="single" w:sz="8" w:space="0" w:color="auto"/>
              <w:bottom w:val="single" w:sz="8" w:space="0" w:color="auto"/>
            </w:tcBorders>
            <w:vAlign w:val="center"/>
          </w:tcPr>
          <w:p w14:paraId="4EC6A9EC" w14:textId="77777777" w:rsidR="00D46B2B" w:rsidRPr="006D23C8" w:rsidRDefault="007F1DD4" w:rsidP="007B6CB1">
            <w:pPr>
              <w:spacing w:line="240" w:lineRule="auto"/>
              <w:jc w:val="center"/>
              <w:rPr>
                <w:sz w:val="18"/>
                <w:szCs w:val="18"/>
              </w:rPr>
            </w:pPr>
            <w:r w:rsidRPr="006D23C8">
              <w:rPr>
                <w:sz w:val="18"/>
                <w:szCs w:val="18"/>
              </w:rPr>
              <w:t>100%</w:t>
            </w:r>
          </w:p>
        </w:tc>
        <w:tc>
          <w:tcPr>
            <w:tcW w:w="1521" w:type="dxa"/>
            <w:tcBorders>
              <w:top w:val="nil"/>
              <w:bottom w:val="single" w:sz="8" w:space="0" w:color="auto"/>
            </w:tcBorders>
            <w:vAlign w:val="center"/>
          </w:tcPr>
          <w:p w14:paraId="3671AE68" w14:textId="77777777" w:rsidR="00D46B2B" w:rsidRPr="006D23C8" w:rsidRDefault="007F1DD4" w:rsidP="007B6CB1">
            <w:pPr>
              <w:spacing w:line="240" w:lineRule="auto"/>
              <w:jc w:val="center"/>
              <w:rPr>
                <w:sz w:val="18"/>
                <w:szCs w:val="18"/>
              </w:rPr>
            </w:pPr>
            <w:r w:rsidRPr="006D23C8">
              <w:rPr>
                <w:sz w:val="18"/>
                <w:szCs w:val="18"/>
              </w:rPr>
              <w:t>12%</w:t>
            </w:r>
          </w:p>
        </w:tc>
        <w:tc>
          <w:tcPr>
            <w:tcW w:w="1550" w:type="dxa"/>
            <w:tcBorders>
              <w:top w:val="nil"/>
              <w:bottom w:val="single" w:sz="8" w:space="0" w:color="auto"/>
            </w:tcBorders>
            <w:vAlign w:val="center"/>
          </w:tcPr>
          <w:p w14:paraId="423CA64B" w14:textId="77777777" w:rsidR="00D46B2B" w:rsidRPr="006D23C8" w:rsidRDefault="007F1DD4" w:rsidP="007B6CB1">
            <w:pPr>
              <w:spacing w:line="240" w:lineRule="auto"/>
              <w:jc w:val="center"/>
              <w:rPr>
                <w:sz w:val="18"/>
                <w:szCs w:val="18"/>
              </w:rPr>
            </w:pPr>
            <w:r w:rsidRPr="006D23C8">
              <w:rPr>
                <w:sz w:val="18"/>
                <w:szCs w:val="18"/>
              </w:rPr>
              <w:t>0,52%</w:t>
            </w:r>
          </w:p>
        </w:tc>
        <w:tc>
          <w:tcPr>
            <w:tcW w:w="1531" w:type="dxa"/>
            <w:tcBorders>
              <w:top w:val="nil"/>
              <w:bottom w:val="single" w:sz="8" w:space="0" w:color="auto"/>
            </w:tcBorders>
            <w:vAlign w:val="center"/>
          </w:tcPr>
          <w:p w14:paraId="2BC47545" w14:textId="77777777" w:rsidR="00D46B2B" w:rsidRPr="006D23C8" w:rsidRDefault="007F1DD4" w:rsidP="007B6CB1">
            <w:pPr>
              <w:spacing w:line="240" w:lineRule="auto"/>
              <w:jc w:val="center"/>
              <w:rPr>
                <w:sz w:val="18"/>
                <w:szCs w:val="18"/>
              </w:rPr>
            </w:pPr>
            <w:r w:rsidRPr="006D23C8">
              <w:rPr>
                <w:sz w:val="18"/>
                <w:szCs w:val="18"/>
              </w:rPr>
              <w:t>16,7%</w:t>
            </w:r>
          </w:p>
        </w:tc>
        <w:tc>
          <w:tcPr>
            <w:tcW w:w="1926" w:type="dxa"/>
            <w:tcBorders>
              <w:top w:val="nil"/>
              <w:bottom w:val="single" w:sz="8" w:space="0" w:color="auto"/>
            </w:tcBorders>
            <w:vAlign w:val="center"/>
          </w:tcPr>
          <w:p w14:paraId="2AD3B2BB" w14:textId="77777777" w:rsidR="00D46B2B" w:rsidRPr="006D23C8" w:rsidRDefault="007F1DD4" w:rsidP="007B6CB1">
            <w:pPr>
              <w:spacing w:line="240" w:lineRule="auto"/>
              <w:jc w:val="center"/>
              <w:rPr>
                <w:sz w:val="18"/>
                <w:szCs w:val="18"/>
              </w:rPr>
            </w:pPr>
            <w:r w:rsidRPr="006D23C8">
              <w:rPr>
                <w:sz w:val="18"/>
                <w:szCs w:val="18"/>
              </w:rPr>
              <w:t>44,6%</w:t>
            </w:r>
          </w:p>
        </w:tc>
        <w:tc>
          <w:tcPr>
            <w:tcW w:w="1242" w:type="dxa"/>
            <w:tcBorders>
              <w:top w:val="nil"/>
              <w:bottom w:val="single" w:sz="8" w:space="0" w:color="auto"/>
              <w:right w:val="single" w:sz="8" w:space="0" w:color="auto"/>
            </w:tcBorders>
            <w:vAlign w:val="center"/>
          </w:tcPr>
          <w:p w14:paraId="167C8189" w14:textId="77777777" w:rsidR="00D46B2B" w:rsidRPr="006D23C8" w:rsidRDefault="007F1DD4" w:rsidP="007B6CB1">
            <w:pPr>
              <w:spacing w:line="240" w:lineRule="auto"/>
              <w:jc w:val="center"/>
              <w:rPr>
                <w:sz w:val="18"/>
                <w:szCs w:val="18"/>
              </w:rPr>
            </w:pPr>
            <w:r w:rsidRPr="006D23C8">
              <w:rPr>
                <w:sz w:val="18"/>
                <w:szCs w:val="18"/>
              </w:rPr>
              <w:t>26,2%</w:t>
            </w:r>
          </w:p>
        </w:tc>
      </w:tr>
    </w:tbl>
    <w:p w14:paraId="35CC675D" w14:textId="77777777" w:rsidR="00903412" w:rsidRDefault="00903412" w:rsidP="00903412"/>
    <w:p w14:paraId="7DA62629" w14:textId="77777777" w:rsidR="00076E9C" w:rsidRDefault="000139C0" w:rsidP="00903412">
      <w:r>
        <w:t>Der in Polymerpartikel verkapselte Anteil</w:t>
      </w:r>
      <w:r w:rsidR="00630E96">
        <w:t xml:space="preserve"> an Desmopressina</w:t>
      </w:r>
      <w:r w:rsidR="0018589B">
        <w:t>cetat b</w:t>
      </w:r>
      <w:r w:rsidR="00D02EF6">
        <w:t>etrug 0,52%</w:t>
      </w:r>
      <w:r w:rsidR="00016B33">
        <w:t xml:space="preserve"> der ursprünglich eingesetzen Menge</w:t>
      </w:r>
      <w:r w:rsidR="00D02EF6">
        <w:t>. D</w:t>
      </w:r>
      <w:r w:rsidR="0018589B">
        <w:t>ies</w:t>
      </w:r>
      <w:r w:rsidR="007F6C5B">
        <w:t>er Wert</w:t>
      </w:r>
      <w:r w:rsidR="00D02EF6">
        <w:t xml:space="preserve"> entspricht der Ver</w:t>
      </w:r>
      <w:r w:rsidR="0018589B">
        <w:t xml:space="preserve">kapselungseffizienz. Der mit 44,6% höchste Anteil lagerte sich auf </w:t>
      </w:r>
      <w:r w:rsidR="00076E9C">
        <w:t>der Wandung der Sprühkammer ab. Der nächsthöchste Anteil von 26,2% wurde nicht wiedergefunden und wird unter sonstige Verluste geführt.</w:t>
      </w:r>
    </w:p>
    <w:p w14:paraId="6A12E8C1" w14:textId="77777777" w:rsidR="00076E9C" w:rsidRDefault="00016B33" w:rsidP="00016B33">
      <w:pPr>
        <w:spacing w:after="240"/>
      </w:pPr>
      <w:r>
        <w:lastRenderedPageBreak/>
        <w:t>Die folgenden Überlegungen</w:t>
      </w:r>
      <w:r w:rsidR="00076E9C">
        <w:t xml:space="preserve"> können als Begründung für die geringe Verkapselungseffizienz herangezogen werden:</w:t>
      </w:r>
    </w:p>
    <w:p w14:paraId="727829AC" w14:textId="77777777" w:rsidR="0069261C" w:rsidRPr="00F049C6" w:rsidRDefault="00630E96" w:rsidP="0069261C">
      <w:pPr>
        <w:numPr>
          <w:ilvl w:val="0"/>
          <w:numId w:val="16"/>
        </w:numPr>
        <w:rPr>
          <w:b/>
        </w:rPr>
      </w:pPr>
      <w:r>
        <w:rPr>
          <w:b/>
        </w:rPr>
        <w:t>Löslichkeit von Desmopressina</w:t>
      </w:r>
      <w:r w:rsidR="0069261C" w:rsidRPr="00F049C6">
        <w:rPr>
          <w:b/>
        </w:rPr>
        <w:t>cetat in Ethanol und PLGA</w:t>
      </w:r>
    </w:p>
    <w:p w14:paraId="06E3AB77" w14:textId="77777777" w:rsidR="0069261C" w:rsidRPr="0069261C" w:rsidRDefault="0069261C" w:rsidP="0069261C">
      <w:pPr>
        <w:ind w:left="708"/>
      </w:pPr>
      <w:r w:rsidRPr="0069261C">
        <w:t>In Vorversuchen wurde f</w:t>
      </w:r>
      <w:r w:rsidR="00630E96">
        <w:t>estgestellt, dass Desmopressina</w:t>
      </w:r>
      <w:r w:rsidRPr="0069261C">
        <w:t xml:space="preserve">cetat gut löslich in </w:t>
      </w:r>
      <w:r w:rsidR="00630E96">
        <w:t>Ethanol ist. 1 mg Desmopressina</w:t>
      </w:r>
      <w:r w:rsidRPr="0069261C">
        <w:t>cetat bildet innerhalb kurzer Zeit eine klare Lösung in 1 ml Ethanol. Weiterhin ist allgemein bekannt, dass hydrophi</w:t>
      </w:r>
      <w:r w:rsidR="00630E96">
        <w:t>le Wirkstoffe wie Desmopressina</w:t>
      </w:r>
      <w:r w:rsidRPr="0069261C">
        <w:t xml:space="preserve">cetat schwer löslich in </w:t>
      </w:r>
      <w:r w:rsidR="00255578">
        <w:t>PLGA sind. Aus diesem Grund weis</w:t>
      </w:r>
      <w:r w:rsidRPr="0069261C">
        <w:t xml:space="preserve">t PLGA mit den </w:t>
      </w:r>
      <w:r w:rsidR="00C56EAE">
        <w:t xml:space="preserve">üblichen Verkapselungsmethoden </w:t>
      </w:r>
      <w:r w:rsidRPr="0069261C">
        <w:t>eine geringe Verkapselungseffizienz für Desmopressin auf.</w:t>
      </w:r>
    </w:p>
    <w:p w14:paraId="6735B0FF" w14:textId="77777777" w:rsidR="0069261C" w:rsidRPr="0069261C" w:rsidRDefault="00255578" w:rsidP="0069261C">
      <w:pPr>
        <w:ind w:left="708"/>
      </w:pPr>
      <w:r>
        <w:t>Beim semi-</w:t>
      </w:r>
      <w:r w:rsidR="0069261C" w:rsidRPr="0069261C">
        <w:t>kontinuierlichen RESS-Verfahren wird der Wirkstoff gemeinsam mit Ethanol und Polymer versprüht, sodass stets ein Verteilungsgleichgewicht zwischen Ethanol- und Polymerphase vorliegt. Die ei</w:t>
      </w:r>
      <w:r w:rsidR="00630E96">
        <w:t>ngesetzte Menge an Desmopressina</w:t>
      </w:r>
      <w:r w:rsidR="0069261C" w:rsidRPr="0069261C">
        <w:t>cetat löst sich beim Befüllen des Autoklaven direkt vollständig in der Ethanolphase und wird sich voraussichtlich nicht in die Polymerphase umverteilen.</w:t>
      </w:r>
    </w:p>
    <w:p w14:paraId="11D40C64" w14:textId="77777777" w:rsidR="0069261C" w:rsidRPr="0069261C" w:rsidRDefault="0069261C" w:rsidP="0069261C">
      <w:pPr>
        <w:ind w:left="708"/>
      </w:pPr>
      <w:r w:rsidRPr="0069261C">
        <w:t xml:space="preserve">Aufgrund der wesentlich höheren Löslichkeit in Ethanol im Vergleich zu PLGA und der </w:t>
      </w:r>
      <w:r w:rsidR="00DE1605">
        <w:t>großen</w:t>
      </w:r>
      <w:r w:rsidRPr="0069261C">
        <w:t xml:space="preserve"> Menge an Lösungsmittel verteilt sich der Wirkstoff</w:t>
      </w:r>
      <w:r w:rsidR="00DE1605">
        <w:t xml:space="preserve"> voraussichtlich auch während der Expansion durch die Düse und der Nukleation der Polymerpartikel</w:t>
      </w:r>
      <w:r w:rsidRPr="0069261C">
        <w:t xml:space="preserve"> deutlich zugunsten der Ethanolphase.</w:t>
      </w:r>
    </w:p>
    <w:p w14:paraId="0EEC256F" w14:textId="77777777" w:rsidR="0069261C" w:rsidRPr="0069261C" w:rsidRDefault="0069261C" w:rsidP="0069261C">
      <w:pPr>
        <w:ind w:left="708"/>
      </w:pPr>
      <w:r w:rsidRPr="0069261C">
        <w:t>In Polymer verkapselte Anteile werden nach Versuchsende relativ schnell wieder in die Ethanolphase freigesetzt.</w:t>
      </w:r>
    </w:p>
    <w:p w14:paraId="1464C348" w14:textId="77777777" w:rsidR="0069261C" w:rsidRPr="0069261C" w:rsidRDefault="0069261C" w:rsidP="0069261C"/>
    <w:p w14:paraId="78A45E38" w14:textId="77777777" w:rsidR="0069261C" w:rsidRPr="00F049C6" w:rsidRDefault="0069261C" w:rsidP="0069261C">
      <w:pPr>
        <w:numPr>
          <w:ilvl w:val="0"/>
          <w:numId w:val="16"/>
        </w:numPr>
        <w:rPr>
          <w:b/>
        </w:rPr>
      </w:pPr>
      <w:r w:rsidRPr="00F049C6">
        <w:rPr>
          <w:b/>
        </w:rPr>
        <w:t>L</w:t>
      </w:r>
      <w:r w:rsidR="00630E96">
        <w:rPr>
          <w:b/>
        </w:rPr>
        <w:t>öslichkeit von Desmopressina</w:t>
      </w:r>
      <w:r w:rsidRPr="00F049C6">
        <w:rPr>
          <w:b/>
        </w:rPr>
        <w:t>cetat in überkritischem Gemisch aus Ethanol und CO</w:t>
      </w:r>
      <w:r w:rsidRPr="00F049C6">
        <w:rPr>
          <w:b/>
          <w:vertAlign w:val="subscript"/>
        </w:rPr>
        <w:t>2</w:t>
      </w:r>
    </w:p>
    <w:p w14:paraId="54BF8BF8" w14:textId="77777777" w:rsidR="0069261C" w:rsidRPr="0069261C" w:rsidRDefault="0069261C" w:rsidP="0069261C">
      <w:pPr>
        <w:ind w:left="708"/>
      </w:pPr>
      <w:r w:rsidRPr="0069261C">
        <w:t xml:space="preserve">Erwartungsgemäß ist die Löslichkeit von hydrophilen Stoffen </w:t>
      </w:r>
      <w:r w:rsidR="00630E96">
        <w:t>wie Peptidsalzen (Desmopressina</w:t>
      </w:r>
      <w:r w:rsidRPr="0069261C">
        <w:t>cetat) in überkritischem CO</w:t>
      </w:r>
      <w:r w:rsidRPr="0069261C">
        <w:rPr>
          <w:vertAlign w:val="subscript"/>
        </w:rPr>
        <w:t>2</w:t>
      </w:r>
      <w:r w:rsidRPr="0069261C">
        <w:t xml:space="preserve"> sehr gering.</w:t>
      </w:r>
    </w:p>
    <w:p w14:paraId="53698C39" w14:textId="77777777" w:rsidR="0069261C" w:rsidRDefault="0069261C" w:rsidP="0069261C">
      <w:pPr>
        <w:ind w:left="708"/>
      </w:pPr>
      <w:r w:rsidRPr="0069261C">
        <w:t>Es ist davon auszugehen, dass der Wirkstoff im Autoklaven ausfällt, sobald das Lösungsmittelgemisch in die überkritische Phase übergeht. Beim gemeinsamen Versprühen mit Ethanol und PLGA geht der Wirkstoff aufgrund der wesentlich höheren Affinität in gelöster Form</w:t>
      </w:r>
      <w:r w:rsidR="00C56EAE">
        <w:t xml:space="preserve"> in</w:t>
      </w:r>
      <w:r w:rsidRPr="0069261C">
        <w:t xml:space="preserve"> die Ethanolphase über.</w:t>
      </w:r>
    </w:p>
    <w:p w14:paraId="13354C76" w14:textId="77777777" w:rsidR="00016B33" w:rsidRDefault="00016B33" w:rsidP="0069261C">
      <w:pPr>
        <w:ind w:left="708"/>
      </w:pPr>
    </w:p>
    <w:p w14:paraId="7EC317F7" w14:textId="77777777" w:rsidR="008607E4" w:rsidRDefault="008607E4" w:rsidP="00ED4563">
      <w:pPr>
        <w:pStyle w:val="berschrift4"/>
      </w:pPr>
      <w:bookmarkStart w:id="284" w:name="_Toc294380273"/>
      <w:r>
        <w:lastRenderedPageBreak/>
        <w:t>Stabilitätsuntersuchungen der Partikelsuspension</w:t>
      </w:r>
      <w:bookmarkEnd w:id="284"/>
    </w:p>
    <w:p w14:paraId="1D7B5B6A" w14:textId="77777777" w:rsidR="003D15B9" w:rsidRDefault="00B429F4" w:rsidP="005763F5">
      <w:r>
        <w:t xml:space="preserve">Um die hergestellten Partikel für die spätere Anwendung oder eine Weiterverarbeitung nutzbar zu machen, ist eine hinreichende Stabilität der Partikelsuspension von entscheidender Bedeutung. </w:t>
      </w:r>
      <w:r w:rsidR="00F05B2F">
        <w:t>Da die</w:t>
      </w:r>
      <w:r w:rsidR="00DE1605">
        <w:t xml:space="preserve"> Suspen</w:t>
      </w:r>
      <w:r w:rsidR="00016B33">
        <w:t>s</w:t>
      </w:r>
      <w:r w:rsidR="00DE1605">
        <w:t>ion</w:t>
      </w:r>
      <w:r w:rsidR="00F05B2F">
        <w:t xml:space="preserve"> durch die Verwendung wasserfreien Ethanols</w:t>
      </w:r>
      <w:r w:rsidR="003D15B9">
        <w:t xml:space="preserve"> weitgehend wasserfrei sein sollte, ist eine hydrolytische Spaltung der Polymere</w:t>
      </w:r>
      <w:r w:rsidR="00914DF2">
        <w:t xml:space="preserve"> allenfalls in sehr geringem Ausmaß möglich. Dies</w:t>
      </w:r>
      <w:r w:rsidR="003D15B9">
        <w:t xml:space="preserve"> sollte sich voraussichtlich positiv auf die Stabilität der PLGA Polymere auswirken. Die Stabilitätsbeurteilung der Suspension erfolgte in der vorliegenden Arbeit allerdings ausschließlich durch Partikelgrößenanalyse und durch die Begutachtung von REM Aufnahmen. Aussagen zur chemischen Stabilität des Polymers können daher nicht getroffen werden.</w:t>
      </w:r>
    </w:p>
    <w:p w14:paraId="206EAE94" w14:textId="77777777" w:rsidR="005763F5" w:rsidRDefault="00B429F4" w:rsidP="005763F5">
      <w:r>
        <w:t>Zur Untersuchung der Stabilität</w:t>
      </w:r>
      <w:r w:rsidR="00DE1605">
        <w:t xml:space="preserve"> der Partikel</w:t>
      </w:r>
      <w:r>
        <w:t xml:space="preserve"> wurde eine Partikelgrößenmessung</w:t>
      </w:r>
      <w:r w:rsidR="00424B0E">
        <w:t xml:space="preserve"> jeweils</w:t>
      </w:r>
      <w:r>
        <w:t xml:space="preserve"> </w:t>
      </w:r>
      <w:r w:rsidR="0076039E">
        <w:t>u</w:t>
      </w:r>
      <w:r w:rsidR="00424B0E">
        <w:t>nmittelbar nach der Herstellung, einen Tag später und nach zwei Monaten Lagerung der ethanolischen Partikel</w:t>
      </w:r>
      <w:r w:rsidR="00A426B8">
        <w:t>suspension im Kühlschrank bei 5</w:t>
      </w:r>
      <w:r w:rsidR="00424B0E">
        <w:t> </w:t>
      </w:r>
      <w:r w:rsidR="00A426B8">
        <w:t>°</w:t>
      </w:r>
      <w:r w:rsidR="00424B0E">
        <w:t>C durchgeführt. Das Ergebnis der DLS Partikelgrößenmessung ist in</w:t>
      </w:r>
      <w:r w:rsidR="009F0899">
        <w:t xml:space="preserve"> </w:t>
      </w:r>
      <w:r w:rsidR="00D16240">
        <w:fldChar w:fldCharType="begin"/>
      </w:r>
      <w:r w:rsidR="009F0899">
        <w:instrText xml:space="preserve"> REF _Ref269074632 \h </w:instrText>
      </w:r>
      <w:r w:rsidR="00D16240">
        <w:fldChar w:fldCharType="separate"/>
      </w:r>
      <w:r w:rsidR="00711AB8" w:rsidRPr="009F0899">
        <w:t xml:space="preserve">Abbildung </w:t>
      </w:r>
      <w:r w:rsidR="00711AB8">
        <w:rPr>
          <w:noProof/>
        </w:rPr>
        <w:t>48</w:t>
      </w:r>
      <w:r w:rsidR="00D16240">
        <w:fldChar w:fldCharType="end"/>
      </w:r>
      <w:r w:rsidR="009F0899">
        <w:t xml:space="preserve"> dargestellt.</w:t>
      </w:r>
      <w:r w:rsidR="00424B0E">
        <w:t xml:space="preserve"> Außerdem wurden nach Ablauf von 2 Monaten erneut REM</w:t>
      </w:r>
      <w:r w:rsidR="009F0899">
        <w:t xml:space="preserve"> Aufnahmen de</w:t>
      </w:r>
      <w:r w:rsidR="00ED4C58">
        <w:t>r Partikel angefertigt, um diese mit den Aufnahmen der frischen Partikelsuspension zu vergleichen (</w:t>
      </w:r>
      <w:r w:rsidR="00D16240">
        <w:fldChar w:fldCharType="begin"/>
      </w:r>
      <w:r w:rsidR="00ED4C58">
        <w:instrText xml:space="preserve"> REF _Ref269075768 \h </w:instrText>
      </w:r>
      <w:r w:rsidR="00D16240">
        <w:fldChar w:fldCharType="separate"/>
      </w:r>
      <w:r w:rsidR="00711AB8" w:rsidRPr="00F26093">
        <w:t xml:space="preserve">Abbildung </w:t>
      </w:r>
      <w:r w:rsidR="00711AB8">
        <w:rPr>
          <w:noProof/>
        </w:rPr>
        <w:t>49</w:t>
      </w:r>
      <w:r w:rsidR="00D16240">
        <w:fldChar w:fldCharType="end"/>
      </w:r>
      <w:r w:rsidR="00F049C6">
        <w:t>).</w:t>
      </w:r>
    </w:p>
    <w:p w14:paraId="512C18AA" w14:textId="77777777" w:rsidR="009A2476" w:rsidRDefault="009A2476" w:rsidP="009A2476">
      <w:pPr>
        <w:spacing w:after="0"/>
      </w:pPr>
    </w:p>
    <w:p w14:paraId="23BB14BD" w14:textId="77777777" w:rsidR="00424B0E" w:rsidRDefault="00424B0E" w:rsidP="009F0899">
      <w:pPr>
        <w:spacing w:after="120" w:line="240" w:lineRule="auto"/>
        <w:jc w:val="center"/>
      </w:pPr>
      <w:r>
        <w:rPr>
          <w:noProof/>
          <w:lang w:eastAsia="de-DE"/>
        </w:rPr>
        <w:drawing>
          <wp:inline distT="0" distB="0" distL="0" distR="0" wp14:anchorId="60C82242" wp14:editId="78D72C31">
            <wp:extent cx="5375403" cy="2685059"/>
            <wp:effectExtent l="0" t="0" r="9525" b="7620"/>
            <wp:docPr id="21" name="Diagramm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5B176E7A" w14:textId="77777777" w:rsidR="00424B0E" w:rsidRDefault="009F0899" w:rsidP="007E7407">
      <w:pPr>
        <w:pStyle w:val="Beschriftung"/>
        <w:ind w:firstLine="0"/>
        <w:rPr>
          <w:b w:val="0"/>
        </w:rPr>
      </w:pPr>
      <w:bookmarkStart w:id="285" w:name="_Ref269074632"/>
      <w:r w:rsidRPr="009F0899">
        <w:t xml:space="preserve">Abbildung </w:t>
      </w:r>
      <w:fldSimple w:instr=" SEQ Abbildung \* ARABIC ">
        <w:r w:rsidR="00711AB8">
          <w:rPr>
            <w:noProof/>
          </w:rPr>
          <w:t>48</w:t>
        </w:r>
      </w:fldSimple>
      <w:bookmarkEnd w:id="285"/>
      <w:r>
        <w:rPr>
          <w:b w:val="0"/>
        </w:rPr>
        <w:t xml:space="preserve"> DLS Messungen einer Resomer</w:t>
      </w:r>
      <w:r w:rsidR="007E7407" w:rsidRPr="00902C2E">
        <w:rPr>
          <w:vertAlign w:val="superscript"/>
        </w:rPr>
        <w:t>®</w:t>
      </w:r>
      <w:r>
        <w:rPr>
          <w:b w:val="0"/>
        </w:rPr>
        <w:t xml:space="preserve"> RG 752 H Partikelsuspension aus dem semi-kontinuierlichen RESS-Prozess zu unterschiedlichen Z</w:t>
      </w:r>
      <w:r w:rsidR="00A426B8">
        <w:rPr>
          <w:b w:val="0"/>
        </w:rPr>
        <w:t>eitpunkten nach Lagerung bei 5 °</w:t>
      </w:r>
      <w:r>
        <w:rPr>
          <w:b w:val="0"/>
        </w:rPr>
        <w:t>C; grün: Messung unmittelbar nach der Herstellung; rot: Messung 1 Tag nach der Herstellung; blau: Messung 2 Monate nach der Herstellung</w:t>
      </w:r>
      <w:r w:rsidR="00255578">
        <w:rPr>
          <w:b w:val="0"/>
        </w:rPr>
        <w:t>.</w:t>
      </w:r>
    </w:p>
    <w:p w14:paraId="2CF613AA" w14:textId="77777777" w:rsidR="009F351E" w:rsidRDefault="009F351E" w:rsidP="009A2476">
      <w:pPr>
        <w:spacing w:after="120"/>
      </w:pPr>
    </w:p>
    <w:p w14:paraId="775D3653" w14:textId="77777777" w:rsidR="009F0899" w:rsidRPr="000D0AFC" w:rsidRDefault="009F0899" w:rsidP="008F7708">
      <w:r>
        <w:t>Die DLS Messungen zu unterschiedlichen Zeitpunkten zeigen, dass die Lagerung der ethanolischen Partikelsuspension über einen Zeitraum von mindestens</w:t>
      </w:r>
      <w:r w:rsidR="009901AC">
        <w:t xml:space="preserve"> zwei Monaten</w:t>
      </w:r>
      <w:r w:rsidR="00ED4C58">
        <w:t xml:space="preserve"> hinweg</w:t>
      </w:r>
      <w:r w:rsidR="009901AC">
        <w:t xml:space="preserve"> keinen </w:t>
      </w:r>
      <w:r w:rsidR="00ED4C58">
        <w:t xml:space="preserve">signifikanten </w:t>
      </w:r>
      <w:r w:rsidR="009901AC">
        <w:t xml:space="preserve">Einfluss auf die Partikelgröße hat. Es ist weder zu einer Agglomeration der Partikel noch zu einem Abbau und damit einer Verkleinerung des Partikeldurchmessers </w:t>
      </w:r>
      <w:r w:rsidR="009901AC">
        <w:lastRenderedPageBreak/>
        <w:t>gekommen.</w:t>
      </w:r>
      <w:r w:rsidR="00D14A07">
        <w:t xml:space="preserve"> </w:t>
      </w:r>
      <w:r w:rsidR="000F022C">
        <w:t>Der</w:t>
      </w:r>
      <w:r w:rsidR="00D14A07">
        <w:t xml:space="preserve"> Abbau von Polymerketten</w:t>
      </w:r>
      <w:r w:rsidR="000F022C">
        <w:t xml:space="preserve"> muss allerdings</w:t>
      </w:r>
      <w:r w:rsidR="00D14A07">
        <w:t xml:space="preserve"> nicht </w:t>
      </w:r>
      <w:r w:rsidR="002E25F1">
        <w:t>zwangsläufig</w:t>
      </w:r>
      <w:r w:rsidR="000D0AFC">
        <w:t xml:space="preserve"> mit einer Veränderung des Parti</w:t>
      </w:r>
      <w:r w:rsidR="000F022C">
        <w:t>keldurchmessers einhergehen</w:t>
      </w:r>
      <w:r w:rsidR="000D0AFC">
        <w:t xml:space="preserve">. Zumindest </w:t>
      </w:r>
      <w:r w:rsidR="000F022C">
        <w:t>in wässrigen Medien</w:t>
      </w:r>
      <w:r w:rsidR="000D0AFC">
        <w:t xml:space="preserve"> erfolgt der Abbau von PLGA zunächst im </w:t>
      </w:r>
      <w:r w:rsidR="000F022C" w:rsidRPr="00EA015F">
        <w:rPr>
          <w:i/>
        </w:rPr>
        <w:t>B</w:t>
      </w:r>
      <w:r w:rsidR="000D0AFC" w:rsidRPr="009679F5">
        <w:rPr>
          <w:i/>
        </w:rPr>
        <w:t>ulk</w:t>
      </w:r>
      <w:r w:rsidR="000D0AFC">
        <w:t xml:space="preserve"> </w:t>
      </w:r>
      <w:r w:rsidR="000F022C">
        <w:t xml:space="preserve">und daher </w:t>
      </w:r>
      <w:r w:rsidR="000D0AFC">
        <w:t>meist ohne messbare Veränderung der Partikelgröße oder der Oberflächenstruktur</w:t>
      </w:r>
      <w:r w:rsidR="00EA015F">
        <w:rPr>
          <w:rStyle w:val="Endnotenzeichen"/>
        </w:rPr>
        <w:endnoteReference w:id="161"/>
      </w:r>
      <w:r w:rsidR="00EA015F">
        <w:rPr>
          <w:vertAlign w:val="superscript"/>
        </w:rPr>
        <w:t>,</w:t>
      </w:r>
      <w:r w:rsidR="00EA015F">
        <w:rPr>
          <w:rStyle w:val="Endnotenzeichen"/>
        </w:rPr>
        <w:endnoteReference w:id="162"/>
      </w:r>
      <w:r w:rsidR="000D0AFC">
        <w:t xml:space="preserve">. Da </w:t>
      </w:r>
      <w:r w:rsidR="002E25F1">
        <w:t>jedoch</w:t>
      </w:r>
      <w:r w:rsidR="000D0AFC">
        <w:t xml:space="preserve"> wie bereits erwähnt allenfalls Spuren von Wasser in der Suspension enthalten sind, kann eine Hydrolyse der Polymere weitgehend ausgeschlossen werden. Die chemische Integrität der</w:t>
      </w:r>
      <w:r w:rsidR="000F022C">
        <w:t xml:space="preserve"> Polymere kann auf Basis der durchgeführten Untersuchungen allerdings nicht mit letz</w:t>
      </w:r>
      <w:r w:rsidR="00016B33">
        <w:t>t</w:t>
      </w:r>
      <w:r w:rsidR="000F022C">
        <w:t>licher Sicherheit garantiert werden.</w:t>
      </w:r>
    </w:p>
    <w:p w14:paraId="4DF9F8A0" w14:textId="77777777" w:rsidR="009A2476" w:rsidRDefault="009A2476" w:rsidP="009A2476">
      <w:pPr>
        <w:spacing w:after="0"/>
      </w:pPr>
    </w:p>
    <w:p w14:paraId="09C3F050" w14:textId="77777777" w:rsidR="009901AC" w:rsidRDefault="00D10D29" w:rsidP="00F26093">
      <w:pPr>
        <w:spacing w:after="120" w:line="240" w:lineRule="auto"/>
      </w:pPr>
      <w:r>
        <w:rPr>
          <w:noProof/>
          <w:lang w:eastAsia="de-DE"/>
        </w:rPr>
        <w:drawing>
          <wp:inline distT="0" distB="0" distL="0" distR="0" wp14:anchorId="71C75B6B" wp14:editId="080B0F63">
            <wp:extent cx="2769627" cy="2083845"/>
            <wp:effectExtent l="19050" t="19050" r="12065" b="1206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BEBA8EAE-BF5A-486C-A8C5-ECC9F3942E4B}">
                          <a14:imgProps xmlns:a14="http://schemas.microsoft.com/office/drawing/2010/main">
                            <a14:imgLayer r:embed="rId95">
                              <a14:imgEffect>
                                <a14:brightnessContrast bright="14000" contrast="5000"/>
                              </a14:imgEffect>
                            </a14:imgLayer>
                          </a14:imgProps>
                        </a:ext>
                      </a:extLst>
                    </a:blip>
                    <a:stretch>
                      <a:fillRect/>
                    </a:stretch>
                  </pic:blipFill>
                  <pic:spPr>
                    <a:xfrm>
                      <a:off x="0" y="0"/>
                      <a:ext cx="2771703" cy="2085407"/>
                    </a:xfrm>
                    <a:prstGeom prst="rect">
                      <a:avLst/>
                    </a:prstGeom>
                    <a:ln w="6350">
                      <a:solidFill>
                        <a:schemeClr val="tx1"/>
                      </a:solidFill>
                    </a:ln>
                  </pic:spPr>
                </pic:pic>
              </a:graphicData>
            </a:graphic>
          </wp:inline>
        </w:drawing>
      </w:r>
      <w:r w:rsidR="00E5438F">
        <w:t xml:space="preserve">   </w:t>
      </w:r>
      <w:r w:rsidR="00E5438F">
        <w:rPr>
          <w:noProof/>
          <w:lang w:eastAsia="de-DE"/>
        </w:rPr>
        <w:drawing>
          <wp:inline distT="0" distB="0" distL="0" distR="0" wp14:anchorId="2B59F1A7" wp14:editId="34985F59">
            <wp:extent cx="2774913" cy="2081185"/>
            <wp:effectExtent l="19050" t="19050" r="26035" b="14605"/>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92359.tif"/>
                    <pic:cNvPicPr/>
                  </pic:nvPicPr>
                  <pic:blipFill>
                    <a:blip r:embed="rId96">
                      <a:extLst>
                        <a:ext uri="{BEBA8EAE-BF5A-486C-A8C5-ECC9F3942E4B}">
                          <a14:imgProps xmlns:a14="http://schemas.microsoft.com/office/drawing/2010/main">
                            <a14:imgLayer r:embed="rId97">
                              <a14:imgEffect>
                                <a14:brightnessContrast bright="15000" contrast="10000"/>
                              </a14:imgEffect>
                            </a14:imgLayer>
                          </a14:imgProps>
                        </a:ext>
                        <a:ext uri="{28A0092B-C50C-407E-A947-70E740481C1C}">
                          <a14:useLocalDpi xmlns:a14="http://schemas.microsoft.com/office/drawing/2010/main" val="0"/>
                        </a:ext>
                      </a:extLst>
                    </a:blip>
                    <a:stretch>
                      <a:fillRect/>
                    </a:stretch>
                  </pic:blipFill>
                  <pic:spPr>
                    <a:xfrm>
                      <a:off x="0" y="0"/>
                      <a:ext cx="2782849" cy="2087137"/>
                    </a:xfrm>
                    <a:prstGeom prst="rect">
                      <a:avLst/>
                    </a:prstGeom>
                    <a:ln w="6350">
                      <a:solidFill>
                        <a:schemeClr val="tx1"/>
                      </a:solidFill>
                    </a:ln>
                  </pic:spPr>
                </pic:pic>
              </a:graphicData>
            </a:graphic>
          </wp:inline>
        </w:drawing>
      </w:r>
    </w:p>
    <w:p w14:paraId="3CE6ECE7" w14:textId="77777777" w:rsidR="00F26093" w:rsidRDefault="00F26093" w:rsidP="00016B33">
      <w:pPr>
        <w:pStyle w:val="Beschriftung"/>
        <w:spacing w:after="120"/>
        <w:ind w:firstLine="0"/>
        <w:rPr>
          <w:b w:val="0"/>
        </w:rPr>
      </w:pPr>
      <w:bookmarkStart w:id="286" w:name="_Ref269075768"/>
      <w:r w:rsidRPr="00F26093">
        <w:t xml:space="preserve">Abbildung </w:t>
      </w:r>
      <w:fldSimple w:instr=" SEQ Abbildung \* ARABIC ">
        <w:r w:rsidR="00711AB8">
          <w:rPr>
            <w:noProof/>
          </w:rPr>
          <w:t>49</w:t>
        </w:r>
      </w:fldSimple>
      <w:bookmarkEnd w:id="286"/>
      <w:r>
        <w:t xml:space="preserve"> </w:t>
      </w:r>
      <w:r>
        <w:rPr>
          <w:b w:val="0"/>
        </w:rPr>
        <w:t>REM Aufnahmen von Resomer</w:t>
      </w:r>
      <w:r w:rsidR="007E7407" w:rsidRPr="00902C2E">
        <w:rPr>
          <w:vertAlign w:val="superscript"/>
        </w:rPr>
        <w:t>®</w:t>
      </w:r>
      <w:r>
        <w:rPr>
          <w:b w:val="0"/>
        </w:rPr>
        <w:t xml:space="preserve"> 752 H Partikeln; links: unmittelbar nach der Herstellung; rechts: 2 Monate nach der Herstellung und Lagerung der</w:t>
      </w:r>
      <w:r w:rsidR="00D14A07">
        <w:rPr>
          <w:b w:val="0"/>
        </w:rPr>
        <w:t xml:space="preserve"> ethanolischen</w:t>
      </w:r>
      <w:r w:rsidR="00A426B8">
        <w:rPr>
          <w:b w:val="0"/>
        </w:rPr>
        <w:t xml:space="preserve"> Suspension bei 5 °</w:t>
      </w:r>
      <w:r>
        <w:rPr>
          <w:b w:val="0"/>
        </w:rPr>
        <w:t>C</w:t>
      </w:r>
      <w:r w:rsidR="00255578">
        <w:rPr>
          <w:b w:val="0"/>
        </w:rPr>
        <w:t>.</w:t>
      </w:r>
    </w:p>
    <w:p w14:paraId="021B2A78" w14:textId="77777777" w:rsidR="00F049C6" w:rsidRDefault="00F049C6" w:rsidP="009A2476">
      <w:pPr>
        <w:spacing w:after="120"/>
      </w:pPr>
    </w:p>
    <w:p w14:paraId="6738FB2F" w14:textId="77777777" w:rsidR="00F26093" w:rsidRDefault="00F26093" w:rsidP="00F26093">
      <w:r>
        <w:t xml:space="preserve">Ein Vergleich der beiden REM Aufnahmen in </w:t>
      </w:r>
      <w:r w:rsidR="00D16240">
        <w:fldChar w:fldCharType="begin"/>
      </w:r>
      <w:r>
        <w:instrText xml:space="preserve"> REF _Ref269075768 \h </w:instrText>
      </w:r>
      <w:r w:rsidR="00D16240">
        <w:fldChar w:fldCharType="separate"/>
      </w:r>
      <w:r w:rsidR="00711AB8" w:rsidRPr="00F26093">
        <w:t xml:space="preserve">Abbildung </w:t>
      </w:r>
      <w:r w:rsidR="00711AB8">
        <w:rPr>
          <w:noProof/>
        </w:rPr>
        <w:t>49</w:t>
      </w:r>
      <w:r w:rsidR="00D16240">
        <w:fldChar w:fldCharType="end"/>
      </w:r>
      <w:r>
        <w:t xml:space="preserve"> zeigt im Einklang mit den Ergebnissen der DLS Analyse</w:t>
      </w:r>
      <w:r w:rsidR="00A426B8">
        <w:t>n, dass die Lagerung bei 5 °</w:t>
      </w:r>
      <w:r>
        <w:t xml:space="preserve">C </w:t>
      </w:r>
      <w:r w:rsidR="00ED4C58">
        <w:t xml:space="preserve">in Ethanol </w:t>
      </w:r>
      <w:r>
        <w:t>über einen Zeitraum von 2 Monate</w:t>
      </w:r>
      <w:r w:rsidR="00ED4C58">
        <w:t>n keine erkennbaren Auswirkungen</w:t>
      </w:r>
      <w:r w:rsidR="006918DA">
        <w:t xml:space="preserve"> auf Größe oder Morphologie der Partikel</w:t>
      </w:r>
      <w:r>
        <w:t xml:space="preserve"> hatte.</w:t>
      </w:r>
    </w:p>
    <w:p w14:paraId="10091FC2" w14:textId="77777777" w:rsidR="00F26093" w:rsidRPr="00F26093" w:rsidRDefault="00C56EAE" w:rsidP="00F26093">
      <w:r>
        <w:t>Bezüglich der Partikelgröße und -morphologie</w:t>
      </w:r>
      <w:r w:rsidR="00F26093">
        <w:t xml:space="preserve"> konnte</w:t>
      </w:r>
      <w:r>
        <w:t xml:space="preserve"> somit</w:t>
      </w:r>
      <w:r w:rsidR="00F26093">
        <w:t xml:space="preserve"> die Stabilität d</w:t>
      </w:r>
      <w:r w:rsidR="00ED4C58">
        <w:t>er ethanolischen Partikelsuspension</w:t>
      </w:r>
      <w:r w:rsidR="00F26093">
        <w:t xml:space="preserve"> als Produkt des semi-kontinuierlichen RESS-Verfahrens über einen Zeitraum von mindestens zwei Monaten hinweg bestätigt werden.</w:t>
      </w:r>
    </w:p>
    <w:p w14:paraId="49140C40" w14:textId="77777777" w:rsidR="003B37C5" w:rsidRDefault="003B37C5" w:rsidP="00ED4563">
      <w:pPr>
        <w:pStyle w:val="berschrift4"/>
      </w:pPr>
      <w:bookmarkStart w:id="287" w:name="_Toc294380274"/>
      <w:r>
        <w:t>Sprühtrocknung der Partikelsuspension</w:t>
      </w:r>
      <w:bookmarkEnd w:id="287"/>
    </w:p>
    <w:p w14:paraId="2126C4A0" w14:textId="77777777" w:rsidR="005D4259" w:rsidRDefault="00E60F2A" w:rsidP="005D4259">
      <w:r>
        <w:t xml:space="preserve">Die Trocknung der Partikelsuspension wurde wie in Abschnitt </w:t>
      </w:r>
      <w:r w:rsidR="00D16240">
        <w:fldChar w:fldCharType="begin"/>
      </w:r>
      <w:r>
        <w:instrText xml:space="preserve"> REF _Ref268459720 \n \h </w:instrText>
      </w:r>
      <w:r w:rsidR="00D16240">
        <w:fldChar w:fldCharType="separate"/>
      </w:r>
      <w:r w:rsidR="00711AB8">
        <w:t>4.6.2</w:t>
      </w:r>
      <w:r w:rsidR="00D16240">
        <w:fldChar w:fldCharType="end"/>
      </w:r>
      <w:r>
        <w:t xml:space="preserve"> beschrieben durchgeführt. Die Ergebnisse der Redispergierbarkeit der getrockneten Partikel mit und ohne Zusatz von PVA als Stabilisator werden in </w:t>
      </w:r>
      <w:r w:rsidR="00D16240">
        <w:fldChar w:fldCharType="begin"/>
      </w:r>
      <w:r>
        <w:instrText xml:space="preserve"> REF _Ref269077415 \h </w:instrText>
      </w:r>
      <w:r w:rsidR="00D16240">
        <w:fldChar w:fldCharType="separate"/>
      </w:r>
      <w:r w:rsidR="00711AB8" w:rsidRPr="00D60500">
        <w:t xml:space="preserve">Abbildung </w:t>
      </w:r>
      <w:r w:rsidR="00711AB8">
        <w:rPr>
          <w:noProof/>
        </w:rPr>
        <w:t>50</w:t>
      </w:r>
      <w:r w:rsidR="00D16240">
        <w:fldChar w:fldCharType="end"/>
      </w:r>
      <w:r>
        <w:t xml:space="preserve"> gezeigt.</w:t>
      </w:r>
    </w:p>
    <w:p w14:paraId="6751EBA4" w14:textId="77777777" w:rsidR="009A2476" w:rsidRDefault="009A2476" w:rsidP="009A2476">
      <w:pPr>
        <w:spacing w:after="0"/>
      </w:pPr>
    </w:p>
    <w:p w14:paraId="4CC9D149" w14:textId="77777777" w:rsidR="00D60500" w:rsidRDefault="00D60500" w:rsidP="00D60500">
      <w:pPr>
        <w:spacing w:after="120" w:line="240" w:lineRule="auto"/>
      </w:pPr>
      <w:r w:rsidRPr="00A0224A">
        <w:rPr>
          <w:rFonts w:ascii="Calibri" w:eastAsia="Calibri" w:hAnsi="Calibri" w:cs="Times New Roman"/>
          <w:noProof/>
          <w:lang w:eastAsia="de-DE"/>
        </w:rPr>
        <w:lastRenderedPageBreak/>
        <w:drawing>
          <wp:inline distT="0" distB="0" distL="0" distR="0" wp14:anchorId="548E9E57" wp14:editId="7E5D549B">
            <wp:extent cx="2724150" cy="2173882"/>
            <wp:effectExtent l="0" t="0" r="0" b="0"/>
            <wp:docPr id="23" name="Diagramm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r w:rsidRPr="00A0224A">
        <w:rPr>
          <w:rFonts w:ascii="Calibri" w:eastAsia="Calibri" w:hAnsi="Calibri" w:cs="Times New Roman"/>
          <w:noProof/>
          <w:lang w:eastAsia="de-DE"/>
        </w:rPr>
        <w:drawing>
          <wp:inline distT="0" distB="0" distL="0" distR="0" wp14:anchorId="5D83B8D1" wp14:editId="2156032B">
            <wp:extent cx="2974975" cy="2137196"/>
            <wp:effectExtent l="0" t="0" r="0" b="0"/>
            <wp:docPr id="24" name="Diagramm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56ECE22" w14:textId="77777777" w:rsidR="00D60500" w:rsidRDefault="00D60500" w:rsidP="007E7407">
      <w:pPr>
        <w:pStyle w:val="Beschriftung"/>
        <w:ind w:firstLine="0"/>
        <w:rPr>
          <w:b w:val="0"/>
        </w:rPr>
      </w:pPr>
      <w:bookmarkStart w:id="288" w:name="_Ref269077415"/>
      <w:r w:rsidRPr="00D60500">
        <w:t xml:space="preserve">Abbildung </w:t>
      </w:r>
      <w:fldSimple w:instr=" SEQ Abbildung \* ARABIC ">
        <w:r w:rsidR="00711AB8">
          <w:rPr>
            <w:noProof/>
          </w:rPr>
          <w:t>50</w:t>
        </w:r>
      </w:fldSimple>
      <w:bookmarkEnd w:id="288"/>
      <w:r>
        <w:t xml:space="preserve"> </w:t>
      </w:r>
      <w:r w:rsidRPr="00D60500">
        <w:rPr>
          <w:b w:val="0"/>
        </w:rPr>
        <w:t>DLS Partikelgrößenverteilung; blaue Kurv</w:t>
      </w:r>
      <w:r w:rsidR="00E60F2A">
        <w:rPr>
          <w:b w:val="0"/>
        </w:rPr>
        <w:t>e: Messung der mit Wasser verdünnten ethanolischen Partikelsuspension direkt nach der Herstellung mittels</w:t>
      </w:r>
      <w:r w:rsidRPr="00D60500">
        <w:rPr>
          <w:b w:val="0"/>
        </w:rPr>
        <w:t xml:space="preserve"> RESS; grüne Kurve: Messung der </w:t>
      </w:r>
      <w:r>
        <w:rPr>
          <w:b w:val="0"/>
        </w:rPr>
        <w:t>sprüh</w:t>
      </w:r>
      <w:r w:rsidRPr="00D60500">
        <w:rPr>
          <w:b w:val="0"/>
        </w:rPr>
        <w:t xml:space="preserve">getrockneten </w:t>
      </w:r>
      <w:r>
        <w:rPr>
          <w:b w:val="0"/>
        </w:rPr>
        <w:t xml:space="preserve">und </w:t>
      </w:r>
      <w:r w:rsidRPr="00D60500">
        <w:rPr>
          <w:b w:val="0"/>
        </w:rPr>
        <w:t>in Wasser redi</w:t>
      </w:r>
      <w:r>
        <w:rPr>
          <w:b w:val="0"/>
        </w:rPr>
        <w:t>spergierten Partikel; links</w:t>
      </w:r>
      <w:r w:rsidRPr="00D60500">
        <w:rPr>
          <w:b w:val="0"/>
        </w:rPr>
        <w:t>: ohne Zusa</w:t>
      </w:r>
      <w:r>
        <w:rPr>
          <w:b w:val="0"/>
        </w:rPr>
        <w:t>tz von Stabilisator; rechts: </w:t>
      </w:r>
      <w:r w:rsidRPr="00D60500">
        <w:rPr>
          <w:b w:val="0"/>
        </w:rPr>
        <w:t>Zusatz von 0,5% PVA</w:t>
      </w:r>
      <w:r>
        <w:rPr>
          <w:b w:val="0"/>
        </w:rPr>
        <w:t xml:space="preserve"> (m/m)</w:t>
      </w:r>
      <w:r w:rsidRPr="00D60500">
        <w:rPr>
          <w:b w:val="0"/>
        </w:rPr>
        <w:t xml:space="preserve"> </w:t>
      </w:r>
      <w:r>
        <w:rPr>
          <w:b w:val="0"/>
        </w:rPr>
        <w:t>zur</w:t>
      </w:r>
      <w:r w:rsidRPr="00D60500">
        <w:rPr>
          <w:b w:val="0"/>
        </w:rPr>
        <w:t xml:space="preserve"> Sprühlösung</w:t>
      </w:r>
      <w:r w:rsidR="00255578">
        <w:rPr>
          <w:b w:val="0"/>
        </w:rPr>
        <w:t>.</w:t>
      </w:r>
    </w:p>
    <w:p w14:paraId="36E6EEC8" w14:textId="77777777" w:rsidR="00F049C6" w:rsidRDefault="00F049C6" w:rsidP="00F049C6">
      <w:pPr>
        <w:spacing w:after="0"/>
      </w:pPr>
    </w:p>
    <w:p w14:paraId="54632F05" w14:textId="77777777" w:rsidR="007D75A2" w:rsidRDefault="00204A88" w:rsidP="00204A88">
      <w:r>
        <w:t xml:space="preserve">Die grünen Kurven in </w:t>
      </w:r>
      <w:r w:rsidR="00D16240">
        <w:fldChar w:fldCharType="begin"/>
      </w:r>
      <w:r>
        <w:instrText xml:space="preserve"> REF _Ref269077415 \h </w:instrText>
      </w:r>
      <w:r w:rsidR="00D16240">
        <w:fldChar w:fldCharType="separate"/>
      </w:r>
      <w:r w:rsidR="00711AB8" w:rsidRPr="00D60500">
        <w:t xml:space="preserve">Abbildung </w:t>
      </w:r>
      <w:r w:rsidR="00711AB8">
        <w:rPr>
          <w:noProof/>
        </w:rPr>
        <w:t>50</w:t>
      </w:r>
      <w:r w:rsidR="00D16240">
        <w:fldChar w:fldCharType="end"/>
      </w:r>
      <w:r>
        <w:t xml:space="preserve"> zeigen jeweils das Ergebnis einer DLS Messung der Partikelgrößenverteilung nach der S</w:t>
      </w:r>
      <w:r w:rsidR="00E60F2A">
        <w:t>prühtrocknung und der anschließenden</w:t>
      </w:r>
      <w:r>
        <w:t xml:space="preserve"> Redispergierung des Pulvers in Wasser. </w:t>
      </w:r>
      <w:r w:rsidR="00A80113">
        <w:t>Bei der Messung der Probe ohne Stabilisator i</w:t>
      </w:r>
      <w:r>
        <w:t>n der linken Abbildung ist neben dem größten Peak bei der ursprünglichen Partikelgröße vor der Trocknung (in blau dargeste</w:t>
      </w:r>
      <w:r w:rsidR="00A80113">
        <w:t>llt) ein deutlicher Anteil von größeren Partikeln</w:t>
      </w:r>
      <w:r>
        <w:t xml:space="preserve"> um 600 nm sowie zwischen 900 nm und 1200 nm zu erkennen. Dies deutet auf eine Bildung von Zw</w:t>
      </w:r>
      <w:r w:rsidR="00A80113">
        <w:t xml:space="preserve">eier-, Dreier- und Viereragglomeraten der Primärpartikel hin, die sich durch Dispergierung in </w:t>
      </w:r>
      <w:r w:rsidR="00011318">
        <w:t>Wasser nicht trennen ließen</w:t>
      </w:r>
      <w:r w:rsidR="00A80113">
        <w:t xml:space="preserve">. Vergleicht man diese Kurve mit der grünen Kurve im rechten Teil von </w:t>
      </w:r>
      <w:r w:rsidR="00D16240">
        <w:fldChar w:fldCharType="begin"/>
      </w:r>
      <w:r w:rsidR="00A80113">
        <w:instrText xml:space="preserve"> REF _Ref269077415 \h </w:instrText>
      </w:r>
      <w:r w:rsidR="00D16240">
        <w:fldChar w:fldCharType="separate"/>
      </w:r>
      <w:r w:rsidR="00711AB8" w:rsidRPr="00D60500">
        <w:t xml:space="preserve">Abbildung </w:t>
      </w:r>
      <w:r w:rsidR="00711AB8">
        <w:rPr>
          <w:noProof/>
        </w:rPr>
        <w:t>50</w:t>
      </w:r>
      <w:r w:rsidR="00D16240">
        <w:fldChar w:fldCharType="end"/>
      </w:r>
      <w:r w:rsidR="00255578">
        <w:t>,</w:t>
      </w:r>
      <w:r w:rsidR="00A80113">
        <w:t xml:space="preserve"> so wird deutlich, dass durch einen Zusatz von 0,5% PVA die Agglomeration der Primärpartikel verhindert werden konnte. </w:t>
      </w:r>
      <w:r w:rsidR="00476074">
        <w:t>Zudem ist die Partikelgrößenverteilung insgesamt etwas schmaler geworden und der mittlere Partikeldurchmesser ist etwas kleiner.</w:t>
      </w:r>
    </w:p>
    <w:p w14:paraId="7C0FADC7" w14:textId="77777777" w:rsidR="00A80113" w:rsidRPr="00204A88" w:rsidRDefault="00ED4C58" w:rsidP="00204A88">
      <w:r w:rsidRPr="005D4259">
        <w:t xml:space="preserve">Durch Sprühtrocknung wurde ein rieselfähiges und in Wasser schnell redispergierbares Pulver </w:t>
      </w:r>
      <w:r w:rsidR="00E60F2A">
        <w:t xml:space="preserve">der Partikel </w:t>
      </w:r>
      <w:r w:rsidRPr="005D4259">
        <w:t>erhalten. Ein Zusatz von PVA zur Sprühlös</w:t>
      </w:r>
      <w:r>
        <w:t>ung konnte die Agglomeration von</w:t>
      </w:r>
      <w:r w:rsidRPr="005D4259">
        <w:t xml:space="preserve"> Partikel</w:t>
      </w:r>
      <w:r>
        <w:t>n</w:t>
      </w:r>
      <w:r w:rsidRPr="005D4259">
        <w:t xml:space="preserve"> bei der </w:t>
      </w:r>
      <w:r>
        <w:t>anschließenden Red</w:t>
      </w:r>
      <w:r w:rsidRPr="005D4259">
        <w:t xml:space="preserve">ispergierung des Pulvers </w:t>
      </w:r>
      <w:r>
        <w:t xml:space="preserve">in Wasser </w:t>
      </w:r>
      <w:r w:rsidRPr="005D4259">
        <w:t>verhindern</w:t>
      </w:r>
      <w:r>
        <w:t>.</w:t>
      </w:r>
      <w:r w:rsidR="001D0B18">
        <w:t xml:space="preserve"> Die Trocknung der Partikel trägt grundsätzlich zur Verbesserung der Lagerstabilität bei.</w:t>
      </w:r>
    </w:p>
    <w:p w14:paraId="008A98C4" w14:textId="77777777" w:rsidR="003B37C5" w:rsidRDefault="00011318" w:rsidP="00ED4563">
      <w:pPr>
        <w:pStyle w:val="berschrift4"/>
      </w:pPr>
      <w:bookmarkStart w:id="289" w:name="_Toc294380275"/>
      <w:r>
        <w:t>Untersuchung der Molekul</w:t>
      </w:r>
      <w:r w:rsidR="007D75A2">
        <w:t>argewichtsverteilung mittels</w:t>
      </w:r>
      <w:r w:rsidR="00D3139F">
        <w:t xml:space="preserve"> </w:t>
      </w:r>
      <w:r w:rsidR="007D75A2">
        <w:t>GPC</w:t>
      </w:r>
      <w:r w:rsidR="00D3139F">
        <w:t xml:space="preserve"> Analyse</w:t>
      </w:r>
      <w:bookmarkEnd w:id="289"/>
    </w:p>
    <w:p w14:paraId="60135937" w14:textId="77777777" w:rsidR="00A80113" w:rsidRDefault="000E3AB8" w:rsidP="00A80113">
      <w:r>
        <w:t xml:space="preserve">In einer Veröffentlichung von Tom et al. aus dem Jahre 1991 wird die erfolgreiche Herstellung von Mikropartikeln mit einem mittleren Partikeldurchmesser zwischen 5 µm und </w:t>
      </w:r>
      <w:r w:rsidR="00AD371D">
        <w:t>25 µ</w:t>
      </w:r>
      <w:r w:rsidR="0062438A">
        <w:t>m aus L-PLA und DL-PLA</w:t>
      </w:r>
      <w:r w:rsidR="00AD371D">
        <w:t xml:space="preserve"> beschrieben</w:t>
      </w:r>
      <w:bookmarkStart w:id="290" w:name="_Ref284377525"/>
      <w:r w:rsidR="00AD371D">
        <w:rPr>
          <w:rStyle w:val="Endnotenzeichen"/>
        </w:rPr>
        <w:endnoteReference w:id="163"/>
      </w:r>
      <w:bookmarkEnd w:id="290"/>
      <w:r w:rsidR="00AD371D">
        <w:t xml:space="preserve">. </w:t>
      </w:r>
      <w:r w:rsidR="005C475C">
        <w:t>Beide Polymere hatten ein mittleres Molekulargewicht zwischen 5.000</w:t>
      </w:r>
      <w:r w:rsidR="00D63ED2">
        <w:t xml:space="preserve"> und 6.000 g/mol</w:t>
      </w:r>
      <w:r w:rsidR="005C475C">
        <w:t xml:space="preserve"> </w:t>
      </w:r>
      <w:r w:rsidR="00D63ED2">
        <w:t>und zeigten bei</w:t>
      </w:r>
      <w:r w:rsidR="00AD371D">
        <w:t xml:space="preserve"> Verwendung von Ac</w:t>
      </w:r>
      <w:r w:rsidR="005C475C">
        <w:t>e</w:t>
      </w:r>
      <w:r w:rsidR="00D63ED2">
        <w:t>ton als Lösungsvermittler eine gewisse Lösl</w:t>
      </w:r>
      <w:r w:rsidR="00254AF2">
        <w:t>ichkeit im überkritischen Gemisch mit CO</w:t>
      </w:r>
      <w:r w:rsidR="00254AF2" w:rsidRPr="00254AF2">
        <w:rPr>
          <w:vertAlign w:val="subscript"/>
        </w:rPr>
        <w:t>2</w:t>
      </w:r>
      <w:r w:rsidR="00AD371D">
        <w:t xml:space="preserve">. </w:t>
      </w:r>
      <w:r w:rsidR="00D63ED2">
        <w:t>Im Zuge von</w:t>
      </w:r>
      <w:r w:rsidR="005C475C">
        <w:t xml:space="preserve"> GPC Analyse</w:t>
      </w:r>
      <w:r w:rsidR="00D63ED2">
        <w:t>n</w:t>
      </w:r>
      <w:r w:rsidR="005C475C">
        <w:t xml:space="preserve"> des im Autoklaven verbliebenen Restpolymeres und des extrahierten Polymeres fiel jedoch auf, dass </w:t>
      </w:r>
      <w:r w:rsidR="004403FD">
        <w:t>bei beiden Polymer</w:t>
      </w:r>
      <w:r w:rsidR="00D63ED2">
        <w:t>typen</w:t>
      </w:r>
      <w:r w:rsidR="004403FD">
        <w:t xml:space="preserve"> </w:t>
      </w:r>
      <w:r w:rsidR="005C475C">
        <w:t>vorwiegend die nied</w:t>
      </w:r>
      <w:r w:rsidR="004403FD">
        <w:t xml:space="preserve">ermolekularen </w:t>
      </w:r>
      <w:r w:rsidR="004403FD">
        <w:lastRenderedPageBreak/>
        <w:t>Anteile</w:t>
      </w:r>
      <w:r w:rsidR="005C475C">
        <w:t xml:space="preserve"> extrahiert wurden und die höhermolekularen Anteile im Autoklaven verblieben. </w:t>
      </w:r>
      <w:r w:rsidR="0062438A">
        <w:t>Diese Beobachtung</w:t>
      </w:r>
      <w:r w:rsidR="00016B33">
        <w:t xml:space="preserve"> von Tom et al.</w:t>
      </w:r>
      <w:r w:rsidR="0062438A">
        <w:t xml:space="preserve"> führte zu der Schlussfolgerung, dass kurzkettige Polylactid Polymere in überkritischem CO</w:t>
      </w:r>
      <w:r w:rsidR="0062438A">
        <w:rPr>
          <w:vertAlign w:val="subscript"/>
        </w:rPr>
        <w:t>2</w:t>
      </w:r>
      <w:r w:rsidR="0062438A">
        <w:t xml:space="preserve"> besser löslich sind als solche mit höherem Molekulargewicht. Die </w:t>
      </w:r>
      <w:r w:rsidR="009A783B">
        <w:t xml:space="preserve">bisher beschriebenen </w:t>
      </w:r>
      <w:r w:rsidR="0062438A">
        <w:t xml:space="preserve">Ergebnisse der vorliegenden Arbeit haben gezeigt, dass dieser Trend </w:t>
      </w:r>
      <w:r w:rsidR="00254AF2">
        <w:t xml:space="preserve">tendenziell </w:t>
      </w:r>
      <w:r w:rsidR="0062438A">
        <w:t>auch für PLGA Co-Polymere</w:t>
      </w:r>
      <w:r w:rsidR="00D63ED2">
        <w:t xml:space="preserve"> mit unterschiedlichen durchschnittlichen molaren Massen</w:t>
      </w:r>
      <w:r w:rsidR="0062438A">
        <w:t xml:space="preserve"> gilt.</w:t>
      </w:r>
    </w:p>
    <w:p w14:paraId="61526DCB" w14:textId="77777777" w:rsidR="0062438A" w:rsidRDefault="0062438A" w:rsidP="00A80113">
      <w:r>
        <w:t>Aufgrund der von Tom et al. beschriebene</w:t>
      </w:r>
      <w:r w:rsidR="004403FD">
        <w:t>n Beobachtung wurde untersucht</w:t>
      </w:r>
      <w:r>
        <w:t>, ob bei den Sprühversuchen mit PLGA ebenfalls vorwiegend bestimmte Ant</w:t>
      </w:r>
      <w:r w:rsidR="004403FD">
        <w:t>eile des Polymeres extrahiert wu</w:t>
      </w:r>
      <w:r>
        <w:t>rden.</w:t>
      </w:r>
    </w:p>
    <w:p w14:paraId="324AEFBF" w14:textId="77777777" w:rsidR="00FE274D" w:rsidRDefault="00E60F2A" w:rsidP="00A80113">
      <w:r>
        <w:t xml:space="preserve">Dazu wurde eine GPC-Analyse </w:t>
      </w:r>
      <w:r w:rsidR="00B76B59">
        <w:t xml:space="preserve">der Molekulargewichtsverteilungen des Ausgangsmaterials </w:t>
      </w:r>
      <w:r w:rsidR="00B30BCC">
        <w:t>Resomer</w:t>
      </w:r>
      <w:r w:rsidR="007E7407" w:rsidRPr="00902C2E">
        <w:rPr>
          <w:vertAlign w:val="superscript"/>
        </w:rPr>
        <w:t>®</w:t>
      </w:r>
      <w:r w:rsidR="00B30BCC">
        <w:t xml:space="preserve"> 752 H </w:t>
      </w:r>
      <w:r w:rsidR="00B76B59">
        <w:t>und de</w:t>
      </w:r>
      <w:r w:rsidR="004403FD">
        <w:t>s extrahierten Materials durch Auflösen</w:t>
      </w:r>
      <w:r w:rsidR="00B76B59">
        <w:t xml:space="preserve"> der getrockn</w:t>
      </w:r>
      <w:r w:rsidR="00254AF2">
        <w:t>eten Polymerpartikel durchgeführt</w:t>
      </w:r>
      <w:r w:rsidR="00B76B59">
        <w:t xml:space="preserve">. Die Analysen wurden mit einem GPC System von Agilent Technologies </w:t>
      </w:r>
      <w:r w:rsidR="0099401D">
        <w:t>(1100 Series, Agilent Technologies Inc. / Hewlett Packard, USA) unter Verwendung eines Brechu</w:t>
      </w:r>
      <w:r w:rsidR="002A1EB1">
        <w:t>ngsindexdetektors (</w:t>
      </w:r>
      <w:r w:rsidR="0099401D">
        <w:t>1100 Series, G1362A</w:t>
      </w:r>
      <w:r w:rsidR="002A1EB1">
        <w:t>, Agilent / HP, USA</w:t>
      </w:r>
      <w:r w:rsidR="0099401D">
        <w:t>) durchgeführt. Das frische Referenzpolymer Resomer</w:t>
      </w:r>
      <w:r w:rsidR="0099401D">
        <w:rPr>
          <w:vertAlign w:val="superscript"/>
        </w:rPr>
        <w:sym w:font="Symbol" w:char="F0D2"/>
      </w:r>
      <w:r w:rsidR="00B30BCC">
        <w:t xml:space="preserve"> RG 752</w:t>
      </w:r>
      <w:r w:rsidR="0099401D">
        <w:t xml:space="preserve"> H wurde in </w:t>
      </w:r>
      <w:r w:rsidR="00DD4FF9">
        <w:t>Tetrahydrofuran (</w:t>
      </w:r>
      <w:r w:rsidR="0099401D">
        <w:t>THF</w:t>
      </w:r>
      <w:r w:rsidR="00AF7A4B">
        <w:t>)</w:t>
      </w:r>
      <w:r w:rsidR="0099401D">
        <w:t xml:space="preserve"> gelöst (1,6 mg/ml)</w:t>
      </w:r>
      <w:r w:rsidR="002A1EB1">
        <w:t xml:space="preserve"> und die Partikel wurden in Wasser redispergiert, zentrifugiert und nach Dekantieren des Überstandes im Eppendorf Tube getrocknet. </w:t>
      </w:r>
      <w:r w:rsidR="00254AF2">
        <w:t>Nachdem das Wasser vollständig verdunstet war, wurden d</w:t>
      </w:r>
      <w:r w:rsidR="002A1EB1">
        <w:t>ie sed</w:t>
      </w:r>
      <w:r w:rsidR="00254AF2">
        <w:t xml:space="preserve">imentierten Partikel </w:t>
      </w:r>
      <w:r w:rsidR="002A1EB1">
        <w:t xml:space="preserve">ebenfalls in THF gelöst (0,75 mg/ml). Es wurden jeweils 100 µl injiziert, als Eluent wurde THF verwendet und die Flussrate betrug 1,00 ml/min. Als Polymerstandard für die Kalibration diente Polystyrol. Die Auswertung der Messungen wurde mithilfe der Software WinGPC UniChrom </w:t>
      </w:r>
      <w:r w:rsidR="00AF7A4B">
        <w:t xml:space="preserve">(PSS GmbH, Deutschland) durchgeführt. </w:t>
      </w:r>
      <w:r w:rsidR="00860320">
        <w:t xml:space="preserve">Die Ergebnisse der GPC-Messungen sind in </w:t>
      </w:r>
      <w:r w:rsidR="00D16240">
        <w:fldChar w:fldCharType="begin"/>
      </w:r>
      <w:r w:rsidR="00860320">
        <w:instrText xml:space="preserve"> REF _Ref276166351 \h </w:instrText>
      </w:r>
      <w:r w:rsidR="00D16240">
        <w:fldChar w:fldCharType="separate"/>
      </w:r>
      <w:r w:rsidR="00711AB8" w:rsidRPr="002A1EB1">
        <w:rPr>
          <w:color w:val="000000" w:themeColor="text1"/>
        </w:rPr>
        <w:t xml:space="preserve">Abbildung </w:t>
      </w:r>
      <w:r w:rsidR="00711AB8">
        <w:rPr>
          <w:noProof/>
          <w:color w:val="000000" w:themeColor="text1"/>
        </w:rPr>
        <w:t>51</w:t>
      </w:r>
      <w:r w:rsidR="00D16240">
        <w:fldChar w:fldCharType="end"/>
      </w:r>
      <w:r w:rsidR="00860320">
        <w:t xml:space="preserve"> dargestellt. </w:t>
      </w:r>
      <w:r w:rsidR="005B0DE7">
        <w:t>Da jeweils drei Injektionen durchgeführt wurden, treten für jede der beiden untersuchten Proben auch je drei Kurven im Elugramm auf, die sich weitgehend überlagern</w:t>
      </w:r>
      <w:r w:rsidR="00860320">
        <w:t>. Da die Zuordnung der Farblegende</w:t>
      </w:r>
      <w:r w:rsidR="003C53FD">
        <w:t xml:space="preserve"> zu den einzelnen Kurven</w:t>
      </w:r>
      <w:r w:rsidR="00860320">
        <w:t xml:space="preserve"> aus diesem Grund schwer fällt, wur</w:t>
      </w:r>
      <w:r w:rsidR="003C53FD">
        <w:t>de zur Unterscheidung der Proben</w:t>
      </w:r>
      <w:r w:rsidR="00860320">
        <w:t xml:space="preserve"> innerhalb der Abbildung eine Markierung mit Pfeilen vorgenommen.</w:t>
      </w:r>
    </w:p>
    <w:p w14:paraId="7FDC348B" w14:textId="77777777" w:rsidR="00F05B2F" w:rsidRDefault="00F05B2F" w:rsidP="00A80113"/>
    <w:p w14:paraId="3DD8C79C" w14:textId="77777777" w:rsidR="00F05B2F" w:rsidRDefault="00F05B2F" w:rsidP="00A80113"/>
    <w:p w14:paraId="406E831D" w14:textId="77777777" w:rsidR="00F05B2F" w:rsidRDefault="00F05B2F" w:rsidP="00A80113"/>
    <w:p w14:paraId="6AA8C866" w14:textId="77777777" w:rsidR="00F05B2F" w:rsidRDefault="00F05B2F" w:rsidP="00A80113"/>
    <w:p w14:paraId="681CDB3A" w14:textId="77777777" w:rsidR="00F05B2F" w:rsidRDefault="00F05B2F" w:rsidP="00A80113"/>
    <w:p w14:paraId="361328AC" w14:textId="77777777" w:rsidR="00580585" w:rsidRDefault="00580585" w:rsidP="00A80113"/>
    <w:p w14:paraId="180C17D8" w14:textId="77777777" w:rsidR="00AF7A4B" w:rsidRPr="0099401D" w:rsidRDefault="00DE258C" w:rsidP="00A80113">
      <w:r>
        <w:rPr>
          <w:noProof/>
          <w:lang w:eastAsia="de-DE"/>
        </w:rPr>
        <w:lastRenderedPageBreak/>
        <w:pict w14:anchorId="7BC448E8">
          <v:shape id="Textfeld 21523" o:spid="_x0000_s1032" type="#_x0000_t202" style="position:absolute;left:0;text-align:left;margin-left:63pt;margin-top:61.55pt;width:1in;height:36pt;z-index:25166540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" filled="f" stroked="f">
            <v:path arrowok="t"/>
            <v:textbox>
              <w:txbxContent>
                <w:p w14:paraId="78FDAE48" w14:textId="77777777" w:rsidR="00DD7FD7" w:rsidRPr="00F27787" w:rsidRDefault="00DD7FD7" w:rsidP="00F27787">
                  <w:pPr>
                    <w:spacing w:line="240" w:lineRule="auto"/>
                    <w:rPr>
                      <w:sz w:val="20"/>
                      <w:szCs w:val="20"/>
                    </w:rPr>
                  </w:pPr>
                  <w:r w:rsidRPr="00F27787">
                    <w:rPr>
                      <w:sz w:val="20"/>
                      <w:szCs w:val="20"/>
                    </w:rPr>
                    <w:t>Polymer aus Partikeln</w:t>
                  </w:r>
                </w:p>
              </w:txbxContent>
            </v:textbox>
            <w10:wrap type="square"/>
          </v:shape>
        </w:pict>
      </w:r>
      <w:r>
        <w:rPr>
          <w:noProof/>
          <w:lang w:eastAsia="de-DE"/>
        </w:rPr>
        <w:pict w14:anchorId="342DE6A4">
          <v:shapetype id="_x0000_t32" coordsize="21600,21600" o:spt="32" o:oned="t" path="m0,0l21600,21600e" filled="f">
            <v:path arrowok="t" fillok="f" o:connecttype="none"/>
            <o:lock v:ext="edit" shapetype="t"/>
          </v:shapetype>
          <v:shape id="Gerade Verbindung mit Pfeil 21524" o:spid="_x0000_s1042" type="#_x0000_t32" style="position:absolute;left:0;text-align:left;margin-left:135pt;margin-top:45pt;width:54pt;height:27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" strokecolor="black [3213]" strokeweight="1.5pt">
            <v:stroke endarrow="block"/>
            <o:lock v:ext="edit" shapetype="f"/>
          </v:shape>
        </w:pict>
      </w:r>
      <w:r>
        <w:rPr>
          <w:noProof/>
          <w:lang w:eastAsia="de-DE"/>
        </w:rPr>
        <w:pict w14:anchorId="5FF5ECE1">
          <v:shape id="Gerade Verbindung mit Pfeil 21526" o:spid="_x0000_s1041" type="#_x0000_t32" style="position:absolute;left:0;text-align:left;margin-left:234pt;margin-top:99pt;width:63pt;height:16.55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" strokecolor="black [3213]" strokeweight="1.5pt">
            <v:stroke endarrow="block"/>
            <o:lock v:ext="edit" shapetype="f"/>
          </v:shape>
        </w:pict>
      </w:r>
      <w:r>
        <w:rPr>
          <w:noProof/>
          <w:lang w:eastAsia="de-DE"/>
        </w:rPr>
        <w:pict w14:anchorId="788D62A1">
          <v:shape id="Textfeld 21527" o:spid="_x0000_s1033" type="#_x0000_t202" style="position:absolute;left:0;text-align:left;margin-left:297pt;margin-top:106.55pt;width:90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" filled="f" stroked="f">
            <v:path arrowok="t"/>
            <v:textbox>
              <w:txbxContent>
                <w:p w14:paraId="123C9F2E" w14:textId="77777777" w:rsidR="00DD7FD7" w:rsidRPr="00D216DB" w:rsidRDefault="00DD7FD7" w:rsidP="00D216DB">
                  <w:pPr>
                    <w:spacing w:line="240" w:lineRule="auto"/>
                    <w:rPr>
                      <w:sz w:val="20"/>
                      <w:szCs w:val="20"/>
                    </w:rPr>
                  </w:pPr>
                  <w:r>
                    <w:rPr>
                      <w:sz w:val="20"/>
                      <w:szCs w:val="20"/>
                    </w:rPr>
                    <w:t>kommerzielles Polymer</w:t>
                  </w:r>
                </w:p>
              </w:txbxContent>
            </v:textbox>
            <w10:wrap type="square"/>
          </v:shape>
        </w:pict>
      </w:r>
    </w:p>
    <w:p w14:paraId="22FB6647" w14:textId="77777777" w:rsidR="000A35C3" w:rsidRPr="004403FD" w:rsidRDefault="000A35C3" w:rsidP="0035461C">
      <w:pPr>
        <w:spacing w:after="0" w:line="240" w:lineRule="auto"/>
        <w:jc w:val="center"/>
        <w:rPr>
          <w:sz w:val="16"/>
          <w:szCs w:val="16"/>
        </w:rPr>
      </w:pPr>
      <w:r w:rsidRPr="004403FD">
        <w:rPr>
          <w:noProof/>
          <w:sz w:val="16"/>
          <w:szCs w:val="16"/>
          <w:lang w:eastAsia="de-DE"/>
        </w:rPr>
        <w:drawing>
          <wp:anchor distT="0" distB="0" distL="114300" distR="114300" simplePos="0" relativeHeight="251664384" behindDoc="0" locked="0" layoutInCell="1" allowOverlap="1" wp14:anchorId="630DB418" wp14:editId="1FC2F56E">
            <wp:simplePos x="0" y="0"/>
            <wp:positionH relativeFrom="column">
              <wp:posOffset>0</wp:posOffset>
            </wp:positionH>
            <wp:positionV relativeFrom="paragraph">
              <wp:posOffset>0</wp:posOffset>
            </wp:positionV>
            <wp:extent cx="5760720" cy="2990215"/>
            <wp:effectExtent l="0" t="0" r="5080" b="6985"/>
            <wp:wrapThrough wrapText="bothSides">
              <wp:wrapPolygon edited="0">
                <wp:start x="0" y="0"/>
                <wp:lineTo x="0" y="21467"/>
                <wp:lineTo x="21524" y="21467"/>
                <wp:lineTo x="21524" y="0"/>
                <wp:lineTo x="0" y="0"/>
              </wp:wrapPolygon>
            </wp:wrapThrough>
            <wp:docPr id="1025" name="Grafik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5760720" cy="2990215"/>
                    </a:xfrm>
                    <a:prstGeom prst="rect">
                      <a:avLst/>
                    </a:prstGeom>
                  </pic:spPr>
                </pic:pic>
              </a:graphicData>
            </a:graphic>
          </wp:anchor>
        </w:drawing>
      </w:r>
    </w:p>
    <w:p w14:paraId="218F7D19" w14:textId="77777777" w:rsidR="002A1EB1" w:rsidRDefault="002A1EB1" w:rsidP="007E7407">
      <w:pPr>
        <w:pStyle w:val="Beschriftung"/>
        <w:ind w:firstLine="0"/>
        <w:rPr>
          <w:b w:val="0"/>
          <w:color w:val="000000" w:themeColor="text1"/>
        </w:rPr>
      </w:pPr>
      <w:bookmarkStart w:id="291" w:name="_Ref276166351"/>
      <w:r w:rsidRPr="002A1EB1">
        <w:rPr>
          <w:color w:val="000000" w:themeColor="text1"/>
        </w:rPr>
        <w:t xml:space="preserve">Abbildung </w:t>
      </w:r>
      <w:r w:rsidR="00D16240" w:rsidRPr="002A1EB1">
        <w:rPr>
          <w:color w:val="000000" w:themeColor="text1"/>
        </w:rPr>
        <w:fldChar w:fldCharType="begin"/>
      </w:r>
      <w:r w:rsidRPr="002A1EB1">
        <w:rPr>
          <w:color w:val="000000" w:themeColor="text1"/>
        </w:rPr>
        <w:instrText xml:space="preserve"> SEQ Abbildung \* ARABIC </w:instrText>
      </w:r>
      <w:r w:rsidR="00D16240" w:rsidRPr="002A1EB1">
        <w:rPr>
          <w:color w:val="000000" w:themeColor="text1"/>
        </w:rPr>
        <w:fldChar w:fldCharType="separate"/>
      </w:r>
      <w:r w:rsidR="00711AB8">
        <w:rPr>
          <w:noProof/>
          <w:color w:val="000000" w:themeColor="text1"/>
        </w:rPr>
        <w:t>51</w:t>
      </w:r>
      <w:r w:rsidR="00D16240" w:rsidRPr="002A1EB1">
        <w:rPr>
          <w:color w:val="000000" w:themeColor="text1"/>
        </w:rPr>
        <w:fldChar w:fldCharType="end"/>
      </w:r>
      <w:bookmarkEnd w:id="291"/>
      <w:r>
        <w:rPr>
          <w:color w:val="000000" w:themeColor="text1"/>
        </w:rPr>
        <w:t xml:space="preserve"> </w:t>
      </w:r>
      <w:r w:rsidR="00690CD9" w:rsidRPr="00690CD9">
        <w:rPr>
          <w:b w:val="0"/>
          <w:color w:val="000000" w:themeColor="text1"/>
        </w:rPr>
        <w:t>Re</w:t>
      </w:r>
      <w:r w:rsidR="001B233D">
        <w:rPr>
          <w:b w:val="0"/>
          <w:color w:val="000000" w:themeColor="text1"/>
        </w:rPr>
        <w:t>lative Molekulargewichtsverteilung</w:t>
      </w:r>
      <w:r w:rsidR="00690CD9">
        <w:rPr>
          <w:b w:val="0"/>
          <w:color w:val="000000" w:themeColor="text1"/>
        </w:rPr>
        <w:t>;</w:t>
      </w:r>
      <w:r w:rsidR="00374760">
        <w:rPr>
          <w:b w:val="0"/>
          <w:color w:val="000000" w:themeColor="text1"/>
        </w:rPr>
        <w:t xml:space="preserve"> blau, braun (vgl. Beschriftung mit Pfeil):</w:t>
      </w:r>
      <w:r w:rsidR="00690CD9">
        <w:rPr>
          <w:b w:val="0"/>
          <w:color w:val="000000" w:themeColor="text1"/>
        </w:rPr>
        <w:t xml:space="preserve"> </w:t>
      </w:r>
      <w:r w:rsidR="00262D0B">
        <w:rPr>
          <w:b w:val="0"/>
          <w:color w:val="000000" w:themeColor="text1"/>
        </w:rPr>
        <w:t>kommerzielles Resomer</w:t>
      </w:r>
      <w:r w:rsidR="007E7407" w:rsidRPr="00902C2E">
        <w:rPr>
          <w:vertAlign w:val="superscript"/>
        </w:rPr>
        <w:t>®</w:t>
      </w:r>
      <w:r w:rsidR="00262D0B">
        <w:rPr>
          <w:b w:val="0"/>
          <w:color w:val="000000" w:themeColor="text1"/>
        </w:rPr>
        <w:t xml:space="preserve"> RG 752 H; </w:t>
      </w:r>
      <w:r w:rsidR="00374760">
        <w:rPr>
          <w:b w:val="0"/>
          <w:color w:val="000000" w:themeColor="text1"/>
        </w:rPr>
        <w:t>hellgrün, rot (vgl. Beschriftung mit Pfeil)</w:t>
      </w:r>
      <w:r w:rsidR="00690CD9">
        <w:rPr>
          <w:b w:val="0"/>
          <w:color w:val="000000" w:themeColor="text1"/>
        </w:rPr>
        <w:t xml:space="preserve">: </w:t>
      </w:r>
      <w:r w:rsidR="0035461C">
        <w:rPr>
          <w:b w:val="0"/>
          <w:color w:val="000000" w:themeColor="text1"/>
        </w:rPr>
        <w:t xml:space="preserve">in THF </w:t>
      </w:r>
      <w:r w:rsidR="007009C3">
        <w:rPr>
          <w:b w:val="0"/>
          <w:color w:val="000000" w:themeColor="text1"/>
        </w:rPr>
        <w:t>auf</w:t>
      </w:r>
      <w:r w:rsidR="0035461C">
        <w:rPr>
          <w:b w:val="0"/>
          <w:color w:val="000000" w:themeColor="text1"/>
        </w:rPr>
        <w:t>gelöste</w:t>
      </w:r>
      <w:r w:rsidR="00262D0B">
        <w:rPr>
          <w:b w:val="0"/>
          <w:color w:val="000000" w:themeColor="text1"/>
        </w:rPr>
        <w:t xml:space="preserve"> Partikel, die mittels RESS aus Resomer</w:t>
      </w:r>
      <w:r w:rsidR="00262D0B">
        <w:rPr>
          <w:b w:val="0"/>
          <w:color w:val="000000" w:themeColor="text1"/>
          <w:vertAlign w:val="superscript"/>
        </w:rPr>
        <w:sym w:font="Symbol" w:char="F0D2"/>
      </w:r>
      <w:r w:rsidR="001B233D">
        <w:rPr>
          <w:b w:val="0"/>
          <w:color w:val="000000" w:themeColor="text1"/>
        </w:rPr>
        <w:t xml:space="preserve"> RG </w:t>
      </w:r>
      <w:r w:rsidR="00860320">
        <w:rPr>
          <w:b w:val="0"/>
          <w:color w:val="000000" w:themeColor="text1"/>
        </w:rPr>
        <w:t>752</w:t>
      </w:r>
      <w:r w:rsidR="001B233D">
        <w:rPr>
          <w:b w:val="0"/>
          <w:color w:val="000000" w:themeColor="text1"/>
        </w:rPr>
        <w:t> H hergestellt wurden.</w:t>
      </w:r>
    </w:p>
    <w:p w14:paraId="18BEF09E" w14:textId="77777777" w:rsidR="0035461C" w:rsidRDefault="0035461C" w:rsidP="0035461C"/>
    <w:p w14:paraId="70218A47" w14:textId="77777777" w:rsidR="00C478C1" w:rsidRDefault="00E45099" w:rsidP="0035461C">
      <w:r>
        <w:t xml:space="preserve">Die GPC Analyse des extrahierten Materials hat gezeigt, dass die Polymeranteile im oberen Molmassenbereich zwischen 30.000 und 70.000 g/mol im Produkt </w:t>
      </w:r>
      <w:r w:rsidR="006B51D5">
        <w:t xml:space="preserve">vollständig </w:t>
      </w:r>
      <w:r w:rsidR="00C478C1">
        <w:t>fehlten</w:t>
      </w:r>
      <w:r>
        <w:t xml:space="preserve"> (</w:t>
      </w:r>
      <w:r w:rsidR="00D16240">
        <w:fldChar w:fldCharType="begin"/>
      </w:r>
      <w:r>
        <w:instrText xml:space="preserve"> REF _Ref276166351 \h </w:instrText>
      </w:r>
      <w:r w:rsidR="00D16240">
        <w:fldChar w:fldCharType="separate"/>
      </w:r>
      <w:r w:rsidR="00711AB8" w:rsidRPr="002A1EB1">
        <w:rPr>
          <w:color w:val="000000" w:themeColor="text1"/>
        </w:rPr>
        <w:t xml:space="preserve">Abbildung </w:t>
      </w:r>
      <w:r w:rsidR="00711AB8">
        <w:rPr>
          <w:noProof/>
          <w:color w:val="000000" w:themeColor="text1"/>
        </w:rPr>
        <w:t>51</w:t>
      </w:r>
      <w:r w:rsidR="00D16240">
        <w:fldChar w:fldCharType="end"/>
      </w:r>
      <w:r>
        <w:t xml:space="preserve">). </w:t>
      </w:r>
      <w:r w:rsidR="006C2F25">
        <w:t>Die</w:t>
      </w:r>
      <w:r w:rsidR="006B51D5">
        <w:t xml:space="preserve"> Polymeranteile</w:t>
      </w:r>
      <w:r w:rsidR="006C2F25">
        <w:t xml:space="preserve"> des Ausgangsmaterials unter 30.000 g/mol</w:t>
      </w:r>
      <w:r w:rsidR="006B51D5">
        <w:t xml:space="preserve"> hingegen wurden </w:t>
      </w:r>
      <w:r w:rsidR="006C2F25">
        <w:t>über den gesa</w:t>
      </w:r>
      <w:r w:rsidR="00C478C1">
        <w:t>mten Bereich wiedergefunden. In diesem Bereich kamen</w:t>
      </w:r>
      <w:r w:rsidR="006C2F25">
        <w:t xml:space="preserve"> </w:t>
      </w:r>
      <w:r w:rsidR="00C478C1">
        <w:t xml:space="preserve">die </w:t>
      </w:r>
      <w:r w:rsidR="006C2F25">
        <w:t>Polymerketten mit einer molaren Masse zwischen 400 und 2.000 g/mol und zwische</w:t>
      </w:r>
      <w:r w:rsidR="00C478C1">
        <w:t>n 10.000 und 30.000 g/mol</w:t>
      </w:r>
      <w:r w:rsidR="006C2F25">
        <w:t xml:space="preserve"> in den Partikeln reduziert vor, während diejenigen mit einer molaren Masse zwischen 2.000 und 10.000 g/mol einen höheren Anteil an der Molek</w:t>
      </w:r>
      <w:r w:rsidR="00C478C1">
        <w:t>ulargewichtsverteilung aufwiesen</w:t>
      </w:r>
      <w:r w:rsidR="006C2F25">
        <w:t xml:space="preserve">. </w:t>
      </w:r>
      <w:r w:rsidR="00C478C1">
        <w:t xml:space="preserve">Das Maximum des Peaks wurde zu </w:t>
      </w:r>
      <w:r w:rsidR="00B3585C">
        <w:t>kleineren Werten hin verschoben und die durchschnittliche molare Masse des extrahierten</w:t>
      </w:r>
      <w:r w:rsidR="00EF1B04">
        <w:t xml:space="preserve"> Polymeres ist mit 7.180 g/mol deutlich niedriger als die des kommerziellen Polymeres mit 11.200 g/mol.</w:t>
      </w:r>
    </w:p>
    <w:p w14:paraId="51C2BE6D" w14:textId="77777777" w:rsidR="006C2F25" w:rsidRDefault="0019024B" w:rsidP="0035461C">
      <w:r>
        <w:t>Die relative</w:t>
      </w:r>
      <w:r w:rsidR="00C478C1">
        <w:t xml:space="preserve"> Molmassenverteilung</w:t>
      </w:r>
      <w:r>
        <w:t xml:space="preserve"> in </w:t>
      </w:r>
      <w:r w:rsidR="00D16240">
        <w:fldChar w:fldCharType="begin"/>
      </w:r>
      <w:r>
        <w:instrText xml:space="preserve"> REF _Ref276166351 \h </w:instrText>
      </w:r>
      <w:r w:rsidR="00D16240">
        <w:fldChar w:fldCharType="separate"/>
      </w:r>
      <w:r w:rsidR="00711AB8" w:rsidRPr="002A1EB1">
        <w:rPr>
          <w:color w:val="000000" w:themeColor="text1"/>
        </w:rPr>
        <w:t xml:space="preserve">Abbildung </w:t>
      </w:r>
      <w:r w:rsidR="00711AB8">
        <w:rPr>
          <w:noProof/>
          <w:color w:val="000000" w:themeColor="text1"/>
        </w:rPr>
        <w:t>51</w:t>
      </w:r>
      <w:r w:rsidR="00D16240">
        <w:fldChar w:fldCharType="end"/>
      </w:r>
      <w:r>
        <w:t xml:space="preserve"> deutet</w:t>
      </w:r>
      <w:r w:rsidR="00C478C1">
        <w:t xml:space="preserve"> </w:t>
      </w:r>
      <w:r w:rsidR="00255578">
        <w:t>allerdings</w:t>
      </w:r>
      <w:r>
        <w:t xml:space="preserve"> </w:t>
      </w:r>
      <w:r w:rsidR="00C478C1">
        <w:t xml:space="preserve">nicht auf einen chemischen Abbau der Polymerketten hin, </w:t>
      </w:r>
      <w:r w:rsidR="008211CC">
        <w:t>da in diesem Fall mit einem</w:t>
      </w:r>
      <w:r w:rsidR="00C478C1">
        <w:t xml:space="preserve"> </w:t>
      </w:r>
      <w:r w:rsidR="008211CC">
        <w:t xml:space="preserve">vermehrten </w:t>
      </w:r>
      <w:r w:rsidR="00C478C1">
        <w:t>Auftreten der Monomere Lactid</w:t>
      </w:r>
      <w:r w:rsidR="008211CC">
        <w:t xml:space="preserve"> (144 g/mol)</w:t>
      </w:r>
      <w:r w:rsidR="00C478C1">
        <w:t xml:space="preserve"> und Glycolid</w:t>
      </w:r>
      <w:r w:rsidR="008211CC">
        <w:t xml:space="preserve"> (116 g/mol)</w:t>
      </w:r>
      <w:r w:rsidR="00580585">
        <w:t xml:space="preserve"> oder Vielfachen davon</w:t>
      </w:r>
      <w:r w:rsidR="008211CC">
        <w:t xml:space="preserve"> zu rechnen</w:t>
      </w:r>
      <w:r w:rsidR="00C478C1">
        <w:t xml:space="preserve"> wäre. In den Partikeln wurden mittels G</w:t>
      </w:r>
      <w:r w:rsidR="00254AF2">
        <w:t>PC Messung jedoch keine Moleküle</w:t>
      </w:r>
      <w:r w:rsidR="00C478C1">
        <w:t xml:space="preserve"> mit einer molaren Masse zwischen 100 und 200 g/mol gefunden</w:t>
      </w:r>
      <w:r w:rsidR="00580585">
        <w:t xml:space="preserve"> und bis zu einem Molekulargewicht von 2000 g/mol konnten keine im Vergleich zum Ausgangsmaterial erhöhten Anteile gefunden werden</w:t>
      </w:r>
      <w:r w:rsidR="00C478C1">
        <w:t>.</w:t>
      </w:r>
      <w:r w:rsidR="008211CC">
        <w:t xml:space="preserve"> Die Verteilung stimmt in diesem Bereich exakt mit der des Ausgangsmaterials überein. Eine chemische Veränderung des Materials durch den Prozess </w:t>
      </w:r>
      <w:r w:rsidR="00D63ED2">
        <w:t>kann also mit großer Wahrscheinlichkeit ausgeschlossen werden.</w:t>
      </w:r>
    </w:p>
    <w:p w14:paraId="37104685" w14:textId="77777777" w:rsidR="004403FD" w:rsidRDefault="006A580C" w:rsidP="0035461C">
      <w:r>
        <w:lastRenderedPageBreak/>
        <w:t>Eine naheliegende Erklärung für die Verschiebung der</w:t>
      </w:r>
      <w:r w:rsidR="00D63ED2">
        <w:t xml:space="preserve"> Molekulargewichtsverteilu</w:t>
      </w:r>
      <w:r>
        <w:t>ng ist</w:t>
      </w:r>
      <w:r w:rsidR="00D63ED2">
        <w:t>, dass Polymerk</w:t>
      </w:r>
      <w:r>
        <w:t>etten mit einer Molmasse</w:t>
      </w:r>
      <w:r w:rsidR="00D63ED2">
        <w:t xml:space="preserve"> zwischen 2.000 und 10.000 g/mol besonders gut im </w:t>
      </w:r>
      <w:r>
        <w:t>überkritischen Medium löslich waren und daher verstärkt</w:t>
      </w:r>
      <w:r w:rsidR="00D63ED2">
        <w:t xml:space="preserve"> extrahiert wurden. Die Polymeranteile oberhalb von 30.000 g/mol waren </w:t>
      </w:r>
      <w:r>
        <w:t>nahezu unlöslich im überkritischen Gemisch aus CO</w:t>
      </w:r>
      <w:r>
        <w:rPr>
          <w:vertAlign w:val="subscript"/>
        </w:rPr>
        <w:t>2</w:t>
      </w:r>
      <w:r>
        <w:t xml:space="preserve"> und Ethanol und diejenig</w:t>
      </w:r>
      <w:r w:rsidR="00B30BCC">
        <w:t>en zwischen 400 und 2.000 g/mol waren</w:t>
      </w:r>
      <w:r w:rsidR="000D0893">
        <w:t xml:space="preserve"> geringfügig schlechter löslich, wobei in diesem unteren Bereich die Signifikanz des Effektes noch zu überprüfen wäre.</w:t>
      </w:r>
    </w:p>
    <w:p w14:paraId="066E3DE0" w14:textId="77777777" w:rsidR="000D0893" w:rsidRPr="000D0893" w:rsidRDefault="000D0893" w:rsidP="0035461C">
      <w:r>
        <w:t>Aus den Ergebnissen der GPC Analysen der Partikel aus Resomer</w:t>
      </w:r>
      <w:r w:rsidR="007E7407" w:rsidRPr="00902C2E">
        <w:rPr>
          <w:vertAlign w:val="superscript"/>
        </w:rPr>
        <w:t>®</w:t>
      </w:r>
      <w:r w:rsidR="009A783B">
        <w:t xml:space="preserve"> RG 753 H und RG 858 S </w:t>
      </w:r>
      <w:r w:rsidR="00374760">
        <w:t xml:space="preserve">(nicht gezeigt) </w:t>
      </w:r>
      <w:r w:rsidR="009A783B">
        <w:t>ließ</w:t>
      </w:r>
      <w:r>
        <w:t>en sich exakt die gleichen Schlüsse ziehen wie für RG 752 H. Auc</w:t>
      </w:r>
      <w:r w:rsidR="00255578">
        <w:t>h bei diesen beiden Resomer</w:t>
      </w:r>
      <w:r w:rsidR="005C64A7" w:rsidRPr="005C64A7">
        <w:rPr>
          <w:rFonts w:cs="Times New Roman"/>
          <w:vertAlign w:val="superscript"/>
        </w:rPr>
        <w:t>®</w:t>
      </w:r>
      <w:r w:rsidR="00255578">
        <w:t>-</w:t>
      </w:r>
      <w:r w:rsidR="009A783B">
        <w:t>Typen</w:t>
      </w:r>
      <w:r>
        <w:t xml:space="preserve"> konnten Polymeranteile mit einer molaren Masse zwischen 2.000 g/mol und 10.000 g/mol </w:t>
      </w:r>
      <w:r w:rsidR="009A783B">
        <w:t xml:space="preserve">bevorzugt </w:t>
      </w:r>
      <w:r>
        <w:t>extra</w:t>
      </w:r>
      <w:r w:rsidR="009A783B">
        <w:t xml:space="preserve">hiert werden. Da bei RG 753 H und vor allem bei RG 858 S der Anteil an Polymerketten mit einer molaren Masse in diesem Bereich jedoch nur sehr gering ist, war hier die </w:t>
      </w:r>
      <w:r w:rsidR="00163452">
        <w:t>Partikela</w:t>
      </w:r>
      <w:r w:rsidR="009A783B">
        <w:t xml:space="preserve">usbeute im Vergleich </w:t>
      </w:r>
      <w:r w:rsidR="00163452">
        <w:t>zu RG 752 H deutlich niedriger.</w:t>
      </w:r>
    </w:p>
    <w:p w14:paraId="4E4880E2" w14:textId="77777777" w:rsidR="00C02F10" w:rsidRDefault="003B37C5" w:rsidP="00C02F10">
      <w:pPr>
        <w:pStyle w:val="berschrift3"/>
      </w:pPr>
      <w:bookmarkStart w:id="292" w:name="_Toc294380276"/>
      <w:r>
        <w:t>Zusammenfassende Diskussion</w:t>
      </w:r>
      <w:bookmarkEnd w:id="292"/>
    </w:p>
    <w:p w14:paraId="4E853505" w14:textId="77777777" w:rsidR="00D94C31" w:rsidRDefault="00E20B7C" w:rsidP="00E20B7C">
      <w:r>
        <w:t>Um eine alternative Methode zur Herstellung von Polymernanopartikeln</w:t>
      </w:r>
      <w:r w:rsidR="003611D0">
        <w:t xml:space="preserve"> aus PLGA</w:t>
      </w:r>
      <w:r w:rsidR="00FE274D">
        <w:t xml:space="preserve"> </w:t>
      </w:r>
      <w:r w:rsidR="00EC6FD1">
        <w:t>ohne Verwendung toxisch bedenklicher Lösungsmitt</w:t>
      </w:r>
      <w:r w:rsidR="006718B7">
        <w:t xml:space="preserve">el und mit einer guten </w:t>
      </w:r>
      <w:r w:rsidR="00EC6FD1">
        <w:t>Übertragbarkeit auf industrielle Produktionsmaßstäbe</w:t>
      </w:r>
      <w:r>
        <w:t xml:space="preserve"> bereitstellen zu können, wurde zunächst ein Versuchsstand</w:t>
      </w:r>
      <w:r w:rsidR="003611D0">
        <w:t xml:space="preserve"> </w:t>
      </w:r>
      <w:r>
        <w:t xml:space="preserve">zur Durchführung des RESS Prozesses </w:t>
      </w:r>
      <w:r w:rsidR="003611D0">
        <w:t xml:space="preserve">nach Literaturvorbild </w:t>
      </w:r>
      <w:r w:rsidR="00E044A1">
        <w:t xml:space="preserve">im Technikumsmaßstab </w:t>
      </w:r>
      <w:r w:rsidR="003611D0">
        <w:t>aufgebaut. N</w:t>
      </w:r>
      <w:r>
        <w:t>ach einem ersten</w:t>
      </w:r>
      <w:r w:rsidR="003611D0">
        <w:t xml:space="preserve"> erfolgreichen</w:t>
      </w:r>
      <w:r>
        <w:t xml:space="preserve"> </w:t>
      </w:r>
      <w:r w:rsidRPr="00E20B7C">
        <w:rPr>
          <w:i/>
        </w:rPr>
        <w:t xml:space="preserve">proof of concept </w:t>
      </w:r>
      <w:r>
        <w:t xml:space="preserve">für die Partikelgenese </w:t>
      </w:r>
      <w:r w:rsidR="003611D0">
        <w:t>wurde die Anlage zur Steigerung der Effizienz dahingehend erwei</w:t>
      </w:r>
      <w:r w:rsidR="008714ED">
        <w:t>tert,</w:t>
      </w:r>
      <w:r w:rsidR="00EC6FD1">
        <w:t xml:space="preserve"> da</w:t>
      </w:r>
      <w:r w:rsidR="00374760">
        <w:t>ss sie konti</w:t>
      </w:r>
      <w:r w:rsidR="00D02EF6">
        <w:t>nuierlich betrieben werden konnte</w:t>
      </w:r>
      <w:r w:rsidR="003611D0">
        <w:t>. Durch diese Erweiterung und die Identifizierung gut löslicher PLGA Polymere wurde die Partikelausb</w:t>
      </w:r>
      <w:r w:rsidR="00ED726B">
        <w:t xml:space="preserve">eute von 6% auf 40% gesteigert. </w:t>
      </w:r>
      <w:r w:rsidR="00EC6FD1">
        <w:t>Weiterhin wurden wichtige Informationen zur Löslichkeit unterschiedlicher PLGA Polymere in überkritischem CO</w:t>
      </w:r>
      <w:r w:rsidR="00EC6FD1">
        <w:rPr>
          <w:vertAlign w:val="subscript"/>
        </w:rPr>
        <w:t>2</w:t>
      </w:r>
      <w:r w:rsidR="00EC6FD1">
        <w:t xml:space="preserve"> mit Ethanol als Cosolvens gewonnen. </w:t>
      </w:r>
      <w:r w:rsidR="008714ED">
        <w:t>Die Löslichkeit von PLGA nimmt jeweils mit steigendem Molekulargewicht und steigendem Glycolid-Anteil ab. Die Löslichkeitsgrenze für PLGA mit einem Lactid- zu Glycolid-Verhältnis von 75 zu 25 liegt bei 30.000 g/mol. Polymerketten mit einem höheren Molekulargewicht konnten nicht</w:t>
      </w:r>
      <w:r w:rsidR="005D1F81">
        <w:t xml:space="preserve"> aus dem Autoklaven</w:t>
      </w:r>
      <w:r w:rsidR="008714ED">
        <w:t xml:space="preserve"> extrahiert werden und wurden daher </w:t>
      </w:r>
      <w:r w:rsidR="00EC6FD1">
        <w:t>nicht in den Partikeln nachgewiesen</w:t>
      </w:r>
      <w:r w:rsidR="008714ED">
        <w:t>. Der mittlere Partikeldurchmesser der erzeugten Partikel lag z</w:t>
      </w:r>
      <w:r w:rsidR="00EC6FD1">
        <w:t xml:space="preserve">wischen 300 und 400 nm und der PDI war stets kleiner als 0,1 bei monomodaler </w:t>
      </w:r>
      <w:r w:rsidR="00D45D04">
        <w:t>Partikelgrößenverteilung</w:t>
      </w:r>
      <w:r w:rsidR="008714ED">
        <w:t xml:space="preserve">. Damit lagen die erzeugten Partikel innerhalb des Zielgrößenbereiches von </w:t>
      </w:r>
      <w:r w:rsidR="00D45D04">
        <w:t>200 bis 500 nm und die Partikelgrößenverteilung erfüllte die gestellten Anforderungen</w:t>
      </w:r>
      <w:r w:rsidR="00EC6FD1">
        <w:t xml:space="preserve"> hinsichtlich der Breite der Verteilung und der Modalität.</w:t>
      </w:r>
      <w:r w:rsidR="006718B7">
        <w:t xml:space="preserve"> Als Einflussfaktoren </w:t>
      </w:r>
      <w:r w:rsidR="00ED726B">
        <w:t xml:space="preserve">auf die Partikelgröße </w:t>
      </w:r>
      <w:r w:rsidR="006718B7">
        <w:t>wurden die Düse, die Mass</w:t>
      </w:r>
      <w:r w:rsidR="00C46B9F">
        <w:t>enstromdichte des Lösungsmittelstromes</w:t>
      </w:r>
      <w:r w:rsidR="006718B7">
        <w:t xml:space="preserve"> sowie die Pol</w:t>
      </w:r>
      <w:r w:rsidR="00ED726B">
        <w:t>ymerkonzentration identifiziert.</w:t>
      </w:r>
      <w:r w:rsidR="006718B7">
        <w:t xml:space="preserve"> </w:t>
      </w:r>
      <w:r w:rsidR="00ED726B">
        <w:t>Der Zusammenhang dieser Parameter mit der Partikelgröße wurde</w:t>
      </w:r>
      <w:r w:rsidR="006718B7">
        <w:t xml:space="preserve"> i</w:t>
      </w:r>
      <w:r w:rsidR="00ED726B">
        <w:t>m Zuge dieser Arbeit jedoch nicht systematisch</w:t>
      </w:r>
      <w:r w:rsidR="006718B7">
        <w:t xml:space="preserve"> </w:t>
      </w:r>
      <w:r w:rsidR="006718B7">
        <w:lastRenderedPageBreak/>
        <w:t>untersucht.</w:t>
      </w:r>
      <w:r w:rsidR="00ED726B" w:rsidRPr="00ED726B">
        <w:t xml:space="preserve"> </w:t>
      </w:r>
      <w:r w:rsidR="00C46B9F">
        <w:t>Wie die Partikelgröße gezielt einzustellen ist, wäre durch</w:t>
      </w:r>
      <w:r w:rsidR="00ED726B">
        <w:t xml:space="preserve"> </w:t>
      </w:r>
      <w:r w:rsidR="00C46B9F">
        <w:t xml:space="preserve">weitere </w:t>
      </w:r>
      <w:r w:rsidR="00ED726B">
        <w:t>Versuche</w:t>
      </w:r>
      <w:r w:rsidR="00C46B9F">
        <w:t xml:space="preserve"> in anschließenden Arbeiten zu untersuchen.</w:t>
      </w:r>
    </w:p>
    <w:p w14:paraId="674FCF44" w14:textId="77777777" w:rsidR="00D94C31" w:rsidRDefault="005D1F81" w:rsidP="00E20B7C">
      <w:r>
        <w:t>Als Produkt wurde eine Suspension der Partikel</w:t>
      </w:r>
      <w:r w:rsidR="0043615A">
        <w:t xml:space="preserve"> in Ethanol</w:t>
      </w:r>
      <w:r>
        <w:t xml:space="preserve"> kontinuierlic</w:t>
      </w:r>
      <w:r w:rsidR="0043615A">
        <w:t xml:space="preserve">h aus der RESS Anlage entnommen. </w:t>
      </w:r>
      <w:r w:rsidR="00E458C2">
        <w:t>Dies wurde durch die Entwicklung einer speziellen Sprüh</w:t>
      </w:r>
      <w:r w:rsidR="00016B33">
        <w:t>k</w:t>
      </w:r>
      <w:r w:rsidR="00E458C2">
        <w:t xml:space="preserve">ammer ermöglicht, die außerdem eine wesentliche Maßnahme zur Gewährleistung der Arbeitssicherheit bei Arbeiten mit hoch potenten Wirkstoffen darstellte. </w:t>
      </w:r>
      <w:r w:rsidR="0043615A">
        <w:t>Die</w:t>
      </w:r>
      <w:r>
        <w:t xml:space="preserve"> Stabilität</w:t>
      </w:r>
      <w:r w:rsidR="00D02EF6">
        <w:t xml:space="preserve"> der Polym</w:t>
      </w:r>
      <w:r w:rsidR="00E458C2">
        <w:t>ernanopartikel in der ethanolischen</w:t>
      </w:r>
      <w:r w:rsidR="0043615A">
        <w:t xml:space="preserve"> Suspension wurde</w:t>
      </w:r>
      <w:r>
        <w:t xml:space="preserve"> für einen Zeitraum von mindestens</w:t>
      </w:r>
      <w:r w:rsidR="0043615A">
        <w:t xml:space="preserve"> zwei Monaten nachgewiesen</w:t>
      </w:r>
      <w:r>
        <w:t>.</w:t>
      </w:r>
      <w:r w:rsidR="0043615A">
        <w:t xml:space="preserve"> Zur Verlängerung der Stabilität konnte die Partikelsuspension </w:t>
      </w:r>
      <w:r>
        <w:t xml:space="preserve">mittels Sprühtrocknung erfolgreich in ein trockenes und in Wasser vollständig redispergierbares Pulver überführt werden. </w:t>
      </w:r>
      <w:r w:rsidR="00D94C31">
        <w:t>Zudem wurde die c</w:t>
      </w:r>
      <w:r w:rsidR="001D3380">
        <w:t>hemische Stabilität des Polymer</w:t>
      </w:r>
      <w:r w:rsidR="00D94C31">
        <w:t>s im Prozess mittels GPC Analyse bestätigt.</w:t>
      </w:r>
    </w:p>
    <w:p w14:paraId="7BCF445B" w14:textId="77777777" w:rsidR="008752F7" w:rsidRDefault="00ED726B" w:rsidP="00E20B7C">
      <w:r>
        <w:t>Da die Anlage so aufgebaut wurde, dass die Anforderungen an Umwelt, Sic</w:t>
      </w:r>
      <w:r w:rsidR="000527F3">
        <w:t>herheit und Gesundheit (USG</w:t>
      </w:r>
      <w:r>
        <w:t xml:space="preserve">) erfüllt wurden, konnte mit hoch potenten Wirkstoffen wie Desmopressin gearbeitet werden. </w:t>
      </w:r>
      <w:r w:rsidR="00D02EF6">
        <w:t>Zur Mikroverkapselung von Desmopressin</w:t>
      </w:r>
      <w:r w:rsidR="00630E96">
        <w:t>a</w:t>
      </w:r>
      <w:r w:rsidR="00D02EF6">
        <w:t>cetat in PLGA wa</w:t>
      </w:r>
      <w:r w:rsidR="00D94C31">
        <w:t>r die Methode aufgrund einer</w:t>
      </w:r>
      <w:r w:rsidR="00D02EF6">
        <w:t xml:space="preserve"> sehr geringen Verkapselungseffizienz von </w:t>
      </w:r>
      <w:r w:rsidR="008752F7">
        <w:t xml:space="preserve">0,52% </w:t>
      </w:r>
      <w:r>
        <w:t xml:space="preserve">jedoch </w:t>
      </w:r>
      <w:r w:rsidR="008752F7">
        <w:t>nicht geeignet. Die Gründe hierfür sind die hohe Löslichkeit der Modellsubstanz im Cosolvens Ethanol und die voraussichtlich sehr geringe Löslichkeit des Peptidsalzes im überkritischen Medium sowie in PLGA. Eine besonders hohe Verkapselungseffizienz wird für solche Wirkstoffe erwartet, die eine hohe Löslichkeit im überkritischen Medium und eine geringe Löslichkeit im Cosolvens besitzen.</w:t>
      </w:r>
    </w:p>
    <w:p w14:paraId="597E6366" w14:textId="77777777" w:rsidR="00D94C31" w:rsidRDefault="00BE4C74" w:rsidP="00E20B7C">
      <w:r>
        <w:t>Die aus dem Autoklaven extrahierte</w:t>
      </w:r>
      <w:r w:rsidR="00D94C31">
        <w:t xml:space="preserve"> Polymermenge konnte mit dem verwendeten Druckautoklaven mit einem Volumen von 500 ml</w:t>
      </w:r>
      <w:r w:rsidR="00A811A6">
        <w:t xml:space="preserve"> </w:t>
      </w:r>
      <w:r w:rsidR="00D94C31">
        <w:t xml:space="preserve">auf bis zu 7 g PLGA </w:t>
      </w:r>
      <w:r w:rsidR="000527F3">
        <w:t xml:space="preserve">pro Füllvorgang </w:t>
      </w:r>
      <w:r w:rsidR="00D94C31">
        <w:t xml:space="preserve">gesteigert werden. </w:t>
      </w:r>
      <w:r w:rsidR="000527F3">
        <w:t>Die zur Umsetzung</w:t>
      </w:r>
      <w:r w:rsidR="00A811A6">
        <w:t xml:space="preserve"> benötigte</w:t>
      </w:r>
      <w:r w:rsidR="001D3380">
        <w:t xml:space="preserve"> Zeitdauer betrug 2 Stunden. Dabei wurden ca. 2 kg CO</w:t>
      </w:r>
      <w:r>
        <w:rPr>
          <w:vertAlign w:val="subscript"/>
        </w:rPr>
        <w:t>2</w:t>
      </w:r>
      <w:r>
        <w:t xml:space="preserve"> und 700 ml Ethanol verbraucht. Eine Rückgewinnung der Lösungsmittel war bisher nicht vorgesehen, w</w:t>
      </w:r>
      <w:r w:rsidR="000527F3">
        <w:t>ürde sich jedoch mit relativ geringem</w:t>
      </w:r>
      <w:r>
        <w:t xml:space="preserve"> </w:t>
      </w:r>
      <w:r w:rsidR="000527F3">
        <w:t xml:space="preserve">Aufwand </w:t>
      </w:r>
      <w:r>
        <w:t>realisieren lassen, zumal eine Trennung von Gas- und Feststoff- bzw. Flüssigphase ber</w:t>
      </w:r>
      <w:r w:rsidR="00BC41B2">
        <w:t>e</w:t>
      </w:r>
      <w:r w:rsidR="00497F6B">
        <w:t>its in der Sprühkammer erfolgt. Mit dieser Erweiterung würde das Verfahren einen ökologisch besonders nachhaltigen Prozess zur Herstellung von Polymerpartikeln darstellen.</w:t>
      </w:r>
    </w:p>
    <w:p w14:paraId="60B82222" w14:textId="77777777" w:rsidR="00BE4C74" w:rsidRDefault="00E8611E" w:rsidP="00E20B7C">
      <w:r>
        <w:t>Die Partikelausbeute von 40% sollte sich durch Optimierung der Prozessparameter voraussichtlich weiter steigern lassen. Die Verluste ergaben sich in erster Linie durch Abscheidungen an der Autoklavenwand, an der Wandung der Sprühkammer und in den Verrohrunge</w:t>
      </w:r>
      <w:r w:rsidR="00E044A1">
        <w:t>n. Diese Verluste</w:t>
      </w:r>
      <w:r w:rsidR="009F473A">
        <w:t xml:space="preserve"> sind</w:t>
      </w:r>
      <w:r w:rsidR="00E044A1">
        <w:t xml:space="preserve"> zum Teil</w:t>
      </w:r>
      <w:r>
        <w:t xml:space="preserve"> konstant und würden bei vollkontinuierlicher Prozessführung oder bei Erhöh</w:t>
      </w:r>
      <w:r w:rsidR="00255578">
        <w:t>u</w:t>
      </w:r>
      <w:r>
        <w:t>ng der Polymermenge an Bedeutung verlieren. Die nicht erwünschten Abscheidungen der Partikel an der Wandung der Sprühkammer sollten sich voraussichtlich durch Optmier</w:t>
      </w:r>
      <w:r w:rsidR="00E1632E">
        <w:t>ung der Verweilzeit des Aerosol</w:t>
      </w:r>
      <w:r>
        <w:t>s in der Sprühkammer reduzieren lassen.</w:t>
      </w:r>
    </w:p>
    <w:p w14:paraId="130269A4" w14:textId="77777777" w:rsidR="00E8611E" w:rsidRDefault="00A7497E" w:rsidP="00E20B7C">
      <w:r w:rsidRPr="00A7497E">
        <w:lastRenderedPageBreak/>
        <w:t>Beim aktuellen Aufbau der Anlage muss der Aut</w:t>
      </w:r>
      <w:r w:rsidR="00255578">
        <w:t>oklav nach Ablauf der jeweils ein</w:t>
      </w:r>
      <w:r w:rsidRPr="00A7497E">
        <w:t>stündigen Lösungs- und Extraktionsphase (insgesamt 2 Stunden) geöffnet und neu mit Polymer befüllt werden. Die</w:t>
      </w:r>
      <w:r>
        <w:t>se</w:t>
      </w:r>
      <w:r w:rsidRPr="00A7497E">
        <w:t xml:space="preserve"> se</w:t>
      </w:r>
      <w:r>
        <w:t>mi-kontinuierliche Prozessführung</w:t>
      </w:r>
      <w:r w:rsidRPr="00A7497E">
        <w:t xml:space="preserve"> würde sich zum einen durch den Einbau eines zweiten </w:t>
      </w:r>
      <w:r>
        <w:t>Hochd</w:t>
      </w:r>
      <w:r w:rsidRPr="00A7497E">
        <w:t>ruckautoklaven, der in Serie g</w:t>
      </w:r>
      <w:r>
        <w:t>eschaltet wird, oder</w:t>
      </w:r>
      <w:r w:rsidRPr="00A7497E">
        <w:t xml:space="preserve"> zum anderen durch eine kontinuierliche Nachförderung von Polymer in ein vollkontinuierliches Verfahren überführen lassen. Zur Realisierung des zweiten Weges sollte das Polymer in einem zusätzlichen Hochdruckautoklaven im Überschuss vorgelegt</w:t>
      </w:r>
      <w:r>
        <w:t xml:space="preserve"> und</w:t>
      </w:r>
      <w:r w:rsidRPr="00A7497E">
        <w:t xml:space="preserve"> bei ni</w:t>
      </w:r>
      <w:r>
        <w:t>edrigen Temperaturen um 40</w:t>
      </w:r>
      <w:r w:rsidR="00A426B8">
        <w:t xml:space="preserve"> </w:t>
      </w:r>
      <w:r>
        <w:t>°C mit CO</w:t>
      </w:r>
      <w:r>
        <w:rPr>
          <w:vertAlign w:val="subscript"/>
        </w:rPr>
        <w:t>2</w:t>
      </w:r>
      <w:r>
        <w:t xml:space="preserve"> unter einem Druck von etwa 200 bar behandelt werden</w:t>
      </w:r>
      <w:r w:rsidRPr="00A7497E">
        <w:t>. Da CO</w:t>
      </w:r>
      <w:r w:rsidRPr="00A7497E">
        <w:rPr>
          <w:vertAlign w:val="subscript"/>
        </w:rPr>
        <w:t>2</w:t>
      </w:r>
      <w:r w:rsidRPr="00A7497E">
        <w:t xml:space="preserve"> auf Polylactide als Weichmacher wirkt, entsteht unter diesen Bedingungen eine Polymerschmelze</w:t>
      </w:r>
      <w:r w:rsidRPr="00A7497E">
        <w:rPr>
          <w:vertAlign w:val="superscript"/>
        </w:rPr>
        <w:endnoteReference w:id="164"/>
      </w:r>
      <w:r w:rsidRPr="00A7497E">
        <w:t>, die durch Erz</w:t>
      </w:r>
      <w:r>
        <w:t>eugung eines leichten Überdruck</w:t>
      </w:r>
      <w:r w:rsidR="00E1632E">
        <w:t>s gegenüber dem</w:t>
      </w:r>
      <w:r w:rsidRPr="00A7497E">
        <w:t xml:space="preserve"> Extraktionsautoklaven in diesen kontinuierlich überführt werden kann. Dadurch kann die Sprühdauer und die umzusetzende Polymermenge deutlich erhöht werden. Voraussichtlich würde der vollkontinuierliche Betrieb außerdem zu einer weiteren St</w:t>
      </w:r>
      <w:r w:rsidR="00E1632E">
        <w:t>eigerung der Ausbeute beitragen, da die fixen Materialverluste durch Benetzung der Oberflächen in diesem Fall weniger ins Gewicht fallen würden.</w:t>
      </w:r>
    </w:p>
    <w:p w14:paraId="5E9B72A5" w14:textId="77777777" w:rsidR="00E458C2" w:rsidRPr="00362632" w:rsidRDefault="00FC4906" w:rsidP="00E20B7C">
      <w:r>
        <w:t>Mithilfe</w:t>
      </w:r>
      <w:r w:rsidR="009F473A">
        <w:t xml:space="preserve"> der aufgebauten Technikumsanlage wurde erfolgreich gezeig</w:t>
      </w:r>
      <w:r>
        <w:t>t, dass handelsübliches PLGA Polymer</w:t>
      </w:r>
      <w:r w:rsidR="00882A43">
        <w:t xml:space="preserve"> mit</w:t>
      </w:r>
      <w:r w:rsidR="009F473A">
        <w:t xml:space="preserve"> einem kontinuierlichen RESS Ver</w:t>
      </w:r>
      <w:r>
        <w:t>fahren effizient in eine stabile Nanosuspension überführt werden kann</w:t>
      </w:r>
      <w:r w:rsidR="009F473A">
        <w:t>.</w:t>
      </w:r>
      <w:r w:rsidR="00882A43">
        <w:t xml:space="preserve"> Dieses Verfahren</w:t>
      </w:r>
      <w:r>
        <w:t xml:space="preserve"> bietet wie weiter oben beschrie</w:t>
      </w:r>
      <w:r w:rsidR="000527F3">
        <w:t>ben gegenüber üblichen Herstellungsmethoden</w:t>
      </w:r>
      <w:r>
        <w:t xml:space="preserve"> erhebliche Vorteile und</w:t>
      </w:r>
      <w:r w:rsidR="000527F3">
        <w:t xml:space="preserve"> bringt</w:t>
      </w:r>
      <w:r w:rsidR="00882A43">
        <w:t xml:space="preserve"> die Voraussetzungen zur Übertragung auf industrielle Produktionsmaßstäbe</w:t>
      </w:r>
      <w:r w:rsidR="006718B7">
        <w:t xml:space="preserve"> bereits</w:t>
      </w:r>
      <w:r w:rsidR="00882A43">
        <w:t xml:space="preserve"> mit sich. Extraktionsanlagen mit überkritischem CO</w:t>
      </w:r>
      <w:r w:rsidR="00882A43">
        <w:rPr>
          <w:vertAlign w:val="subscript"/>
        </w:rPr>
        <w:t>2</w:t>
      </w:r>
      <w:r w:rsidR="00882A43">
        <w:t xml:space="preserve"> werden bereits seit einiger Zeit industriell eingesetzt, wie beispielsweise bei der Extraktion von Koffein aus Kaffeebohnen, in der Ledergerbung oder zur Extraktion von Pflanzenölen.</w:t>
      </w:r>
      <w:r>
        <w:t xml:space="preserve"> Zudem eignet sich das Verfahren prinzipiell für die Verkapselung pharmazeutischer Wirkstoffe, wobei der Prozess für die Verkapselung der Modellsubstanz Desmopressin </w:t>
      </w:r>
      <w:r w:rsidR="000527F3">
        <w:t xml:space="preserve">in PLGA </w:t>
      </w:r>
      <w:r>
        <w:t xml:space="preserve">voraussichtlich nicht effizient genug ist. Die als Produkt anfallende Suspension der Nanopartikel ist mittels </w:t>
      </w:r>
      <w:r w:rsidR="009F473A">
        <w:t>Sprühtrocknung in ein redisper</w:t>
      </w:r>
      <w:r>
        <w:t>gierbares</w:t>
      </w:r>
      <w:r w:rsidR="00016B33">
        <w:t xml:space="preserve"> und lagerstabiles</w:t>
      </w:r>
      <w:r>
        <w:t xml:space="preserve"> Pulver überführbar.</w:t>
      </w:r>
    </w:p>
    <w:p w14:paraId="0C8A1B61" w14:textId="77777777" w:rsidR="00CD7796" w:rsidRDefault="00CD7796" w:rsidP="00584A0D">
      <w:pPr>
        <w:pStyle w:val="berschrift2"/>
      </w:pPr>
      <w:r>
        <w:tab/>
      </w:r>
      <w:bookmarkStart w:id="293" w:name="_Ref274320829"/>
      <w:bookmarkStart w:id="294" w:name="_Toc294380277"/>
      <w:r w:rsidR="00B9793D">
        <w:t>Resorptions- und Bioverfügbarkeitsuntersuchungen</w:t>
      </w:r>
      <w:r w:rsidR="00380FF0">
        <w:t xml:space="preserve"> der </w:t>
      </w:r>
      <w:r w:rsidR="00E44D4C">
        <w:t xml:space="preserve">Desmopressin </w:t>
      </w:r>
      <w:r w:rsidR="00380FF0">
        <w:t>F</w:t>
      </w:r>
      <w:r>
        <w:t>ormulierungen</w:t>
      </w:r>
      <w:bookmarkEnd w:id="293"/>
      <w:bookmarkEnd w:id="294"/>
    </w:p>
    <w:p w14:paraId="2949203F" w14:textId="77777777" w:rsidR="009E27A0" w:rsidRPr="009E27A0" w:rsidRDefault="009E27A0" w:rsidP="009E27A0">
      <w:r>
        <w:t>Die Resorptions- und Bioverfügbarkeitsuntersuchungen der Partikelformulierungen</w:t>
      </w:r>
      <w:r w:rsidR="00E44D4C">
        <w:t xml:space="preserve"> mit Desmopressin</w:t>
      </w:r>
      <w:r>
        <w:t xml:space="preserve"> erfolgten mithilfe unterschiedlicher Testmodelle, die von Projektpartnern des PeTrA Konso</w:t>
      </w:r>
      <w:r w:rsidR="00E44D4C">
        <w:t>rtiums entwickelt bzw.</w:t>
      </w:r>
      <w:r>
        <w:t xml:space="preserve"> zur Verfügung gestellt wurden. So wurde die Aufnahme von Partikeln in HeLa und Caco-2 Zellen an den Universitä</w:t>
      </w:r>
      <w:r w:rsidR="006111E2">
        <w:t>ten in Nijmegen und Würzburg sowie</w:t>
      </w:r>
      <w:r>
        <w:t xml:space="preserve"> bei Evonik in Darmstadt untersucht.</w:t>
      </w:r>
      <w:r w:rsidR="00E44D4C">
        <w:t xml:space="preserve"> Weiterhin wurden </w:t>
      </w:r>
      <w:r w:rsidR="00E44D4C">
        <w:rPr>
          <w:i/>
        </w:rPr>
        <w:t>i</w:t>
      </w:r>
      <w:r w:rsidR="00E44D4C" w:rsidRPr="00E44D4C">
        <w:rPr>
          <w:i/>
        </w:rPr>
        <w:t>n vitro</w:t>
      </w:r>
      <w:r w:rsidR="00E11D6B">
        <w:rPr>
          <w:i/>
        </w:rPr>
        <w:t>-</w:t>
      </w:r>
      <w:r w:rsidR="00E44D4C">
        <w:t>Resorptionsstudien zur Untersuchung des Desmopressin- und P</w:t>
      </w:r>
      <w:r w:rsidR="00E11D6B">
        <w:t>artikeltransportes durch ein kultiviertes</w:t>
      </w:r>
      <w:r w:rsidR="00E44D4C">
        <w:t xml:space="preserve"> </w:t>
      </w:r>
      <w:r w:rsidR="00E44D4C">
        <w:lastRenderedPageBreak/>
        <w:t xml:space="preserve">Darmepithelgewebe an der Universität in Würzburg durchgeführt. </w:t>
      </w:r>
      <w:r>
        <w:t xml:space="preserve">Die </w:t>
      </w:r>
      <w:r w:rsidRPr="009E27A0">
        <w:rPr>
          <w:i/>
        </w:rPr>
        <w:t>in vivo</w:t>
      </w:r>
      <w:r>
        <w:t>-Untersuchung der Bioverfügbarkeit</w:t>
      </w:r>
      <w:r w:rsidR="00E44D4C">
        <w:t xml:space="preserve"> der unterschiedlichen nanopartikulären Formulierungen von Desmopressin erfolgte schließlich</w:t>
      </w:r>
      <w:r>
        <w:t xml:space="preserve"> am Helmholtz Zentrum für Infektionsforschung (H</w:t>
      </w:r>
      <w:r w:rsidR="00E44D4C">
        <w:t>ZI) in Braunschweig</w:t>
      </w:r>
      <w:r>
        <w:t>.</w:t>
      </w:r>
    </w:p>
    <w:p w14:paraId="7566D9B7" w14:textId="77777777" w:rsidR="00DC7462" w:rsidRPr="00DC7462" w:rsidRDefault="00782BA5" w:rsidP="009337E8">
      <w:pPr>
        <w:pStyle w:val="berschrift3"/>
      </w:pPr>
      <w:bookmarkStart w:id="295" w:name="_Ref278752273"/>
      <w:bookmarkStart w:id="296" w:name="_Ref278752376"/>
      <w:bookmarkStart w:id="297" w:name="_Toc294380278"/>
      <w:r>
        <w:t>I</w:t>
      </w:r>
      <w:r w:rsidR="004C4579">
        <w:t xml:space="preserve">n </w:t>
      </w:r>
      <w:r w:rsidR="00DC7462">
        <w:t>vitro-Charakterisierung</w:t>
      </w:r>
      <w:bookmarkEnd w:id="295"/>
      <w:bookmarkEnd w:id="296"/>
      <w:bookmarkEnd w:id="297"/>
    </w:p>
    <w:p w14:paraId="05BB309A" w14:textId="77777777" w:rsidR="00CD7796" w:rsidRDefault="00782BA5" w:rsidP="00ED4563">
      <w:pPr>
        <w:pStyle w:val="berschrift4"/>
      </w:pPr>
      <w:bookmarkStart w:id="298" w:name="_Toc294380279"/>
      <w:r>
        <w:t>I</w:t>
      </w:r>
      <w:r w:rsidR="00DC7462">
        <w:t xml:space="preserve">n </w:t>
      </w:r>
      <w:r w:rsidR="00B9793D" w:rsidRPr="00B9793D">
        <w:t>vitro Partikelaufnahme in HeLa und Caco-2 Zellen</w:t>
      </w:r>
      <w:bookmarkEnd w:id="298"/>
    </w:p>
    <w:p w14:paraId="794445CE" w14:textId="77777777" w:rsidR="00E9706C" w:rsidRDefault="00E9706C" w:rsidP="00E9706C">
      <w:r>
        <w:t>Getestet wurde die Aufnahme der fluoreszenzmarkierten Partikel aus Resomer</w:t>
      </w:r>
      <w:r w:rsidR="005C64A7" w:rsidRPr="005C64A7">
        <w:rPr>
          <w:rFonts w:cs="Times New Roman"/>
          <w:vertAlign w:val="superscript"/>
        </w:rPr>
        <w:t>®</w:t>
      </w:r>
      <w:r>
        <w:t xml:space="preserve"> mit und ohne </w:t>
      </w:r>
      <w:r w:rsidR="00F71178">
        <w:t>hLF Beschichtung in HeLa und Cac</w:t>
      </w:r>
      <w:r>
        <w:t xml:space="preserve">o-2 Zellen. Weiterhin wurde die Aufnahme der optimierten Cystein </w:t>
      </w:r>
      <w:r w:rsidR="00FA4C2C">
        <w:t xml:space="preserve">und Asparaginsäure PEA Partikel </w:t>
      </w:r>
      <w:r w:rsidR="00F71178">
        <w:t>in HeLa und Cac</w:t>
      </w:r>
      <w:r w:rsidR="00B722B8">
        <w:t xml:space="preserve">o-2 Zellen </w:t>
      </w:r>
      <w:r>
        <w:t>untersucht.</w:t>
      </w:r>
    </w:p>
    <w:p w14:paraId="4B36E313" w14:textId="77777777" w:rsidR="00B722B8" w:rsidRPr="00B722B8" w:rsidRDefault="00B722B8" w:rsidP="00B722B8">
      <w:r>
        <w:t xml:space="preserve">Dazu </w:t>
      </w:r>
      <w:r w:rsidRPr="00B722B8">
        <w:t xml:space="preserve">wurden 20.000 HeLa </w:t>
      </w:r>
      <w:r w:rsidR="00F71178">
        <w:t>bzw. Cac</w:t>
      </w:r>
      <w:r w:rsidRPr="00B722B8">
        <w:t>o</w:t>
      </w:r>
      <w:r>
        <w:t>-2</w:t>
      </w:r>
      <w:r w:rsidRPr="00B722B8">
        <w:t xml:space="preserve"> </w:t>
      </w:r>
      <w:r>
        <w:t xml:space="preserve">Zellen </w:t>
      </w:r>
      <w:r w:rsidRPr="00B722B8">
        <w:t xml:space="preserve">in Chamberslides ausgebracht </w:t>
      </w:r>
      <w:r>
        <w:t>und für 2 Tage</w:t>
      </w:r>
      <w:r w:rsidRPr="00B722B8">
        <w:t xml:space="preserve"> bei 37</w:t>
      </w:r>
      <w:r w:rsidR="00A426B8">
        <w:t xml:space="preserve"> </w:t>
      </w:r>
      <w:r w:rsidRPr="00B722B8">
        <w:t>°C in CO</w:t>
      </w:r>
      <w:r w:rsidRPr="00B722B8">
        <w:rPr>
          <w:vertAlign w:val="subscript"/>
        </w:rPr>
        <w:t>2</w:t>
      </w:r>
      <w:r w:rsidRPr="00B722B8">
        <w:t>-Atmosphäre</w:t>
      </w:r>
      <w:r w:rsidR="00105C71">
        <w:t xml:space="preserve"> und entsprechendem Nährmedium</w:t>
      </w:r>
      <w:r w:rsidRPr="00B722B8">
        <w:t xml:space="preserve"> inkubiert.</w:t>
      </w:r>
      <w:r w:rsidR="005653E4">
        <w:t xml:space="preserve"> Verwendet wurden kultivierte Zelllinien der DSMZ in Braunschweig.</w:t>
      </w:r>
    </w:p>
    <w:p w14:paraId="13B237D5" w14:textId="77777777" w:rsidR="00B722B8" w:rsidRPr="00B722B8" w:rsidRDefault="00B722B8" w:rsidP="00B722B8">
      <w:r>
        <w:t>Eine entsprechend eingewogene Menge der Partikelformu</w:t>
      </w:r>
      <w:r w:rsidR="00B26EAD">
        <w:t>lierungen wurde in Medium suspendiert</w:t>
      </w:r>
      <w:r>
        <w:t>, sodass e</w:t>
      </w:r>
      <w:r w:rsidR="00016B33">
        <w:t>ine Polymerkonzentration von 1,0</w:t>
      </w:r>
      <w:r>
        <w:t> mg/ml resultierte.</w:t>
      </w:r>
    </w:p>
    <w:p w14:paraId="37149762" w14:textId="77777777" w:rsidR="0096488D" w:rsidRDefault="005653E4" w:rsidP="0096488D">
      <w:pPr>
        <w:spacing w:after="0"/>
      </w:pPr>
      <w:r>
        <w:t>Zur Durchführung der</w:t>
      </w:r>
      <w:r w:rsidR="00B722B8">
        <w:t xml:space="preserve"> Tests wurde das Medium abgesaugt</w:t>
      </w:r>
      <w:r w:rsidR="00A86CEF">
        <w:t xml:space="preserve"> und in den Chamberslides durch </w:t>
      </w:r>
      <w:r w:rsidR="00B722B8" w:rsidRPr="00B722B8">
        <w:t>500</w:t>
      </w:r>
      <w:r w:rsidR="00B722B8">
        <w:t> µl der Partikelsuspensionen</w:t>
      </w:r>
      <w:r w:rsidR="00B722B8" w:rsidRPr="00B722B8">
        <w:t xml:space="preserve"> </w:t>
      </w:r>
      <w:r w:rsidR="00B722B8">
        <w:t>ersetzt</w:t>
      </w:r>
      <w:r w:rsidR="00B722B8" w:rsidRPr="00B722B8">
        <w:t>.</w:t>
      </w:r>
      <w:r w:rsidR="00A86CEF">
        <w:t xml:space="preserve"> </w:t>
      </w:r>
      <w:r w:rsidR="00B722B8">
        <w:t>An</w:t>
      </w:r>
      <w:r w:rsidR="00B26EAD">
        <w:t>schließend wu</w:t>
      </w:r>
      <w:r w:rsidR="00A86CEF">
        <w:t>rden die</w:t>
      </w:r>
      <w:r w:rsidR="00B722B8">
        <w:t xml:space="preserve"> Zellen</w:t>
      </w:r>
      <w:r w:rsidR="00B722B8" w:rsidRPr="00B722B8">
        <w:t xml:space="preserve"> bei 37</w:t>
      </w:r>
      <w:r w:rsidR="00A426B8">
        <w:t xml:space="preserve"> </w:t>
      </w:r>
      <w:r w:rsidR="00B722B8" w:rsidRPr="00B722B8">
        <w:t>°C für 1,5-2</w:t>
      </w:r>
      <w:r w:rsidR="00016B33">
        <w:t>,5</w:t>
      </w:r>
      <w:r w:rsidR="00B722B8" w:rsidRPr="00B722B8">
        <w:t>h</w:t>
      </w:r>
      <w:r w:rsidR="00016B33">
        <w:t xml:space="preserve"> und bis zu 24h</w:t>
      </w:r>
      <w:r w:rsidR="00B722B8">
        <w:t xml:space="preserve"> im Brutschrank inkubiert. Im Anschluss</w:t>
      </w:r>
      <w:r w:rsidR="00B722B8" w:rsidRPr="00B722B8">
        <w:t xml:space="preserve"> </w:t>
      </w:r>
      <w:r w:rsidR="00B722B8">
        <w:t xml:space="preserve">wurde die Partikelsuspension abgesaugt und </w:t>
      </w:r>
      <w:r w:rsidR="00B26EAD">
        <w:t xml:space="preserve">die Zellen wurden </w:t>
      </w:r>
      <w:r w:rsidR="00B722B8">
        <w:t xml:space="preserve">3 Mal für je </w:t>
      </w:r>
      <w:r w:rsidR="00B722B8" w:rsidRPr="00B722B8">
        <w:t>5</w:t>
      </w:r>
      <w:r w:rsidR="00B722B8">
        <w:t> m</w:t>
      </w:r>
      <w:r w:rsidR="00B722B8" w:rsidRPr="00B722B8">
        <w:t>in</w:t>
      </w:r>
      <w:r w:rsidR="00B722B8">
        <w:t xml:space="preserve"> mit mindestens</w:t>
      </w:r>
      <w:r w:rsidR="00B722B8" w:rsidRPr="00B722B8">
        <w:t xml:space="preserve"> 500</w:t>
      </w:r>
      <w:r w:rsidR="00B722B8">
        <w:t> </w:t>
      </w:r>
      <w:r w:rsidR="00B722B8" w:rsidRPr="00B722B8">
        <w:t xml:space="preserve">µl Medium </w:t>
      </w:r>
      <w:r w:rsidR="00B722B8">
        <w:t>gewasche</w:t>
      </w:r>
      <w:r w:rsidR="00B26EAD">
        <w:t>n. Nun wurden die Zellen mit einem</w:t>
      </w:r>
      <w:r w:rsidR="00B722B8">
        <w:t xml:space="preserve"> Fluoreszenzmikroskop</w:t>
      </w:r>
      <w:r w:rsidR="00B26EAD">
        <w:t xml:space="preserve"> oder einem Konfokalmikroskop</w:t>
      </w:r>
      <w:r w:rsidR="00B722B8">
        <w:t xml:space="preserve"> untersucht.</w:t>
      </w:r>
    </w:p>
    <w:p w14:paraId="2C005C80" w14:textId="77777777" w:rsidR="00AD6887" w:rsidRDefault="00AD6887" w:rsidP="00B722B8"/>
    <w:p w14:paraId="24E9626F" w14:textId="77777777" w:rsidR="00FC5821" w:rsidRPr="00FC5821" w:rsidRDefault="00FC5821" w:rsidP="004260A9">
      <w:pPr>
        <w:pStyle w:val="Beschriftung"/>
        <w:ind w:firstLine="0"/>
        <w:rPr>
          <w:b w:val="0"/>
        </w:rPr>
      </w:pPr>
      <w:bookmarkStart w:id="299" w:name="_Ref278750767"/>
      <w:r w:rsidRPr="00FC5821">
        <w:t xml:space="preserve">Tabelle </w:t>
      </w:r>
      <w:fldSimple w:instr=" SEQ Tabelle \* ARABIC ">
        <w:r w:rsidR="00711AB8">
          <w:rPr>
            <w:noProof/>
          </w:rPr>
          <w:t>31</w:t>
        </w:r>
      </w:fldSimple>
      <w:bookmarkEnd w:id="299"/>
      <w:r>
        <w:rPr>
          <w:b w:val="0"/>
        </w:rPr>
        <w:t xml:space="preserve"> Zur Testung der </w:t>
      </w:r>
      <w:r w:rsidR="00F71178">
        <w:rPr>
          <w:b w:val="0"/>
        </w:rPr>
        <w:t>Partikelaufnahme in HeLa und Cac</w:t>
      </w:r>
      <w:r>
        <w:rPr>
          <w:b w:val="0"/>
        </w:rPr>
        <w:t>o-2 Zellen eingesetzte Materialen.</w:t>
      </w:r>
    </w:p>
    <w:tbl>
      <w:tblPr>
        <w:tblW w:w="7953" w:type="dxa"/>
        <w:tblInd w:w="55" w:type="dxa"/>
        <w:tblCellMar>
          <w:left w:w="70" w:type="dxa"/>
          <w:right w:w="70" w:type="dxa"/>
        </w:tblCellMar>
        <w:tblLook w:val="04A0" w:firstRow="1" w:lastRow="0" w:firstColumn="1" w:lastColumn="0" w:noHBand="0" w:noVBand="1"/>
      </w:tblPr>
      <w:tblGrid>
        <w:gridCol w:w="6162"/>
        <w:gridCol w:w="1791"/>
      </w:tblGrid>
      <w:tr w:rsidR="00FC5821" w:rsidRPr="00FC5821" w14:paraId="551698D6" w14:textId="77777777" w:rsidTr="00016B33">
        <w:trPr>
          <w:trHeight w:hRule="exact" w:val="340"/>
        </w:trPr>
        <w:tc>
          <w:tcPr>
            <w:tcW w:w="6162" w:type="dxa"/>
            <w:tcBorders>
              <w:top w:val="single" w:sz="8" w:space="0" w:color="auto"/>
              <w:left w:val="single" w:sz="8" w:space="0" w:color="auto"/>
              <w:bottom w:val="single" w:sz="4" w:space="0" w:color="auto"/>
              <w:right w:val="single" w:sz="4" w:space="0" w:color="auto"/>
            </w:tcBorders>
            <w:vAlign w:val="center"/>
            <w:hideMark/>
          </w:tcPr>
          <w:p w14:paraId="2871FE30" w14:textId="77777777" w:rsidR="00FC5821" w:rsidRPr="00FC5821" w:rsidRDefault="00FC5821" w:rsidP="00016B33">
            <w:pPr>
              <w:spacing w:line="240" w:lineRule="auto"/>
              <w:rPr>
                <w:b/>
                <w:bCs/>
                <w:sz w:val="20"/>
                <w:szCs w:val="20"/>
                <w:lang w:val="en-US"/>
              </w:rPr>
            </w:pPr>
            <w:r w:rsidRPr="00FC5821">
              <w:rPr>
                <w:b/>
                <w:bCs/>
                <w:sz w:val="20"/>
                <w:szCs w:val="20"/>
                <w:lang w:val="en-US"/>
              </w:rPr>
              <w:t xml:space="preserve">Medium </w:t>
            </w:r>
          </w:p>
        </w:tc>
        <w:tc>
          <w:tcPr>
            <w:tcW w:w="1791" w:type="dxa"/>
            <w:tcBorders>
              <w:top w:val="single" w:sz="8" w:space="0" w:color="auto"/>
              <w:left w:val="single" w:sz="4" w:space="0" w:color="auto"/>
              <w:bottom w:val="single" w:sz="4" w:space="0" w:color="auto"/>
              <w:right w:val="single" w:sz="8" w:space="0" w:color="auto"/>
            </w:tcBorders>
            <w:vAlign w:val="center"/>
            <w:hideMark/>
          </w:tcPr>
          <w:p w14:paraId="38314451" w14:textId="77777777" w:rsidR="00FC5821" w:rsidRPr="005653E4" w:rsidRDefault="00FC5821" w:rsidP="00016B33">
            <w:pPr>
              <w:spacing w:line="240" w:lineRule="auto"/>
              <w:rPr>
                <w:b/>
                <w:bCs/>
                <w:sz w:val="20"/>
                <w:szCs w:val="20"/>
                <w:lang w:val="en-US"/>
              </w:rPr>
            </w:pPr>
            <w:r w:rsidRPr="00FC5821">
              <w:rPr>
                <w:b/>
                <w:bCs/>
                <w:lang w:val="en-US"/>
              </w:rPr>
              <w:t xml:space="preserve"> </w:t>
            </w:r>
            <w:r w:rsidR="005653E4" w:rsidRPr="005653E4">
              <w:rPr>
                <w:b/>
                <w:bCs/>
                <w:sz w:val="20"/>
                <w:szCs w:val="20"/>
                <w:lang w:val="en-US"/>
              </w:rPr>
              <w:t>Menge</w:t>
            </w:r>
          </w:p>
        </w:tc>
      </w:tr>
      <w:tr w:rsidR="00FC5821" w:rsidRPr="00FC5821" w14:paraId="51F9AFD3" w14:textId="77777777" w:rsidTr="00016B33">
        <w:trPr>
          <w:trHeight w:hRule="exact" w:val="340"/>
        </w:trPr>
        <w:tc>
          <w:tcPr>
            <w:tcW w:w="6162" w:type="dxa"/>
            <w:tcBorders>
              <w:top w:val="single" w:sz="4" w:space="0" w:color="auto"/>
              <w:left w:val="single" w:sz="8" w:space="0" w:color="auto"/>
              <w:bottom w:val="single" w:sz="4" w:space="0" w:color="auto"/>
              <w:right w:val="single" w:sz="4" w:space="0" w:color="auto"/>
            </w:tcBorders>
            <w:noWrap/>
            <w:vAlign w:val="center"/>
            <w:hideMark/>
          </w:tcPr>
          <w:p w14:paraId="5EF23989" w14:textId="77777777" w:rsidR="00FC5821" w:rsidRPr="00FC5821" w:rsidRDefault="00FC5821" w:rsidP="00016B33">
            <w:pPr>
              <w:spacing w:line="240" w:lineRule="auto"/>
              <w:rPr>
                <w:sz w:val="18"/>
                <w:szCs w:val="18"/>
                <w:lang w:val="en-US"/>
              </w:rPr>
            </w:pPr>
            <w:r w:rsidRPr="00FC5821">
              <w:rPr>
                <w:sz w:val="18"/>
                <w:szCs w:val="18"/>
                <w:lang w:val="en-US"/>
              </w:rPr>
              <w:t>MEM with Earle`s salts, L-Glu, phenol ohne Sodium Pyruvate</w:t>
            </w:r>
          </w:p>
        </w:tc>
        <w:tc>
          <w:tcPr>
            <w:tcW w:w="1791" w:type="dxa"/>
            <w:tcBorders>
              <w:top w:val="single" w:sz="4" w:space="0" w:color="auto"/>
              <w:left w:val="single" w:sz="4" w:space="0" w:color="auto"/>
              <w:bottom w:val="single" w:sz="4" w:space="0" w:color="auto"/>
              <w:right w:val="single" w:sz="8" w:space="0" w:color="auto"/>
            </w:tcBorders>
            <w:noWrap/>
            <w:vAlign w:val="center"/>
            <w:hideMark/>
          </w:tcPr>
          <w:p w14:paraId="0D9616E9" w14:textId="77777777" w:rsidR="00FC5821" w:rsidRPr="00FC5821" w:rsidRDefault="00FC5821" w:rsidP="00016B33">
            <w:pPr>
              <w:spacing w:line="240" w:lineRule="auto"/>
              <w:rPr>
                <w:sz w:val="18"/>
                <w:szCs w:val="18"/>
                <w:lang w:val="en-US"/>
              </w:rPr>
            </w:pPr>
            <w:r w:rsidRPr="00FC5821">
              <w:rPr>
                <w:sz w:val="18"/>
                <w:szCs w:val="18"/>
                <w:lang w:val="en-US"/>
              </w:rPr>
              <w:t>500</w:t>
            </w:r>
            <w:r w:rsidR="005653E4">
              <w:rPr>
                <w:sz w:val="18"/>
                <w:szCs w:val="18"/>
                <w:lang w:val="en-US"/>
              </w:rPr>
              <w:t xml:space="preserve"> </w:t>
            </w:r>
            <w:r w:rsidRPr="00FC5821">
              <w:rPr>
                <w:sz w:val="18"/>
                <w:szCs w:val="18"/>
                <w:lang w:val="en-US"/>
              </w:rPr>
              <w:t>ml</w:t>
            </w:r>
          </w:p>
        </w:tc>
      </w:tr>
      <w:tr w:rsidR="00FC5821" w:rsidRPr="00FC5821" w14:paraId="76F8E588" w14:textId="77777777" w:rsidTr="00016B33">
        <w:trPr>
          <w:trHeight w:hRule="exact" w:val="340"/>
        </w:trPr>
        <w:tc>
          <w:tcPr>
            <w:tcW w:w="6162" w:type="dxa"/>
            <w:tcBorders>
              <w:top w:val="single" w:sz="4" w:space="0" w:color="auto"/>
              <w:left w:val="single" w:sz="8" w:space="0" w:color="auto"/>
              <w:bottom w:val="single" w:sz="8" w:space="0" w:color="auto"/>
              <w:right w:val="single" w:sz="4" w:space="0" w:color="auto"/>
            </w:tcBorders>
            <w:noWrap/>
            <w:vAlign w:val="center"/>
            <w:hideMark/>
          </w:tcPr>
          <w:p w14:paraId="72DB20EB" w14:textId="77777777" w:rsidR="00FC5821" w:rsidRPr="00FC5821" w:rsidRDefault="00FC5821" w:rsidP="00016B33">
            <w:pPr>
              <w:spacing w:line="240" w:lineRule="auto"/>
              <w:rPr>
                <w:sz w:val="18"/>
                <w:szCs w:val="18"/>
                <w:lang w:val="en-US"/>
              </w:rPr>
            </w:pPr>
            <w:r w:rsidRPr="00FC5821">
              <w:rPr>
                <w:sz w:val="18"/>
                <w:szCs w:val="18"/>
                <w:lang w:val="en-US"/>
              </w:rPr>
              <w:t>DPBS</w:t>
            </w:r>
          </w:p>
        </w:tc>
        <w:tc>
          <w:tcPr>
            <w:tcW w:w="1791" w:type="dxa"/>
            <w:tcBorders>
              <w:top w:val="single" w:sz="4" w:space="0" w:color="auto"/>
              <w:left w:val="single" w:sz="4" w:space="0" w:color="auto"/>
              <w:bottom w:val="single" w:sz="8" w:space="0" w:color="auto"/>
              <w:right w:val="single" w:sz="8" w:space="0" w:color="auto"/>
            </w:tcBorders>
            <w:noWrap/>
            <w:vAlign w:val="center"/>
            <w:hideMark/>
          </w:tcPr>
          <w:p w14:paraId="5B8ACD75" w14:textId="77777777" w:rsidR="00FC5821" w:rsidRPr="00FC5821" w:rsidRDefault="00FC5821" w:rsidP="00016B33">
            <w:pPr>
              <w:spacing w:line="240" w:lineRule="auto"/>
              <w:rPr>
                <w:sz w:val="18"/>
                <w:szCs w:val="18"/>
                <w:lang w:val="en-US"/>
              </w:rPr>
            </w:pPr>
            <w:r w:rsidRPr="00FC5821">
              <w:rPr>
                <w:sz w:val="18"/>
                <w:szCs w:val="18"/>
                <w:lang w:val="en-US"/>
              </w:rPr>
              <w:t>500</w:t>
            </w:r>
            <w:r w:rsidR="005653E4">
              <w:rPr>
                <w:sz w:val="18"/>
                <w:szCs w:val="18"/>
                <w:lang w:val="en-US"/>
              </w:rPr>
              <w:t xml:space="preserve"> </w:t>
            </w:r>
            <w:r w:rsidRPr="00FC5821">
              <w:rPr>
                <w:sz w:val="18"/>
                <w:szCs w:val="18"/>
                <w:lang w:val="en-US"/>
              </w:rPr>
              <w:t>ml</w:t>
            </w:r>
          </w:p>
        </w:tc>
      </w:tr>
      <w:tr w:rsidR="00FC5821" w:rsidRPr="00FC5821" w14:paraId="3E7E9FA3" w14:textId="77777777" w:rsidTr="00016B33">
        <w:trPr>
          <w:trHeight w:hRule="exact" w:val="340"/>
        </w:trPr>
        <w:tc>
          <w:tcPr>
            <w:tcW w:w="6162" w:type="dxa"/>
            <w:tcBorders>
              <w:top w:val="nil"/>
              <w:left w:val="single" w:sz="8" w:space="0" w:color="auto"/>
              <w:bottom w:val="single" w:sz="4" w:space="0" w:color="auto"/>
              <w:right w:val="single" w:sz="4" w:space="0" w:color="auto"/>
            </w:tcBorders>
            <w:noWrap/>
            <w:vAlign w:val="center"/>
            <w:hideMark/>
          </w:tcPr>
          <w:p w14:paraId="458A7F0D" w14:textId="77777777" w:rsidR="00FC5821" w:rsidRPr="00FC5821" w:rsidRDefault="00FC5821" w:rsidP="00016B33">
            <w:pPr>
              <w:spacing w:line="240" w:lineRule="auto"/>
              <w:rPr>
                <w:b/>
                <w:bCs/>
                <w:sz w:val="20"/>
                <w:szCs w:val="20"/>
                <w:lang w:val="en-US"/>
              </w:rPr>
            </w:pPr>
            <w:r w:rsidRPr="00FC5821">
              <w:rPr>
                <w:b/>
                <w:bCs/>
                <w:sz w:val="20"/>
                <w:szCs w:val="20"/>
                <w:lang w:val="en-US"/>
              </w:rPr>
              <w:t>Supplements</w:t>
            </w:r>
          </w:p>
        </w:tc>
        <w:tc>
          <w:tcPr>
            <w:tcW w:w="1791" w:type="dxa"/>
            <w:tcBorders>
              <w:top w:val="nil"/>
              <w:left w:val="single" w:sz="4" w:space="0" w:color="auto"/>
              <w:bottom w:val="single" w:sz="4" w:space="0" w:color="auto"/>
              <w:right w:val="single" w:sz="8" w:space="0" w:color="auto"/>
            </w:tcBorders>
            <w:noWrap/>
            <w:vAlign w:val="center"/>
            <w:hideMark/>
          </w:tcPr>
          <w:p w14:paraId="6D38FE3F" w14:textId="77777777" w:rsidR="00FC5821" w:rsidRPr="00FC5821" w:rsidRDefault="00FC5821" w:rsidP="00016B33">
            <w:pPr>
              <w:spacing w:line="240" w:lineRule="auto"/>
              <w:rPr>
                <w:lang w:val="en-US"/>
              </w:rPr>
            </w:pPr>
            <w:r w:rsidRPr="00FC5821">
              <w:rPr>
                <w:lang w:val="en-US"/>
              </w:rPr>
              <w:t> </w:t>
            </w:r>
          </w:p>
        </w:tc>
      </w:tr>
      <w:tr w:rsidR="00FC5821" w:rsidRPr="00FC5821" w14:paraId="5DE48B5D" w14:textId="77777777" w:rsidTr="00016B33">
        <w:trPr>
          <w:trHeight w:hRule="exact" w:val="340"/>
        </w:trPr>
        <w:tc>
          <w:tcPr>
            <w:tcW w:w="6162" w:type="dxa"/>
            <w:tcBorders>
              <w:top w:val="nil"/>
              <w:left w:val="single" w:sz="8" w:space="0" w:color="auto"/>
              <w:bottom w:val="single" w:sz="4" w:space="0" w:color="auto"/>
              <w:right w:val="single" w:sz="4" w:space="0" w:color="auto"/>
            </w:tcBorders>
            <w:noWrap/>
            <w:vAlign w:val="center"/>
            <w:hideMark/>
          </w:tcPr>
          <w:p w14:paraId="1ABF07A9" w14:textId="77777777" w:rsidR="00FC5821" w:rsidRPr="00FC5821" w:rsidRDefault="00FC5821" w:rsidP="00016B33">
            <w:pPr>
              <w:spacing w:line="240" w:lineRule="auto"/>
              <w:rPr>
                <w:sz w:val="18"/>
                <w:szCs w:val="18"/>
                <w:lang w:val="nl-BE"/>
              </w:rPr>
            </w:pPr>
            <w:r w:rsidRPr="00FC5821">
              <w:rPr>
                <w:sz w:val="18"/>
                <w:szCs w:val="18"/>
                <w:lang w:val="nl-BE"/>
              </w:rPr>
              <w:t>Pen/Strep 5,000u pen, 5,000 µg strep/ml (100x) 100 ml</w:t>
            </w:r>
          </w:p>
        </w:tc>
        <w:tc>
          <w:tcPr>
            <w:tcW w:w="1791" w:type="dxa"/>
            <w:tcBorders>
              <w:top w:val="nil"/>
              <w:left w:val="single" w:sz="4" w:space="0" w:color="auto"/>
              <w:bottom w:val="single" w:sz="4" w:space="0" w:color="auto"/>
              <w:right w:val="single" w:sz="8" w:space="0" w:color="auto"/>
            </w:tcBorders>
            <w:noWrap/>
            <w:vAlign w:val="center"/>
            <w:hideMark/>
          </w:tcPr>
          <w:p w14:paraId="2D9590E6" w14:textId="77777777" w:rsidR="00FC5821" w:rsidRPr="00FC5821" w:rsidRDefault="00FC5821" w:rsidP="00016B33">
            <w:pPr>
              <w:spacing w:line="240" w:lineRule="auto"/>
              <w:rPr>
                <w:sz w:val="18"/>
                <w:szCs w:val="18"/>
                <w:lang w:val="en-US"/>
              </w:rPr>
            </w:pPr>
            <w:r w:rsidRPr="00FC5821">
              <w:rPr>
                <w:sz w:val="18"/>
                <w:szCs w:val="18"/>
                <w:lang w:val="en-US"/>
              </w:rPr>
              <w:t>5</w:t>
            </w:r>
            <w:r w:rsidR="005653E4">
              <w:rPr>
                <w:sz w:val="18"/>
                <w:szCs w:val="18"/>
                <w:lang w:val="en-US"/>
              </w:rPr>
              <w:t xml:space="preserve"> </w:t>
            </w:r>
            <w:r w:rsidRPr="00FC5821">
              <w:rPr>
                <w:sz w:val="18"/>
                <w:szCs w:val="18"/>
                <w:lang w:val="en-US"/>
              </w:rPr>
              <w:t>ml</w:t>
            </w:r>
          </w:p>
        </w:tc>
      </w:tr>
      <w:tr w:rsidR="00FC5821" w:rsidRPr="00FC5821" w14:paraId="42562EF6" w14:textId="77777777" w:rsidTr="00016B33">
        <w:trPr>
          <w:trHeight w:hRule="exact" w:val="340"/>
        </w:trPr>
        <w:tc>
          <w:tcPr>
            <w:tcW w:w="6162" w:type="dxa"/>
            <w:tcBorders>
              <w:top w:val="nil"/>
              <w:left w:val="single" w:sz="8" w:space="0" w:color="auto"/>
              <w:bottom w:val="single" w:sz="4" w:space="0" w:color="auto"/>
              <w:right w:val="single" w:sz="4" w:space="0" w:color="auto"/>
            </w:tcBorders>
            <w:noWrap/>
            <w:vAlign w:val="center"/>
            <w:hideMark/>
          </w:tcPr>
          <w:p w14:paraId="23C35763" w14:textId="77777777" w:rsidR="00FC5821" w:rsidRPr="00FC5821" w:rsidRDefault="00FC5821" w:rsidP="00016B33">
            <w:pPr>
              <w:spacing w:line="240" w:lineRule="auto"/>
              <w:rPr>
                <w:sz w:val="18"/>
                <w:szCs w:val="18"/>
                <w:lang w:val="en-US"/>
              </w:rPr>
            </w:pPr>
            <w:r w:rsidRPr="00FC5821">
              <w:rPr>
                <w:sz w:val="18"/>
                <w:szCs w:val="18"/>
                <w:lang w:val="en-US"/>
              </w:rPr>
              <w:t>Sodium Pyruvate MEM 100mM (100x) 100 ml</w:t>
            </w:r>
          </w:p>
        </w:tc>
        <w:tc>
          <w:tcPr>
            <w:tcW w:w="1791" w:type="dxa"/>
            <w:tcBorders>
              <w:top w:val="nil"/>
              <w:left w:val="single" w:sz="4" w:space="0" w:color="auto"/>
              <w:bottom w:val="single" w:sz="4" w:space="0" w:color="auto"/>
              <w:right w:val="single" w:sz="8" w:space="0" w:color="auto"/>
            </w:tcBorders>
            <w:noWrap/>
            <w:vAlign w:val="center"/>
            <w:hideMark/>
          </w:tcPr>
          <w:p w14:paraId="17FC3A53" w14:textId="77777777" w:rsidR="00FC5821" w:rsidRPr="00FC5821" w:rsidRDefault="00FC5821" w:rsidP="00016B33">
            <w:pPr>
              <w:spacing w:line="240" w:lineRule="auto"/>
              <w:rPr>
                <w:sz w:val="18"/>
                <w:szCs w:val="18"/>
                <w:lang w:val="en-US"/>
              </w:rPr>
            </w:pPr>
            <w:r w:rsidRPr="00FC5821">
              <w:rPr>
                <w:sz w:val="18"/>
                <w:szCs w:val="18"/>
                <w:lang w:val="en-US"/>
              </w:rPr>
              <w:t>5</w:t>
            </w:r>
            <w:r w:rsidR="005653E4">
              <w:rPr>
                <w:sz w:val="18"/>
                <w:szCs w:val="18"/>
                <w:lang w:val="en-US"/>
              </w:rPr>
              <w:t xml:space="preserve"> </w:t>
            </w:r>
            <w:r w:rsidRPr="00FC5821">
              <w:rPr>
                <w:sz w:val="18"/>
                <w:szCs w:val="18"/>
                <w:lang w:val="en-US"/>
              </w:rPr>
              <w:t>ml</w:t>
            </w:r>
          </w:p>
        </w:tc>
      </w:tr>
      <w:tr w:rsidR="00FC5821" w:rsidRPr="00FC5821" w14:paraId="15ED2DB4" w14:textId="77777777" w:rsidTr="00016B33">
        <w:trPr>
          <w:trHeight w:hRule="exact" w:val="340"/>
        </w:trPr>
        <w:tc>
          <w:tcPr>
            <w:tcW w:w="6162" w:type="dxa"/>
            <w:tcBorders>
              <w:top w:val="nil"/>
              <w:left w:val="single" w:sz="8" w:space="0" w:color="auto"/>
              <w:bottom w:val="single" w:sz="4" w:space="0" w:color="auto"/>
              <w:right w:val="single" w:sz="4" w:space="0" w:color="auto"/>
            </w:tcBorders>
            <w:noWrap/>
            <w:vAlign w:val="center"/>
            <w:hideMark/>
          </w:tcPr>
          <w:p w14:paraId="7F545EAB" w14:textId="77777777" w:rsidR="00FC5821" w:rsidRPr="00FC5821" w:rsidRDefault="00FC5821" w:rsidP="00016B33">
            <w:pPr>
              <w:spacing w:line="240" w:lineRule="auto"/>
              <w:rPr>
                <w:sz w:val="18"/>
                <w:szCs w:val="18"/>
                <w:lang w:val="en-US"/>
              </w:rPr>
            </w:pPr>
            <w:r w:rsidRPr="00FC5821">
              <w:rPr>
                <w:sz w:val="18"/>
                <w:szCs w:val="18"/>
                <w:lang w:val="en-US"/>
              </w:rPr>
              <w:t>FCS (500 ml)</w:t>
            </w:r>
          </w:p>
        </w:tc>
        <w:tc>
          <w:tcPr>
            <w:tcW w:w="1791" w:type="dxa"/>
            <w:tcBorders>
              <w:top w:val="nil"/>
              <w:left w:val="single" w:sz="4" w:space="0" w:color="auto"/>
              <w:bottom w:val="single" w:sz="4" w:space="0" w:color="auto"/>
              <w:right w:val="single" w:sz="8" w:space="0" w:color="auto"/>
            </w:tcBorders>
            <w:noWrap/>
            <w:vAlign w:val="center"/>
            <w:hideMark/>
          </w:tcPr>
          <w:p w14:paraId="62C0B503" w14:textId="77777777" w:rsidR="00FC5821" w:rsidRPr="00FC5821" w:rsidRDefault="00FC5821" w:rsidP="00016B33">
            <w:pPr>
              <w:spacing w:line="240" w:lineRule="auto"/>
              <w:rPr>
                <w:sz w:val="18"/>
                <w:szCs w:val="18"/>
                <w:lang w:val="en-US"/>
              </w:rPr>
            </w:pPr>
            <w:r w:rsidRPr="00FC5821">
              <w:rPr>
                <w:sz w:val="18"/>
                <w:szCs w:val="18"/>
                <w:lang w:val="en-US"/>
              </w:rPr>
              <w:t>100</w:t>
            </w:r>
            <w:r w:rsidR="005653E4">
              <w:rPr>
                <w:sz w:val="18"/>
                <w:szCs w:val="18"/>
                <w:lang w:val="en-US"/>
              </w:rPr>
              <w:t xml:space="preserve"> </w:t>
            </w:r>
            <w:r w:rsidRPr="00FC5821">
              <w:rPr>
                <w:sz w:val="18"/>
                <w:szCs w:val="18"/>
                <w:lang w:val="en-US"/>
              </w:rPr>
              <w:t>ml</w:t>
            </w:r>
          </w:p>
        </w:tc>
      </w:tr>
      <w:tr w:rsidR="00FC5821" w:rsidRPr="00FC5821" w14:paraId="103F473A" w14:textId="77777777" w:rsidTr="00016B33">
        <w:trPr>
          <w:trHeight w:hRule="exact" w:val="340"/>
        </w:trPr>
        <w:tc>
          <w:tcPr>
            <w:tcW w:w="6162" w:type="dxa"/>
            <w:tcBorders>
              <w:top w:val="nil"/>
              <w:left w:val="single" w:sz="8" w:space="0" w:color="auto"/>
              <w:bottom w:val="single" w:sz="8" w:space="0" w:color="auto"/>
              <w:right w:val="single" w:sz="4" w:space="0" w:color="auto"/>
            </w:tcBorders>
            <w:noWrap/>
            <w:vAlign w:val="center"/>
            <w:hideMark/>
          </w:tcPr>
          <w:p w14:paraId="46FEFE4C" w14:textId="77777777" w:rsidR="00FC5821" w:rsidRPr="00FC5821" w:rsidRDefault="00FC5821" w:rsidP="00016B33">
            <w:pPr>
              <w:spacing w:line="240" w:lineRule="auto"/>
              <w:rPr>
                <w:sz w:val="18"/>
                <w:szCs w:val="18"/>
                <w:lang w:val="it-IT"/>
              </w:rPr>
            </w:pPr>
            <w:r w:rsidRPr="00FC5821">
              <w:rPr>
                <w:sz w:val="18"/>
                <w:szCs w:val="18"/>
                <w:lang w:val="it-IT"/>
              </w:rPr>
              <w:t>NEAA/ non-essential amino acids (100x) 100 ml</w:t>
            </w:r>
          </w:p>
        </w:tc>
        <w:tc>
          <w:tcPr>
            <w:tcW w:w="1791" w:type="dxa"/>
            <w:tcBorders>
              <w:top w:val="nil"/>
              <w:left w:val="single" w:sz="4" w:space="0" w:color="auto"/>
              <w:bottom w:val="single" w:sz="8" w:space="0" w:color="auto"/>
              <w:right w:val="single" w:sz="8" w:space="0" w:color="auto"/>
            </w:tcBorders>
            <w:noWrap/>
            <w:vAlign w:val="center"/>
            <w:hideMark/>
          </w:tcPr>
          <w:p w14:paraId="3F6E9462" w14:textId="77777777" w:rsidR="00FC5821" w:rsidRPr="00FC5821" w:rsidRDefault="00FC5821" w:rsidP="00016B33">
            <w:pPr>
              <w:spacing w:line="240" w:lineRule="auto"/>
              <w:rPr>
                <w:sz w:val="18"/>
                <w:szCs w:val="18"/>
                <w:lang w:val="en-US"/>
              </w:rPr>
            </w:pPr>
            <w:r w:rsidRPr="00FC5821">
              <w:rPr>
                <w:sz w:val="18"/>
                <w:szCs w:val="18"/>
                <w:lang w:val="en-US"/>
              </w:rPr>
              <w:t>5</w:t>
            </w:r>
            <w:r w:rsidR="005653E4">
              <w:rPr>
                <w:sz w:val="18"/>
                <w:szCs w:val="18"/>
                <w:lang w:val="en-US"/>
              </w:rPr>
              <w:t xml:space="preserve"> </w:t>
            </w:r>
            <w:r w:rsidRPr="00FC5821">
              <w:rPr>
                <w:sz w:val="18"/>
                <w:szCs w:val="18"/>
                <w:lang w:val="en-US"/>
              </w:rPr>
              <w:t>ml</w:t>
            </w:r>
          </w:p>
        </w:tc>
      </w:tr>
    </w:tbl>
    <w:p w14:paraId="669C2474" w14:textId="77777777" w:rsidR="00FC5821" w:rsidRPr="00E9706C" w:rsidRDefault="00FC5821" w:rsidP="00B722B8"/>
    <w:p w14:paraId="0F2F72AD" w14:textId="77777777" w:rsidR="0082158E" w:rsidRDefault="00344539" w:rsidP="00E9706C">
      <w:r>
        <w:t>Die im Folgend</w:t>
      </w:r>
      <w:r w:rsidR="00B26EAD">
        <w:t xml:space="preserve">en gezeigten Abbildungen wurden </w:t>
      </w:r>
      <w:r w:rsidR="0082158E">
        <w:t xml:space="preserve">nach </w:t>
      </w:r>
      <w:r w:rsidR="00B26EAD">
        <w:t>Begutachtung</w:t>
      </w:r>
      <w:r>
        <w:t xml:space="preserve"> vielzähliger Aufnahmen </w:t>
      </w:r>
      <w:r w:rsidR="00B26EAD">
        <w:t xml:space="preserve">jeweils als repräsentatives Ergebnis </w:t>
      </w:r>
      <w:r>
        <w:t>ausgewählt.</w:t>
      </w:r>
    </w:p>
    <w:p w14:paraId="2A4F05FB" w14:textId="77777777" w:rsidR="0082158E" w:rsidRPr="001B760E" w:rsidRDefault="0082158E" w:rsidP="001B760E">
      <w:pPr>
        <w:pStyle w:val="berschrift5"/>
        <w:spacing w:after="240"/>
        <w:ind w:left="709" w:firstLine="709"/>
        <w:rPr>
          <w:color w:val="000000" w:themeColor="text1"/>
        </w:rPr>
      </w:pPr>
      <w:bookmarkStart w:id="300" w:name="_Toc294380280"/>
      <w:r w:rsidRPr="0082158E">
        <w:rPr>
          <w:color w:val="000000" w:themeColor="text1"/>
        </w:rPr>
        <w:lastRenderedPageBreak/>
        <w:t>PLGA Partikel – Aufnahme in HeLa Zellen</w:t>
      </w:r>
      <w:bookmarkEnd w:id="300"/>
    </w:p>
    <w:p w14:paraId="34A52B53" w14:textId="77777777" w:rsidR="00E9706C" w:rsidRDefault="00DE258C" w:rsidP="006111E2">
      <w:r>
        <w:rPr>
          <w:noProof/>
          <w:lang w:eastAsia="de-DE"/>
        </w:rPr>
        <w:pict w14:anchorId="154E4857">
          <v:shape id="Textfeld 2" o:spid="_x0000_s1034" type="#_x0000_t202" style="position:absolute;left:0;text-align:left;margin-left:99pt;margin-top:29.9pt;width:117pt;height:2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" filled="f" stroked="f">
            <v:textbox>
              <w:txbxContent>
                <w:p w14:paraId="0D81B4D4" w14:textId="77777777" w:rsidR="00DD7FD7" w:rsidRPr="00447EEA" w:rsidRDefault="00DD7FD7" w:rsidP="00E9706C">
                  <w:pPr>
                    <w:rPr>
                      <w:color w:val="FFFFFF" w:themeColor="background1"/>
                      <w:sz w:val="20"/>
                      <w:szCs w:val="20"/>
                    </w:rPr>
                  </w:pPr>
                  <w:r>
                    <w:rPr>
                      <w:color w:val="FFFFFF" w:themeColor="background1"/>
                      <w:sz w:val="20"/>
                      <w:szCs w:val="20"/>
                    </w:rPr>
                    <w:t>PLGA Partikel ohne</w:t>
                  </w:r>
                  <w:r w:rsidRPr="00447EEA">
                    <w:rPr>
                      <w:color w:val="FFFFFF" w:themeColor="background1"/>
                      <w:sz w:val="20"/>
                      <w:szCs w:val="20"/>
                    </w:rPr>
                    <w:t xml:space="preserve"> hlf</w:t>
                  </w:r>
                </w:p>
              </w:txbxContent>
            </v:textbox>
          </v:shape>
        </w:pict>
      </w:r>
      <w:r>
        <w:rPr>
          <w:noProof/>
          <w:lang w:eastAsia="de-DE"/>
        </w:rPr>
        <w:pict w14:anchorId="773A011A">
          <v:shape id="_x0000_s1035" type="#_x0000_t202" style="position:absolute;left:0;text-align:left;margin-left:342pt;margin-top:2.9pt;width:108pt;height: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" filled="f" stroked="f">
            <v:textbox>
              <w:txbxContent>
                <w:p w14:paraId="3E38EF48" w14:textId="77777777" w:rsidR="00DD7FD7" w:rsidRPr="00447EEA" w:rsidRDefault="00DD7FD7" w:rsidP="00447EEA">
                  <w:pPr>
                    <w:rPr>
                      <w:color w:val="FFFFFF" w:themeColor="background1"/>
                      <w:sz w:val="20"/>
                      <w:szCs w:val="20"/>
                    </w:rPr>
                  </w:pPr>
                  <w:r w:rsidRPr="00447EEA">
                    <w:rPr>
                      <w:color w:val="FFFFFF" w:themeColor="background1"/>
                      <w:sz w:val="20"/>
                      <w:szCs w:val="20"/>
                    </w:rPr>
                    <w:t>PLGA Partikel mit hlf</w:t>
                  </w:r>
                </w:p>
              </w:txbxContent>
            </v:textbox>
          </v:shape>
        </w:pict>
      </w:r>
      <w:r w:rsidR="00E9706C">
        <w:rPr>
          <w:noProof/>
          <w:lang w:eastAsia="de-DE"/>
        </w:rPr>
        <w:drawing>
          <wp:inline distT="0" distB="0" distL="0" distR="0" wp14:anchorId="074937F0" wp14:editId="1EF39E79">
            <wp:extent cx="2776219" cy="2082165"/>
            <wp:effectExtent l="0" t="0" r="0" b="635"/>
            <wp:docPr id="21515" name="Grafik 1" descr="U:\Biolabor\2013\April 2013\2013-04-12 Rhodaminpartikelaufnahme Andreas\Zellkontrolle\MD-Aufnahme-0015\MD-Aufnahme-0015_(c1+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U:\Biolabor\2013\April 2013\2013-04-12 Rhodaminpartikelaufnahme Andreas\Zellkontrolle\MD-Aufnahme-0015\MD-Aufnahme-0015_(c1+c4).JPG"/>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brightnessContrast bright="23000" contrast="44000"/>
                              </a14:imgEffect>
                            </a14:imgLayer>
                          </a14:imgProps>
                        </a:ext>
                        <a:ext uri="{28A0092B-C50C-407E-A947-70E740481C1C}">
                          <a14:useLocalDpi xmlns:a14="http://schemas.microsoft.com/office/drawing/2010/main" val="0"/>
                        </a:ext>
                      </a:extLst>
                    </a:blip>
                    <a:srcRect/>
                    <a:stretch>
                      <a:fillRect/>
                    </a:stretch>
                  </pic:blipFill>
                  <pic:spPr bwMode="auto">
                    <a:xfrm>
                      <a:off x="0" y="0"/>
                      <a:ext cx="2777482" cy="2083112"/>
                    </a:xfrm>
                    <a:prstGeom prst="rect">
                      <a:avLst/>
                    </a:prstGeom>
                    <a:noFill/>
                    <a:ln>
                      <a:noFill/>
                    </a:ln>
                  </pic:spPr>
                </pic:pic>
              </a:graphicData>
            </a:graphic>
          </wp:inline>
        </w:drawing>
      </w:r>
      <w:r w:rsidR="00447EEA">
        <w:t xml:space="preserve"> </w:t>
      </w:r>
      <w:r w:rsidR="00447EEA">
        <w:rPr>
          <w:noProof/>
          <w:lang w:eastAsia="de-DE"/>
        </w:rPr>
        <w:drawing>
          <wp:inline distT="0" distB="0" distL="0" distR="0" wp14:anchorId="031348D9" wp14:editId="15DE6BDA">
            <wp:extent cx="2921625" cy="2425383"/>
            <wp:effectExtent l="0" t="0" r="0" b="0"/>
            <wp:docPr id="21505" name="Grafik 6" descr="U:\Biolabor\2013\April 2013\2013-04-12 Rhodaminpartikelaufnahme Andreas\hlf\Schnittansicht3_Z13\Schnittansicht3_Z13_(c1+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Biolabor\2013\April 2013\2013-04-12 Rhodaminpartikelaufnahme Andreas\hlf\Schnittansicht3_Z13\Schnittansicht3_Z13_(c1+c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32682" cy="2434562"/>
                    </a:xfrm>
                    <a:prstGeom prst="rect">
                      <a:avLst/>
                    </a:prstGeom>
                    <a:noFill/>
                    <a:ln>
                      <a:noFill/>
                    </a:ln>
                  </pic:spPr>
                </pic:pic>
              </a:graphicData>
            </a:graphic>
          </wp:inline>
        </w:drawing>
      </w:r>
    </w:p>
    <w:p w14:paraId="3F7BF162" w14:textId="77777777" w:rsidR="00E9706C" w:rsidRDefault="00705E6B" w:rsidP="00016B33">
      <w:pPr>
        <w:pStyle w:val="Beschriftung"/>
        <w:spacing w:after="120"/>
        <w:ind w:firstLine="0"/>
        <w:rPr>
          <w:b w:val="0"/>
          <w:color w:val="000000" w:themeColor="text1"/>
        </w:rPr>
      </w:pPr>
      <w:bookmarkStart w:id="301" w:name="_Ref278724016"/>
      <w:r w:rsidRPr="00705E6B">
        <w:rPr>
          <w:color w:val="000000" w:themeColor="text1"/>
        </w:rPr>
        <w:t xml:space="preserve">Abbildung </w:t>
      </w:r>
      <w:r w:rsidR="00D16240" w:rsidRPr="00705E6B">
        <w:rPr>
          <w:color w:val="000000" w:themeColor="text1"/>
        </w:rPr>
        <w:fldChar w:fldCharType="begin"/>
      </w:r>
      <w:r w:rsidRPr="00705E6B">
        <w:rPr>
          <w:color w:val="000000" w:themeColor="text1"/>
        </w:rPr>
        <w:instrText xml:space="preserve"> SEQ Abbildung \* ARABIC </w:instrText>
      </w:r>
      <w:r w:rsidR="00D16240" w:rsidRPr="00705E6B">
        <w:rPr>
          <w:color w:val="000000" w:themeColor="text1"/>
        </w:rPr>
        <w:fldChar w:fldCharType="separate"/>
      </w:r>
      <w:r w:rsidR="00711AB8">
        <w:rPr>
          <w:noProof/>
          <w:color w:val="000000" w:themeColor="text1"/>
        </w:rPr>
        <w:t>52</w:t>
      </w:r>
      <w:r w:rsidR="00D16240" w:rsidRPr="00705E6B">
        <w:rPr>
          <w:color w:val="000000" w:themeColor="text1"/>
        </w:rPr>
        <w:fldChar w:fldCharType="end"/>
      </w:r>
      <w:bookmarkEnd w:id="301"/>
      <w:r>
        <w:rPr>
          <w:b w:val="0"/>
          <w:color w:val="000000" w:themeColor="text1"/>
        </w:rPr>
        <w:t xml:space="preserve"> Fluoreszenzmikroskopische Aufnahme</w:t>
      </w:r>
      <w:r w:rsidR="00344539">
        <w:rPr>
          <w:b w:val="0"/>
          <w:color w:val="000000" w:themeColor="text1"/>
        </w:rPr>
        <w:t>n</w:t>
      </w:r>
      <w:r>
        <w:rPr>
          <w:b w:val="0"/>
          <w:color w:val="000000" w:themeColor="text1"/>
        </w:rPr>
        <w:t xml:space="preserve"> von HeLa Zellen, die für 1,5 Stunden bei 37</w:t>
      </w:r>
      <w:r w:rsidR="00A426B8">
        <w:rPr>
          <w:b w:val="0"/>
          <w:color w:val="000000" w:themeColor="text1"/>
        </w:rPr>
        <w:t xml:space="preserve"> </w:t>
      </w:r>
      <w:r>
        <w:rPr>
          <w:b w:val="0"/>
          <w:color w:val="000000" w:themeColor="text1"/>
        </w:rPr>
        <w:t xml:space="preserve">°C mit einer 1 mg/ml konzentrierten Suspension von </w:t>
      </w:r>
      <w:r w:rsidR="00255578">
        <w:rPr>
          <w:b w:val="0"/>
          <w:color w:val="000000" w:themeColor="text1"/>
        </w:rPr>
        <w:t>Lumogen-</w:t>
      </w:r>
      <w:r w:rsidR="0082158E">
        <w:rPr>
          <w:b w:val="0"/>
          <w:color w:val="000000" w:themeColor="text1"/>
        </w:rPr>
        <w:t xml:space="preserve">haltigen </w:t>
      </w:r>
      <w:r>
        <w:rPr>
          <w:b w:val="0"/>
          <w:color w:val="000000" w:themeColor="text1"/>
        </w:rPr>
        <w:t>PLGA Nanopartikeln inkubiert wurden. Vor Erstellung der Aufnahme wurden die Zellen mit Medium gewaschen. Links: PLGA Partikel ohne hLF; rechts: PLGA Partikel mit hLF</w:t>
      </w:r>
      <w:r w:rsidR="00255578">
        <w:rPr>
          <w:b w:val="0"/>
          <w:color w:val="000000" w:themeColor="text1"/>
        </w:rPr>
        <w:t>.</w:t>
      </w:r>
    </w:p>
    <w:p w14:paraId="10E81B77" w14:textId="77777777" w:rsidR="00B81DE3" w:rsidRDefault="00B81DE3" w:rsidP="0082158E">
      <w:pPr>
        <w:spacing w:after="120"/>
      </w:pPr>
    </w:p>
    <w:p w14:paraId="3372560F" w14:textId="77777777" w:rsidR="00B81DE3" w:rsidRDefault="00B81DE3" w:rsidP="00B81DE3">
      <w:r>
        <w:t xml:space="preserve">Die Aufnahmen in </w:t>
      </w:r>
      <w:r w:rsidR="00D16240">
        <w:fldChar w:fldCharType="begin"/>
      </w:r>
      <w:r>
        <w:instrText xml:space="preserve"> REF _Ref278724016 \h </w:instrText>
      </w:r>
      <w:r w:rsidR="00D16240">
        <w:fldChar w:fldCharType="separate"/>
      </w:r>
      <w:r w:rsidR="00711AB8" w:rsidRPr="00705E6B">
        <w:rPr>
          <w:color w:val="000000" w:themeColor="text1"/>
        </w:rPr>
        <w:t xml:space="preserve">Abbildung </w:t>
      </w:r>
      <w:r w:rsidR="00711AB8">
        <w:rPr>
          <w:noProof/>
          <w:color w:val="000000" w:themeColor="text1"/>
        </w:rPr>
        <w:t>52</w:t>
      </w:r>
      <w:r w:rsidR="00D16240">
        <w:fldChar w:fldCharType="end"/>
      </w:r>
      <w:r>
        <w:t xml:space="preserve"> zeigen, dass die mit dem zellpenetrierenden</w:t>
      </w:r>
      <w:r w:rsidR="00916800">
        <w:t xml:space="preserve"> hLF Peptid</w:t>
      </w:r>
      <w:r>
        <w:t xml:space="preserve"> beschichteten PLGA P</w:t>
      </w:r>
      <w:r w:rsidR="00A86CEF">
        <w:t>artikel (rechts)</w:t>
      </w:r>
      <w:r>
        <w:t xml:space="preserve"> von</w:t>
      </w:r>
      <w:r w:rsidR="00916800">
        <w:t xml:space="preserve"> HeLa Zellen aufgenommen wurden</w:t>
      </w:r>
      <w:r w:rsidR="00A86CEF">
        <w:t>.</w:t>
      </w:r>
      <w:r w:rsidR="001B760E">
        <w:t xml:space="preserve"> Dass sich die Partikel tatsächlich im Zellinneren befanden, wurde anhand von Querschnittsaufnahmen bestätigt.</w:t>
      </w:r>
      <w:r>
        <w:t xml:space="preserve"> </w:t>
      </w:r>
      <w:r w:rsidR="00A86CEF">
        <w:t xml:space="preserve">Die </w:t>
      </w:r>
      <w:r>
        <w:t>un</w:t>
      </w:r>
      <w:r w:rsidR="00344539">
        <w:t>beschichteten Partikel (links)</w:t>
      </w:r>
      <w:r w:rsidR="00A86CEF">
        <w:t xml:space="preserve"> hingegen wurden nicht von den Zellen aufgenommen</w:t>
      </w:r>
      <w:r w:rsidR="00344539">
        <w:t>.</w:t>
      </w:r>
    </w:p>
    <w:p w14:paraId="445C4F45" w14:textId="77777777" w:rsidR="0082158E" w:rsidRDefault="0082158E" w:rsidP="00B81DE3"/>
    <w:p w14:paraId="2459F165" w14:textId="77777777" w:rsidR="00344539" w:rsidRPr="001813F2" w:rsidRDefault="0082158E" w:rsidP="001813F2">
      <w:pPr>
        <w:pStyle w:val="berschrift5"/>
        <w:spacing w:after="240"/>
        <w:ind w:left="709" w:firstLine="709"/>
        <w:rPr>
          <w:color w:val="000000" w:themeColor="text1"/>
        </w:rPr>
      </w:pPr>
      <w:bookmarkStart w:id="302" w:name="_Toc294380281"/>
      <w:r w:rsidRPr="0082158E">
        <w:rPr>
          <w:color w:val="000000" w:themeColor="text1"/>
        </w:rPr>
        <w:t>PEA Cystein Partikel – Aufnahm</w:t>
      </w:r>
      <w:r w:rsidR="00032599">
        <w:rPr>
          <w:color w:val="000000" w:themeColor="text1"/>
        </w:rPr>
        <w:t>e in HeLa</w:t>
      </w:r>
      <w:r w:rsidRPr="0082158E">
        <w:rPr>
          <w:color w:val="000000" w:themeColor="text1"/>
        </w:rPr>
        <w:t xml:space="preserve"> Zellen</w:t>
      </w:r>
      <w:bookmarkEnd w:id="302"/>
    </w:p>
    <w:p w14:paraId="298E75AD" w14:textId="77777777" w:rsidR="00344539" w:rsidRDefault="00344539" w:rsidP="00344539">
      <w:pPr>
        <w:jc w:val="center"/>
      </w:pPr>
      <w:r w:rsidRPr="00344539">
        <w:rPr>
          <w:noProof/>
          <w:lang w:eastAsia="de-DE"/>
        </w:rPr>
        <w:drawing>
          <wp:inline distT="0" distB="0" distL="0" distR="0" wp14:anchorId="10DC3476" wp14:editId="6AD54810">
            <wp:extent cx="2642870" cy="2361962"/>
            <wp:effectExtent l="0" t="0" r="0" b="635"/>
            <wp:docPr id="3175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0" name="Grafik 4"/>
                    <pic:cNvPicPr>
                      <a:picLocks noChangeAspect="1"/>
                    </pic:cNvPicPr>
                  </pic:nvPicPr>
                  <pic:blipFill rotWithShape="1">
                    <a:blip r:embed="rId104">
                      <a:extLst>
                        <a:ext uri="{28A0092B-C50C-407E-A947-70E740481C1C}">
                          <a14:useLocalDpi xmlns:a14="http://schemas.microsoft.com/office/drawing/2010/main" val="0"/>
                        </a:ext>
                      </a:extLst>
                    </a:blip>
                    <a:srcRect l="16123"/>
                    <a:stretch/>
                  </pic:blipFill>
                  <pic:spPr bwMode="auto">
                    <a:xfrm>
                      <a:off x="0" y="0"/>
                      <a:ext cx="2643137" cy="2362200"/>
                    </a:xfrm>
                    <a:prstGeom prst="rect">
                      <a:avLst/>
                    </a:prstGeom>
                    <a:noFill/>
                    <a:ln>
                      <a:noFill/>
                    </a:ln>
                    <a:extLst>
                      <a:ext uri="{53640926-AAD7-44d8-BBD7-CCE9431645EC}">
                        <a14:shadowObscured xmlns:a14="http://schemas.microsoft.com/office/drawing/2010/main"/>
                      </a:ext>
                    </a:extLst>
                  </pic:spPr>
                </pic:pic>
              </a:graphicData>
            </a:graphic>
          </wp:inline>
        </w:drawing>
      </w:r>
    </w:p>
    <w:p w14:paraId="59453A59" w14:textId="77777777" w:rsidR="00344539" w:rsidRDefault="00344539" w:rsidP="004260A9">
      <w:pPr>
        <w:pStyle w:val="Beschriftung"/>
        <w:spacing w:after="0"/>
        <w:ind w:firstLine="0"/>
        <w:rPr>
          <w:b w:val="0"/>
          <w:color w:val="000000" w:themeColor="text1"/>
        </w:rPr>
      </w:pPr>
      <w:bookmarkStart w:id="303" w:name="_Ref278725006"/>
      <w:r w:rsidRPr="00344539">
        <w:rPr>
          <w:color w:val="000000" w:themeColor="text1"/>
        </w:rPr>
        <w:t xml:space="preserve">Abbildung </w:t>
      </w:r>
      <w:r w:rsidR="00D16240" w:rsidRPr="00344539">
        <w:rPr>
          <w:color w:val="000000" w:themeColor="text1"/>
        </w:rPr>
        <w:fldChar w:fldCharType="begin"/>
      </w:r>
      <w:r w:rsidRPr="00344539">
        <w:rPr>
          <w:color w:val="000000" w:themeColor="text1"/>
        </w:rPr>
        <w:instrText xml:space="preserve"> SEQ Abbildung \* ARABIC </w:instrText>
      </w:r>
      <w:r w:rsidR="00D16240" w:rsidRPr="00344539">
        <w:rPr>
          <w:color w:val="000000" w:themeColor="text1"/>
        </w:rPr>
        <w:fldChar w:fldCharType="separate"/>
      </w:r>
      <w:r w:rsidR="00711AB8">
        <w:rPr>
          <w:noProof/>
          <w:color w:val="000000" w:themeColor="text1"/>
        </w:rPr>
        <w:t>53</w:t>
      </w:r>
      <w:r w:rsidR="00D16240" w:rsidRPr="00344539">
        <w:rPr>
          <w:color w:val="000000" w:themeColor="text1"/>
        </w:rPr>
        <w:fldChar w:fldCharType="end"/>
      </w:r>
      <w:bookmarkEnd w:id="303"/>
      <w:r>
        <w:rPr>
          <w:b w:val="0"/>
          <w:color w:val="000000" w:themeColor="text1"/>
        </w:rPr>
        <w:t xml:space="preserve"> Fluoreszenzmikroskopische Aufnahme von HeLa Zellen, die für 24 Stunden</w:t>
      </w:r>
      <w:r w:rsidR="0082158E">
        <w:rPr>
          <w:b w:val="0"/>
          <w:color w:val="000000" w:themeColor="text1"/>
        </w:rPr>
        <w:t xml:space="preserve"> bei 37</w:t>
      </w:r>
      <w:r w:rsidR="00A426B8">
        <w:rPr>
          <w:b w:val="0"/>
          <w:color w:val="000000" w:themeColor="text1"/>
        </w:rPr>
        <w:t xml:space="preserve"> </w:t>
      </w:r>
      <w:r w:rsidR="0082158E">
        <w:rPr>
          <w:b w:val="0"/>
          <w:color w:val="000000" w:themeColor="text1"/>
        </w:rPr>
        <w:t>°C</w:t>
      </w:r>
      <w:r>
        <w:rPr>
          <w:b w:val="0"/>
          <w:color w:val="000000" w:themeColor="text1"/>
        </w:rPr>
        <w:t xml:space="preserve"> mit einer</w:t>
      </w:r>
      <w:r w:rsidR="0082158E">
        <w:rPr>
          <w:b w:val="0"/>
          <w:color w:val="000000" w:themeColor="text1"/>
        </w:rPr>
        <w:t xml:space="preserve"> 1 mg/ml konzen</w:t>
      </w:r>
      <w:r w:rsidR="00255578">
        <w:rPr>
          <w:b w:val="0"/>
          <w:color w:val="000000" w:themeColor="text1"/>
        </w:rPr>
        <w:t>trierten Suspension von Lumogen-</w:t>
      </w:r>
      <w:r w:rsidR="0082158E">
        <w:rPr>
          <w:b w:val="0"/>
          <w:color w:val="000000" w:themeColor="text1"/>
        </w:rPr>
        <w:t>haltigen Cystein PEA Nanopartikeln inkubiert wurden. Vor Erstellung der Aufnahme wurden die Zellen mit Medium gewaschen.</w:t>
      </w:r>
    </w:p>
    <w:p w14:paraId="4FDC53A1" w14:textId="77777777" w:rsidR="0082158E" w:rsidRDefault="0082158E" w:rsidP="00AD6887">
      <w:pPr>
        <w:spacing w:after="0"/>
      </w:pPr>
    </w:p>
    <w:p w14:paraId="52812586" w14:textId="77777777" w:rsidR="0082158E" w:rsidRDefault="00D16240" w:rsidP="0082158E">
      <w:r>
        <w:lastRenderedPageBreak/>
        <w:fldChar w:fldCharType="begin"/>
      </w:r>
      <w:r w:rsidR="0082158E">
        <w:instrText xml:space="preserve"> REF _Ref278725006 \h </w:instrText>
      </w:r>
      <w:r>
        <w:fldChar w:fldCharType="separate"/>
      </w:r>
      <w:r w:rsidR="00711AB8" w:rsidRPr="00344539">
        <w:rPr>
          <w:color w:val="000000" w:themeColor="text1"/>
        </w:rPr>
        <w:t xml:space="preserve">Abbildung </w:t>
      </w:r>
      <w:r w:rsidR="00711AB8">
        <w:rPr>
          <w:noProof/>
          <w:color w:val="000000" w:themeColor="text1"/>
        </w:rPr>
        <w:t>53</w:t>
      </w:r>
      <w:r>
        <w:fldChar w:fldCharType="end"/>
      </w:r>
      <w:r w:rsidR="0082158E">
        <w:t xml:space="preserve"> gibt Hinweise auf eine Aufnahme von Cystein PEA Partikeln in HeLa Zellen. Ob sich die Partikel jedoch tatsächlich innerhalb der Zellen befinden, ist anhand der vorliegenden Aufnahme nicht</w:t>
      </w:r>
      <w:r w:rsidR="005F51F7">
        <w:t xml:space="preserve"> hinreichend zu belegen</w:t>
      </w:r>
      <w:r w:rsidR="0010329F">
        <w:t>. Da allerdings selbst nach dem Waschen der Zellen mit Medium noch fluoreszierende Partikel im Bereich der Zellen zu erkennen sind</w:t>
      </w:r>
      <w:r w:rsidR="0082158E">
        <w:t xml:space="preserve">, ist zumindest davon auszugehen, dass die Partikel stärker als </w:t>
      </w:r>
      <w:r w:rsidR="0030223C">
        <w:t>unbeschichtete PLGA Partikel an den Zellen anhaften</w:t>
      </w:r>
      <w:r w:rsidR="0010329F">
        <w:t xml:space="preserve"> oder aufgenommen werden</w:t>
      </w:r>
      <w:r w:rsidR="0030223C">
        <w:t>.</w:t>
      </w:r>
    </w:p>
    <w:p w14:paraId="3F895DF2" w14:textId="77777777" w:rsidR="009A10E2" w:rsidRDefault="009A10E2" w:rsidP="00AD6887">
      <w:pPr>
        <w:spacing w:after="0"/>
        <w:contextualSpacing/>
      </w:pPr>
    </w:p>
    <w:p w14:paraId="13E5E5B5" w14:textId="77777777" w:rsidR="009A10E2" w:rsidRDefault="009A10E2" w:rsidP="00AD6887">
      <w:pPr>
        <w:pStyle w:val="berschrift5"/>
        <w:spacing w:before="0" w:after="240"/>
        <w:ind w:left="709" w:firstLine="709"/>
        <w:rPr>
          <w:color w:val="000000" w:themeColor="text1"/>
        </w:rPr>
      </w:pPr>
      <w:bookmarkStart w:id="304" w:name="_Toc294380282"/>
      <w:r w:rsidRPr="009A10E2">
        <w:rPr>
          <w:color w:val="000000" w:themeColor="text1"/>
        </w:rPr>
        <w:t>PEA Asparaginsäure Partikel – Aufnahme in HeLa Zellen</w:t>
      </w:r>
      <w:bookmarkEnd w:id="304"/>
    </w:p>
    <w:p w14:paraId="75AA0D98" w14:textId="77777777" w:rsidR="009A10E2" w:rsidRDefault="00DE258C" w:rsidP="000A378A">
      <w:r>
        <w:rPr>
          <w:noProof/>
          <w:lang w:eastAsia="de-DE"/>
        </w:rPr>
        <w:pict w14:anchorId="133A8CAB">
          <v:shape id="Textfeld 21525" o:spid="_x0000_s1036" type="#_x0000_t202" style="position:absolute;left:0;text-align:left;margin-left:9pt;margin-top:48.5pt;width:54pt;height:1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" filled="f" stroked="f">
            <v:path arrowok="t"/>
            <v:textbox>
              <w:txbxContent>
                <w:p w14:paraId="269B2369" w14:textId="77777777" w:rsidR="00DD7FD7" w:rsidRPr="006B2BE3" w:rsidRDefault="00DD7FD7">
                  <w:pPr>
                    <w:rPr>
                      <w:sz w:val="20"/>
                      <w:szCs w:val="20"/>
                    </w:rPr>
                  </w:pPr>
                  <w:r w:rsidRPr="006B2BE3">
                    <w:rPr>
                      <w:sz w:val="20"/>
                      <w:szCs w:val="20"/>
                    </w:rPr>
                    <w:t xml:space="preserve">PEA </w:t>
                  </w:r>
                  <w:r>
                    <w:rPr>
                      <w:sz w:val="20"/>
                      <w:szCs w:val="20"/>
                    </w:rPr>
                    <w:t>01</w:t>
                  </w:r>
                </w:p>
              </w:txbxContent>
            </v:textbox>
            <w10:wrap type="through"/>
          </v:shape>
        </w:pict>
      </w:r>
      <w:r w:rsidR="009A10E2">
        <w:t>Es wurden Partikel aus den drei unterschiedlichen Asparaginsäure PEA Polymeren PEA 01, PEA 0</w:t>
      </w:r>
      <w:r w:rsidR="00447AE2">
        <w:t>4</w:t>
      </w:r>
      <w:r w:rsidR="009A10E2">
        <w:t xml:space="preserve"> und PEA 0</w:t>
      </w:r>
      <w:r w:rsidR="00447AE2">
        <w:t>5</w:t>
      </w:r>
      <w:r w:rsidR="009A10E2">
        <w:t xml:space="preserve"> getestet.</w:t>
      </w:r>
    </w:p>
    <w:p w14:paraId="17D86CF1" w14:textId="77777777" w:rsidR="0030223C" w:rsidRDefault="00DE258C" w:rsidP="000A378A">
      <w:pPr>
        <w:rPr>
          <w:color w:val="000000" w:themeColor="text1"/>
        </w:rPr>
      </w:pPr>
      <w:r>
        <w:rPr>
          <w:noProof/>
          <w:lang w:eastAsia="de-DE"/>
        </w:rPr>
        <w:pict w14:anchorId="48334387">
          <v:shape id="Textfeld 21529" o:spid="_x0000_s1037" type="#_x0000_t202" style="position:absolute;left:0;text-align:left;margin-left:241.8pt;margin-top:1.25pt;width:54pt;height:1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" filled="f" stroked="f">
            <v:path arrowok="t"/>
            <v:textbox>
              <w:txbxContent>
                <w:p w14:paraId="238148F6" w14:textId="77777777" w:rsidR="00DD7FD7" w:rsidRPr="006B2BE3" w:rsidRDefault="00DD7FD7" w:rsidP="009A10E2">
                  <w:pPr>
                    <w:rPr>
                      <w:sz w:val="20"/>
                      <w:szCs w:val="20"/>
                    </w:rPr>
                  </w:pPr>
                  <w:r>
                    <w:rPr>
                      <w:sz w:val="20"/>
                      <w:szCs w:val="20"/>
                    </w:rPr>
                    <w:t>PEA 05</w:t>
                  </w:r>
                </w:p>
              </w:txbxContent>
            </v:textbox>
            <w10:wrap type="through"/>
          </v:shape>
        </w:pict>
      </w:r>
      <w:r>
        <w:rPr>
          <w:noProof/>
          <w:lang w:eastAsia="de-DE"/>
        </w:rPr>
        <w:pict w14:anchorId="71B26FDA">
          <v:shape id="Textfeld 21528" o:spid="_x0000_s1038" type="#_x0000_t202" style="position:absolute;left:0;text-align:left;margin-left:94pt;margin-top:1.25pt;width:54pt;height:1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" filled="f" stroked="f">
            <v:path arrowok="t"/>
            <v:textbox>
              <w:txbxContent>
                <w:p w14:paraId="63DE9521" w14:textId="77777777" w:rsidR="00DD7FD7" w:rsidRPr="006B2BE3" w:rsidRDefault="00DD7FD7" w:rsidP="006B2BE3">
                  <w:pPr>
                    <w:spacing w:line="240" w:lineRule="auto"/>
                    <w:rPr>
                      <w:sz w:val="20"/>
                      <w:szCs w:val="20"/>
                    </w:rPr>
                  </w:pPr>
                  <w:r>
                    <w:rPr>
                      <w:sz w:val="20"/>
                      <w:szCs w:val="20"/>
                    </w:rPr>
                    <w:t>PEA 04</w:t>
                  </w:r>
                </w:p>
              </w:txbxContent>
            </v:textbox>
            <w10:wrap type="through"/>
          </v:shape>
        </w:pict>
      </w:r>
    </w:p>
    <w:p w14:paraId="64D8229B" w14:textId="77777777" w:rsidR="0096488D" w:rsidRDefault="0096488D" w:rsidP="000A378A">
      <w:pPr>
        <w:rPr>
          <w:color w:val="000000" w:themeColor="text1"/>
        </w:rPr>
      </w:pPr>
      <w:r>
        <w:rPr>
          <w:noProof/>
          <w:color w:val="000000" w:themeColor="text1"/>
          <w:lang w:eastAsia="de-DE"/>
        </w:rPr>
        <w:drawing>
          <wp:inline distT="0" distB="0" distL="0" distR="0" wp14:anchorId="6579E7EB" wp14:editId="10C3079A">
            <wp:extent cx="5760720" cy="1868805"/>
            <wp:effectExtent l="0" t="0" r="5080" b="10795"/>
            <wp:docPr id="17529" name="Bild 17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ke.bmp"/>
                    <pic:cNvPicPr/>
                  </pic:nvPicPr>
                  <pic:blipFill rotWithShape="1">
                    <a:blip r:embed="rId105">
                      <a:extLst>
                        <a:ext uri="{28A0092B-C50C-407E-A947-70E740481C1C}">
                          <a14:useLocalDpi xmlns:a14="http://schemas.microsoft.com/office/drawing/2010/main" val="0"/>
                        </a:ext>
                      </a:extLst>
                    </a:blip>
                    <a:srcRect t="12489"/>
                    <a:stretch/>
                  </pic:blipFill>
                  <pic:spPr bwMode="auto">
                    <a:xfrm>
                      <a:off x="0" y="0"/>
                      <a:ext cx="5760720" cy="1868805"/>
                    </a:xfrm>
                    <a:prstGeom prst="rect">
                      <a:avLst/>
                    </a:prstGeom>
                    <a:ln>
                      <a:noFill/>
                    </a:ln>
                    <a:extLst>
                      <a:ext uri="{53640926-AAD7-44d8-BBD7-CCE9431645EC}">
                        <a14:shadowObscured xmlns:a14="http://schemas.microsoft.com/office/drawing/2010/main"/>
                      </a:ext>
                    </a:extLst>
                  </pic:spPr>
                </pic:pic>
              </a:graphicData>
            </a:graphic>
          </wp:inline>
        </w:drawing>
      </w:r>
    </w:p>
    <w:p w14:paraId="52B471F8" w14:textId="77777777" w:rsidR="0030223C" w:rsidRDefault="006B2BE3" w:rsidP="004260A9">
      <w:pPr>
        <w:pStyle w:val="Beschriftung"/>
        <w:ind w:firstLine="0"/>
        <w:rPr>
          <w:b w:val="0"/>
          <w:color w:val="000000" w:themeColor="text1"/>
        </w:rPr>
      </w:pPr>
      <w:bookmarkStart w:id="305" w:name="_Ref278727592"/>
      <w:r w:rsidRPr="006B2BE3">
        <w:t xml:space="preserve">Abbildung </w:t>
      </w:r>
      <w:fldSimple w:instr=" SEQ Abbildung \* ARABIC ">
        <w:r w:rsidR="00711AB8">
          <w:rPr>
            <w:noProof/>
          </w:rPr>
          <w:t>54</w:t>
        </w:r>
      </w:fldSimple>
      <w:bookmarkEnd w:id="305"/>
      <w:r>
        <w:t xml:space="preserve"> </w:t>
      </w:r>
      <w:r w:rsidR="006513A7">
        <w:rPr>
          <w:b w:val="0"/>
          <w:color w:val="000000" w:themeColor="text1"/>
        </w:rPr>
        <w:t>Konfokale</w:t>
      </w:r>
      <w:r>
        <w:rPr>
          <w:b w:val="0"/>
          <w:color w:val="000000" w:themeColor="text1"/>
        </w:rPr>
        <w:t xml:space="preserve"> Aufnahmen von HeLa Zellen, die für 2,5 Stunden bei 37</w:t>
      </w:r>
      <w:r w:rsidR="00A426B8">
        <w:rPr>
          <w:b w:val="0"/>
          <w:color w:val="000000" w:themeColor="text1"/>
        </w:rPr>
        <w:t xml:space="preserve"> </w:t>
      </w:r>
      <w:r>
        <w:rPr>
          <w:b w:val="0"/>
          <w:color w:val="000000" w:themeColor="text1"/>
        </w:rPr>
        <w:t>°C mit einer 1 mg/ml konzentrierten S</w:t>
      </w:r>
      <w:r w:rsidR="00255578">
        <w:rPr>
          <w:b w:val="0"/>
          <w:color w:val="000000" w:themeColor="text1"/>
        </w:rPr>
        <w:t>uspension von Lumogen-</w:t>
      </w:r>
      <w:r>
        <w:rPr>
          <w:b w:val="0"/>
          <w:color w:val="000000" w:themeColor="text1"/>
        </w:rPr>
        <w:t>haltigen Asparaginsäure PEA Nanopartikeln inkubiert wurden. Vor Erstellung der Aufnahme wurden die Zellen m</w:t>
      </w:r>
      <w:r w:rsidR="00171320">
        <w:rPr>
          <w:b w:val="0"/>
          <w:color w:val="000000" w:themeColor="text1"/>
        </w:rPr>
        <w:t>it Medium gewaschen. Links: PEA 01 Partikel</w:t>
      </w:r>
      <w:r w:rsidR="005F51F7">
        <w:rPr>
          <w:b w:val="0"/>
          <w:color w:val="000000" w:themeColor="text1"/>
        </w:rPr>
        <w:t>; M</w:t>
      </w:r>
      <w:r w:rsidR="00032599">
        <w:rPr>
          <w:b w:val="0"/>
          <w:color w:val="000000" w:themeColor="text1"/>
        </w:rPr>
        <w:t>itte: PEA 04</w:t>
      </w:r>
      <w:r w:rsidR="00171320">
        <w:rPr>
          <w:b w:val="0"/>
          <w:color w:val="000000" w:themeColor="text1"/>
        </w:rPr>
        <w:t xml:space="preserve"> Partikel, rechts: PE</w:t>
      </w:r>
      <w:r w:rsidR="00032599">
        <w:rPr>
          <w:b w:val="0"/>
          <w:color w:val="000000" w:themeColor="text1"/>
        </w:rPr>
        <w:t>A 05</w:t>
      </w:r>
      <w:r w:rsidR="00171320">
        <w:rPr>
          <w:b w:val="0"/>
          <w:color w:val="000000" w:themeColor="text1"/>
        </w:rPr>
        <w:t xml:space="preserve"> Partikel</w:t>
      </w:r>
      <w:r w:rsidR="005F51F7">
        <w:rPr>
          <w:b w:val="0"/>
          <w:color w:val="000000" w:themeColor="text1"/>
        </w:rPr>
        <w:t xml:space="preserve"> (Quelle: Uni Nijmegen)</w:t>
      </w:r>
      <w:r w:rsidR="00255578">
        <w:rPr>
          <w:b w:val="0"/>
          <w:color w:val="000000" w:themeColor="text1"/>
        </w:rPr>
        <w:t>.</w:t>
      </w:r>
    </w:p>
    <w:p w14:paraId="6F8512E1" w14:textId="77777777" w:rsidR="00016F57" w:rsidRPr="00016F57" w:rsidRDefault="00016F57" w:rsidP="00016F57"/>
    <w:p w14:paraId="5F322F22" w14:textId="77777777" w:rsidR="00171320" w:rsidRDefault="00171320" w:rsidP="0030223C">
      <w:r>
        <w:t>Die Partikel aus Asparaginsäure PEA 01 (</w:t>
      </w:r>
      <w:r w:rsidR="00D16240">
        <w:fldChar w:fldCharType="begin"/>
      </w:r>
      <w:r>
        <w:instrText xml:space="preserve"> REF _Ref278727592 \h </w:instrText>
      </w:r>
      <w:r w:rsidR="00D16240">
        <w:fldChar w:fldCharType="separate"/>
      </w:r>
      <w:r w:rsidR="00711AB8" w:rsidRPr="006B2BE3">
        <w:t xml:space="preserve">Abbildung </w:t>
      </w:r>
      <w:r w:rsidR="00711AB8">
        <w:rPr>
          <w:noProof/>
        </w:rPr>
        <w:t>54</w:t>
      </w:r>
      <w:r w:rsidR="00D16240">
        <w:fldChar w:fldCharType="end"/>
      </w:r>
      <w:r>
        <w:t xml:space="preserve"> links) wurden nicht in HeLa Zellen aufgenommen, wohingegen die Pa</w:t>
      </w:r>
      <w:r w:rsidR="00032599">
        <w:t>rtikel aus Asparaginsäure PEA 04</w:t>
      </w:r>
      <w:r w:rsidR="005F51F7">
        <w:t xml:space="preserve"> geringfügig</w:t>
      </w:r>
      <w:r>
        <w:t xml:space="preserve"> (Mitte) und die Partikel aus</w:t>
      </w:r>
      <w:r w:rsidR="00032599">
        <w:t xml:space="preserve"> PEA 05</w:t>
      </w:r>
      <w:r>
        <w:t xml:space="preserve"> in dieser Reihe am stärksten </w:t>
      </w:r>
      <w:r w:rsidR="005F51F7">
        <w:t>(rechts) aufgenommen wurden.</w:t>
      </w:r>
      <w:r w:rsidR="00EF3DE5">
        <w:t xml:space="preserve"> Die PEA 05 Partikel b</w:t>
      </w:r>
      <w:r w:rsidR="0010329F">
        <w:t>ildeten in der Probe</w:t>
      </w:r>
      <w:r w:rsidR="00EF3DE5">
        <w:t xml:space="preserve"> größere Agglomerate (rechts).</w:t>
      </w:r>
    </w:p>
    <w:p w14:paraId="23470CAF" w14:textId="77777777" w:rsidR="001813F2" w:rsidRDefault="001813F2" w:rsidP="0030223C"/>
    <w:p w14:paraId="77BE6D89" w14:textId="77777777" w:rsidR="001813F2" w:rsidRPr="001813F2" w:rsidRDefault="00E11D6B" w:rsidP="001813F2">
      <w:pPr>
        <w:pStyle w:val="berschrift5"/>
        <w:spacing w:after="240"/>
        <w:ind w:left="709" w:firstLine="709"/>
        <w:rPr>
          <w:color w:val="auto"/>
        </w:rPr>
      </w:pPr>
      <w:bookmarkStart w:id="306" w:name="_Toc294380283"/>
      <w:r>
        <w:rPr>
          <w:color w:val="auto"/>
        </w:rPr>
        <w:lastRenderedPageBreak/>
        <w:t>PLGA Partikel – Aufnahme in Cac</w:t>
      </w:r>
      <w:r w:rsidR="00C04BAA" w:rsidRPr="00C04BAA">
        <w:rPr>
          <w:color w:val="auto"/>
        </w:rPr>
        <w:t>o-2 Zellen</w:t>
      </w:r>
      <w:bookmarkEnd w:id="306"/>
    </w:p>
    <w:p w14:paraId="5F7D2A69" w14:textId="77777777" w:rsidR="00C04BAA" w:rsidRDefault="00DE258C" w:rsidP="004260A9">
      <w:r>
        <w:rPr>
          <w:noProof/>
          <w:lang w:eastAsia="de-DE"/>
        </w:rPr>
        <w:pict w14:anchorId="250761A2">
          <v:shape id="_x0000_s1039" type="#_x0000_t202" style="position:absolute;left:0;text-align:left;margin-left:9pt;margin-top:347pt;width:117pt;height:2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" filled="f" stroked="f">
            <v:textbox>
              <w:txbxContent>
                <w:p w14:paraId="7EABA59F" w14:textId="77777777" w:rsidR="00DD7FD7" w:rsidRPr="00447EEA" w:rsidRDefault="00DD7FD7" w:rsidP="00684FD5">
                  <w:pPr>
                    <w:rPr>
                      <w:color w:val="FFFFFF" w:themeColor="background1"/>
                      <w:sz w:val="20"/>
                      <w:szCs w:val="20"/>
                    </w:rPr>
                  </w:pPr>
                  <w:r>
                    <w:rPr>
                      <w:color w:val="FFFFFF" w:themeColor="background1"/>
                      <w:sz w:val="20"/>
                      <w:szCs w:val="20"/>
                    </w:rPr>
                    <w:t xml:space="preserve">PLGA Partikel mit </w:t>
                  </w:r>
                  <w:r w:rsidRPr="00447EEA">
                    <w:rPr>
                      <w:color w:val="FFFFFF" w:themeColor="background1"/>
                      <w:sz w:val="20"/>
                      <w:szCs w:val="20"/>
                    </w:rPr>
                    <w:t>hlf</w:t>
                  </w:r>
                </w:p>
              </w:txbxContent>
            </v:textbox>
          </v:shape>
        </w:pict>
      </w:r>
      <w:r w:rsidR="004260A9">
        <w:rPr>
          <w:rFonts w:ascii="Helvetica" w:hAnsi="Helvetica" w:cs="Helvetica"/>
          <w:noProof/>
          <w:szCs w:val="24"/>
          <w:lang w:eastAsia="de-DE"/>
        </w:rPr>
        <w:drawing>
          <wp:inline distT="0" distB="0" distL="0" distR="0" wp14:anchorId="273950A8" wp14:editId="5CD7F779">
            <wp:extent cx="3774228" cy="4256912"/>
            <wp:effectExtent l="0" t="0" r="10795" b="10795"/>
            <wp:docPr id="28"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76977" cy="4260012"/>
                    </a:xfrm>
                    <a:prstGeom prst="rect">
                      <a:avLst/>
                    </a:prstGeom>
                    <a:noFill/>
                    <a:ln>
                      <a:noFill/>
                    </a:ln>
                  </pic:spPr>
                </pic:pic>
              </a:graphicData>
            </a:graphic>
          </wp:inline>
        </w:drawing>
      </w:r>
      <w:r>
        <w:rPr>
          <w:noProof/>
          <w:lang w:eastAsia="de-DE"/>
        </w:rPr>
        <w:pict w14:anchorId="643DD0DF">
          <v:shape id="_x0000_s1040" type="#_x0000_t202" style="position:absolute;left:0;text-align:left;margin-left:9pt;margin-top:9.15pt;width:117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" filled="f" stroked="f">
            <v:textbox>
              <w:txbxContent>
                <w:p w14:paraId="3849002B" w14:textId="77777777" w:rsidR="00DD7FD7" w:rsidRPr="00447EEA" w:rsidRDefault="00DD7FD7" w:rsidP="00684FD5">
                  <w:pPr>
                    <w:rPr>
                      <w:color w:val="FFFFFF" w:themeColor="background1"/>
                      <w:sz w:val="20"/>
                      <w:szCs w:val="20"/>
                    </w:rPr>
                  </w:pPr>
                  <w:r>
                    <w:rPr>
                      <w:color w:val="FFFFFF" w:themeColor="background1"/>
                      <w:sz w:val="20"/>
                      <w:szCs w:val="20"/>
                    </w:rPr>
                    <w:t>PLGA Partikel ohne</w:t>
                  </w:r>
                  <w:r w:rsidRPr="00447EEA">
                    <w:rPr>
                      <w:color w:val="FFFFFF" w:themeColor="background1"/>
                      <w:sz w:val="20"/>
                      <w:szCs w:val="20"/>
                    </w:rPr>
                    <w:t xml:space="preserve"> hlf</w:t>
                  </w:r>
                </w:p>
              </w:txbxContent>
            </v:textbox>
          </v:shape>
        </w:pict>
      </w:r>
      <w:r w:rsidR="00684FD5">
        <w:t xml:space="preserve"> </w:t>
      </w:r>
      <w:r w:rsidR="004260A9">
        <w:rPr>
          <w:rFonts w:ascii="Helvetica" w:hAnsi="Helvetica" w:cs="Helvetica"/>
          <w:noProof/>
          <w:szCs w:val="24"/>
          <w:lang w:eastAsia="de-DE"/>
        </w:rPr>
        <w:drawing>
          <wp:inline distT="0" distB="0" distL="0" distR="0" wp14:anchorId="3282D4C7" wp14:editId="6029A0FF">
            <wp:extent cx="4574328" cy="3445272"/>
            <wp:effectExtent l="0" t="0" r="0" b="9525"/>
            <wp:docPr id="21521"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574869" cy="3445679"/>
                    </a:xfrm>
                    <a:prstGeom prst="rect">
                      <a:avLst/>
                    </a:prstGeom>
                    <a:noFill/>
                    <a:ln>
                      <a:noFill/>
                    </a:ln>
                  </pic:spPr>
                </pic:pic>
              </a:graphicData>
            </a:graphic>
          </wp:inline>
        </w:drawing>
      </w:r>
    </w:p>
    <w:p w14:paraId="5FD0F1E8" w14:textId="77777777" w:rsidR="00684FD5" w:rsidRDefault="00684FD5" w:rsidP="004260A9">
      <w:pPr>
        <w:pStyle w:val="Beschriftung"/>
        <w:ind w:firstLine="0"/>
        <w:rPr>
          <w:b w:val="0"/>
          <w:color w:val="000000" w:themeColor="text1"/>
        </w:rPr>
      </w:pPr>
      <w:bookmarkStart w:id="307" w:name="_Ref278735210"/>
      <w:r w:rsidRPr="00684FD5">
        <w:t xml:space="preserve">Abbildung </w:t>
      </w:r>
      <w:fldSimple w:instr=" SEQ Abbildung \* ARABIC ">
        <w:r w:rsidR="00711AB8">
          <w:rPr>
            <w:noProof/>
          </w:rPr>
          <w:t>55</w:t>
        </w:r>
      </w:fldSimple>
      <w:bookmarkEnd w:id="307"/>
      <w:r>
        <w:rPr>
          <w:b w:val="0"/>
        </w:rPr>
        <w:t xml:space="preserve"> </w:t>
      </w:r>
      <w:r w:rsidR="008F7D1C">
        <w:rPr>
          <w:b w:val="0"/>
          <w:color w:val="000000" w:themeColor="text1"/>
        </w:rPr>
        <w:t>Konfokale</w:t>
      </w:r>
      <w:r w:rsidR="00E11D6B">
        <w:rPr>
          <w:b w:val="0"/>
          <w:color w:val="000000" w:themeColor="text1"/>
        </w:rPr>
        <w:t xml:space="preserve"> Aufnahmen von Cac</w:t>
      </w:r>
      <w:r>
        <w:rPr>
          <w:b w:val="0"/>
          <w:color w:val="000000" w:themeColor="text1"/>
        </w:rPr>
        <w:t>o-2 Zellen, die für 2 Stunden bei 37</w:t>
      </w:r>
      <w:r w:rsidR="00A426B8">
        <w:rPr>
          <w:b w:val="0"/>
          <w:color w:val="000000" w:themeColor="text1"/>
        </w:rPr>
        <w:t xml:space="preserve"> </w:t>
      </w:r>
      <w:r>
        <w:rPr>
          <w:b w:val="0"/>
          <w:color w:val="000000" w:themeColor="text1"/>
        </w:rPr>
        <w:t>°C mit einer 1 mg/ml konzen</w:t>
      </w:r>
      <w:r w:rsidR="00255578">
        <w:rPr>
          <w:b w:val="0"/>
          <w:color w:val="000000" w:themeColor="text1"/>
        </w:rPr>
        <w:t>trierten Suspension von Lumogen-</w:t>
      </w:r>
      <w:r>
        <w:rPr>
          <w:b w:val="0"/>
          <w:color w:val="000000" w:themeColor="text1"/>
        </w:rPr>
        <w:t>haltigen PLGA Nanopartikeln inkubiert wurden. Vor Erstellung der Aufnahme wurden die Zellen mit Medium gewaschen; rot: Zellmembran, blau: Zellkerne, grün: Partikel</w:t>
      </w:r>
      <w:r w:rsidR="00CF79C4">
        <w:rPr>
          <w:b w:val="0"/>
          <w:color w:val="000000" w:themeColor="text1"/>
        </w:rPr>
        <w:t>.</w:t>
      </w:r>
      <w:r w:rsidR="005653E4">
        <w:rPr>
          <w:b w:val="0"/>
          <w:color w:val="000000" w:themeColor="text1"/>
        </w:rPr>
        <w:t xml:space="preserve"> (Quelle: Uni Würzburg)</w:t>
      </w:r>
      <w:r w:rsidR="00255578">
        <w:rPr>
          <w:b w:val="0"/>
          <w:color w:val="000000" w:themeColor="text1"/>
        </w:rPr>
        <w:t>.</w:t>
      </w:r>
    </w:p>
    <w:p w14:paraId="6DDD4378" w14:textId="77777777" w:rsidR="0023137F" w:rsidRDefault="0023137F" w:rsidP="00B27D50">
      <w:pPr>
        <w:spacing w:after="120"/>
      </w:pPr>
    </w:p>
    <w:p w14:paraId="5C724BE7" w14:textId="77777777" w:rsidR="00B27D50" w:rsidRDefault="00B27D50" w:rsidP="0023137F">
      <w:r>
        <w:lastRenderedPageBreak/>
        <w:t xml:space="preserve">Die Aufnahmen in </w:t>
      </w:r>
      <w:r w:rsidR="00D16240">
        <w:fldChar w:fldCharType="begin"/>
      </w:r>
      <w:r>
        <w:instrText xml:space="preserve"> REF _Ref278735210 \h </w:instrText>
      </w:r>
      <w:r w:rsidR="00D16240">
        <w:fldChar w:fldCharType="separate"/>
      </w:r>
      <w:r w:rsidR="00711AB8" w:rsidRPr="00684FD5">
        <w:t xml:space="preserve">Abbildung </w:t>
      </w:r>
      <w:r w:rsidR="00711AB8">
        <w:rPr>
          <w:noProof/>
        </w:rPr>
        <w:t>55</w:t>
      </w:r>
      <w:r w:rsidR="00D16240">
        <w:fldChar w:fldCharType="end"/>
      </w:r>
      <w:r>
        <w:t xml:space="preserve"> </w:t>
      </w:r>
      <w:r w:rsidR="00C8611D">
        <w:t>geben Hinweise darauf</w:t>
      </w:r>
      <w:r>
        <w:t>, dass die unbes</w:t>
      </w:r>
      <w:r w:rsidR="00CF79C4">
        <w:t>chichtete</w:t>
      </w:r>
      <w:r w:rsidR="00CD680C">
        <w:t>n PLGA Partikel (oben</w:t>
      </w:r>
      <w:r w:rsidR="005070D3">
        <w:t>)</w:t>
      </w:r>
      <w:r w:rsidR="00CF79C4">
        <w:t xml:space="preserve"> besser in</w:t>
      </w:r>
      <w:r w:rsidR="00E11D6B">
        <w:t xml:space="preserve"> Cac</w:t>
      </w:r>
      <w:r>
        <w:t>o-2 Zellen aufgenommen wurden, als die mit h</w:t>
      </w:r>
      <w:r w:rsidR="00CF79C4">
        <w:t>L</w:t>
      </w:r>
      <w:r w:rsidR="00CD680C">
        <w:t>F beschichteten Partikel (unten</w:t>
      </w:r>
      <w:r w:rsidR="00EF3DE5">
        <w:t>), wo nehe</w:t>
      </w:r>
      <w:r w:rsidR="008D5357">
        <w:t>zu keine Partikel inner</w:t>
      </w:r>
      <w:r w:rsidR="005070D3">
        <w:t>halb der Zellen zu erkennen sind</w:t>
      </w:r>
      <w:r w:rsidR="008D5357">
        <w:t>.</w:t>
      </w:r>
      <w:r w:rsidR="00CD680C">
        <w:t xml:space="preserve"> In der oberen</w:t>
      </w:r>
      <w:r w:rsidR="00C8611D">
        <w:t xml:space="preserve"> Abbildung (PLGA Partikel ohne hLF) sind allerdings auch Partikel außerhalb der Zellen zu erkennen, obwohl die Proben vor Erstellung der Aufnahmen gewaschen wurden. Dies könnte ein Hinweis darauf sein, dass</w:t>
      </w:r>
      <w:r w:rsidR="00CD680C">
        <w:t xml:space="preserve"> in diesem Versuch</w:t>
      </w:r>
      <w:r w:rsidR="00E17793">
        <w:t xml:space="preserve"> die Zellen</w:t>
      </w:r>
      <w:r w:rsidR="00C8611D">
        <w:t xml:space="preserve"> nicht ausreichend gewaschen wurde</w:t>
      </w:r>
      <w:r w:rsidR="00E17793">
        <w:t>n</w:t>
      </w:r>
      <w:r w:rsidR="00C8611D">
        <w:t>.</w:t>
      </w:r>
    </w:p>
    <w:p w14:paraId="27D6B9C2" w14:textId="77777777" w:rsidR="005070D3" w:rsidRDefault="005070D3" w:rsidP="0023137F"/>
    <w:p w14:paraId="73A0FCF9" w14:textId="77777777" w:rsidR="00B27D50" w:rsidRDefault="00B27D50" w:rsidP="00B27D50">
      <w:pPr>
        <w:pStyle w:val="berschrift5"/>
        <w:spacing w:after="240"/>
        <w:ind w:left="709" w:firstLine="709"/>
        <w:rPr>
          <w:color w:val="auto"/>
        </w:rPr>
      </w:pPr>
      <w:bookmarkStart w:id="308" w:name="_Toc294380284"/>
      <w:r w:rsidRPr="00B27D50">
        <w:rPr>
          <w:color w:val="auto"/>
        </w:rPr>
        <w:t>PEA Cy</w:t>
      </w:r>
      <w:r w:rsidR="00E11D6B">
        <w:rPr>
          <w:color w:val="auto"/>
        </w:rPr>
        <w:t>stein Partikel – Aufnahme in Cac</w:t>
      </w:r>
      <w:r w:rsidRPr="00B27D50">
        <w:rPr>
          <w:color w:val="auto"/>
        </w:rPr>
        <w:t>o-2 Zellen</w:t>
      </w:r>
      <w:bookmarkEnd w:id="308"/>
    </w:p>
    <w:p w14:paraId="0215D0D3" w14:textId="77777777" w:rsidR="00B27D50" w:rsidRDefault="00B27D50" w:rsidP="00845B6B">
      <w:pPr>
        <w:jc w:val="center"/>
      </w:pPr>
      <w:r w:rsidRPr="00B27D50">
        <w:rPr>
          <w:noProof/>
          <w:lang w:eastAsia="de-DE"/>
        </w:rPr>
        <w:drawing>
          <wp:inline distT="0" distB="0" distL="0" distR="0" wp14:anchorId="38123426" wp14:editId="2D6763A8">
            <wp:extent cx="3837728" cy="870597"/>
            <wp:effectExtent l="0" t="0" r="0" b="0"/>
            <wp:docPr id="17516"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rotWithShape="1">
                    <a:blip r:embed="rId108" cstate="print">
                      <a:extLst>
                        <a:ext uri="{BEBA8EAE-BF5A-486C-A8C5-ECC9F3942E4B}">
                          <a14:imgProps xmlns:a14="http://schemas.microsoft.com/office/drawing/2010/main">
                            <a14:imgLayer r:embed="rId109">
                              <a14:imgEffect>
                                <a14:brightnessContrast bright="40000" contrast="40000"/>
                              </a14:imgEffect>
                            </a14:imgLayer>
                          </a14:imgProps>
                        </a:ext>
                        <a:ext uri="{28A0092B-C50C-407E-A947-70E740481C1C}">
                          <a14:useLocalDpi xmlns:a14="http://schemas.microsoft.com/office/drawing/2010/main" val="0"/>
                        </a:ext>
                      </a:extLst>
                    </a:blip>
                    <a:srcRect l="2274" t="16464" r="54735" b="67932"/>
                    <a:stretch/>
                  </pic:blipFill>
                  <pic:spPr>
                    <a:xfrm>
                      <a:off x="0" y="0"/>
                      <a:ext cx="3848330" cy="873002"/>
                    </a:xfrm>
                    <a:prstGeom prst="rect">
                      <a:avLst/>
                    </a:prstGeom>
                  </pic:spPr>
                </pic:pic>
              </a:graphicData>
            </a:graphic>
          </wp:inline>
        </w:drawing>
      </w:r>
      <w:r w:rsidR="004260A9">
        <w:rPr>
          <w:rFonts w:ascii="Helvetica" w:hAnsi="Helvetica" w:cs="Helvetica"/>
          <w:noProof/>
          <w:szCs w:val="24"/>
          <w:lang w:eastAsia="de-DE"/>
        </w:rPr>
        <w:drawing>
          <wp:inline distT="0" distB="0" distL="0" distR="0" wp14:anchorId="7266F34D" wp14:editId="7290D7EA">
            <wp:extent cx="3854662" cy="3060367"/>
            <wp:effectExtent l="0" t="0" r="6350" b="0"/>
            <wp:docPr id="21534"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57197" cy="3062380"/>
                    </a:xfrm>
                    <a:prstGeom prst="rect">
                      <a:avLst/>
                    </a:prstGeom>
                    <a:noFill/>
                    <a:ln>
                      <a:noFill/>
                    </a:ln>
                  </pic:spPr>
                </pic:pic>
              </a:graphicData>
            </a:graphic>
          </wp:inline>
        </w:drawing>
      </w:r>
    </w:p>
    <w:p w14:paraId="19F8E594" w14:textId="77777777" w:rsidR="00CF79C4" w:rsidRDefault="00CF79C4" w:rsidP="004260A9">
      <w:pPr>
        <w:pStyle w:val="Beschriftung"/>
        <w:ind w:firstLine="0"/>
        <w:rPr>
          <w:b w:val="0"/>
          <w:color w:val="000000" w:themeColor="text1"/>
        </w:rPr>
      </w:pPr>
      <w:bookmarkStart w:id="309" w:name="_Ref278735807"/>
      <w:r w:rsidRPr="00CF79C4">
        <w:t xml:space="preserve">Abbildung </w:t>
      </w:r>
      <w:fldSimple w:instr=" SEQ Abbildung \* ARABIC ">
        <w:r w:rsidR="00711AB8">
          <w:rPr>
            <w:noProof/>
          </w:rPr>
          <w:t>56</w:t>
        </w:r>
      </w:fldSimple>
      <w:bookmarkEnd w:id="309"/>
      <w:r>
        <w:rPr>
          <w:b w:val="0"/>
        </w:rPr>
        <w:t xml:space="preserve"> </w:t>
      </w:r>
      <w:r w:rsidR="008F7D1C">
        <w:rPr>
          <w:b w:val="0"/>
          <w:color w:val="000000" w:themeColor="text1"/>
        </w:rPr>
        <w:t>Konfokale</w:t>
      </w:r>
      <w:r w:rsidR="00E11D6B">
        <w:rPr>
          <w:b w:val="0"/>
          <w:color w:val="000000" w:themeColor="text1"/>
        </w:rPr>
        <w:t xml:space="preserve"> Aufnahme von Cac</w:t>
      </w:r>
      <w:r>
        <w:rPr>
          <w:b w:val="0"/>
          <w:color w:val="000000" w:themeColor="text1"/>
        </w:rPr>
        <w:t>o-2 Zellen, die für 2 Stunden bei 37</w:t>
      </w:r>
      <w:r w:rsidR="00A426B8">
        <w:rPr>
          <w:b w:val="0"/>
          <w:color w:val="000000" w:themeColor="text1"/>
        </w:rPr>
        <w:t xml:space="preserve"> </w:t>
      </w:r>
      <w:r>
        <w:rPr>
          <w:b w:val="0"/>
          <w:color w:val="000000" w:themeColor="text1"/>
        </w:rPr>
        <w:t>°C mit einer 1 mg/ml konzen</w:t>
      </w:r>
      <w:r w:rsidR="00255578">
        <w:rPr>
          <w:b w:val="0"/>
          <w:color w:val="000000" w:themeColor="text1"/>
        </w:rPr>
        <w:t>trierten Suspension von Lumogen-</w:t>
      </w:r>
      <w:r>
        <w:rPr>
          <w:b w:val="0"/>
          <w:color w:val="000000" w:themeColor="text1"/>
        </w:rPr>
        <w:t>haltigen Cystein PEA Nanopartikeln inkubiert wurden. Vor Erstellung der Aufnahme wurden die Zellen mit Medium gewaschen; rot: Zellmembran, blau: Zellkerne, grün: Partikel.</w:t>
      </w:r>
      <w:r w:rsidR="005653E4">
        <w:rPr>
          <w:b w:val="0"/>
          <w:color w:val="000000" w:themeColor="text1"/>
        </w:rPr>
        <w:t xml:space="preserve"> (Quelle: Uni Würzburg)</w:t>
      </w:r>
      <w:r w:rsidR="00255578">
        <w:rPr>
          <w:b w:val="0"/>
          <w:color w:val="000000" w:themeColor="text1"/>
        </w:rPr>
        <w:t>.</w:t>
      </w:r>
    </w:p>
    <w:p w14:paraId="7C8C17B6" w14:textId="77777777" w:rsidR="00CF79C4" w:rsidRDefault="00CF79C4" w:rsidP="008F7D1C">
      <w:pPr>
        <w:spacing w:after="120"/>
      </w:pPr>
    </w:p>
    <w:p w14:paraId="257693C2" w14:textId="77777777" w:rsidR="00045315" w:rsidRDefault="00CF79C4" w:rsidP="00CF79C4">
      <w:r>
        <w:t xml:space="preserve">In </w:t>
      </w:r>
      <w:r w:rsidR="00D16240">
        <w:fldChar w:fldCharType="begin"/>
      </w:r>
      <w:r>
        <w:instrText xml:space="preserve"> REF _Ref278735807 \h </w:instrText>
      </w:r>
      <w:r w:rsidR="00D16240">
        <w:fldChar w:fldCharType="separate"/>
      </w:r>
      <w:r w:rsidR="00711AB8" w:rsidRPr="00CF79C4">
        <w:t xml:space="preserve">Abbildung </w:t>
      </w:r>
      <w:r w:rsidR="00711AB8">
        <w:rPr>
          <w:noProof/>
        </w:rPr>
        <w:t>56</w:t>
      </w:r>
      <w:r w:rsidR="00D16240">
        <w:fldChar w:fldCharType="end"/>
      </w:r>
      <w:r w:rsidR="00CD680C">
        <w:t xml:space="preserve"> ist klar</w:t>
      </w:r>
      <w:r>
        <w:t xml:space="preserve"> zu erkennen, dass die Cys</w:t>
      </w:r>
      <w:r w:rsidR="00E11D6B">
        <w:t>tein PEA Nanopartikel in Cac</w:t>
      </w:r>
      <w:r>
        <w:t>o-2 Zellen aufgenommen wurden.</w:t>
      </w:r>
      <w:r w:rsidR="006513A7">
        <w:t xml:space="preserve"> Die Querschnittsaufnahme zeigt, dass die Partikel nicht in einer Ebene unterhalb oder oberhalb der Zelle liegen, sondern tatsächlich i</w:t>
      </w:r>
      <w:r w:rsidR="001C03BA">
        <w:t>m Zellinneren lokalisiert sind</w:t>
      </w:r>
      <w:r w:rsidR="006513A7">
        <w:t>.</w:t>
      </w:r>
    </w:p>
    <w:p w14:paraId="510F5005" w14:textId="77777777" w:rsidR="00E17793" w:rsidRDefault="00E17793" w:rsidP="00CF79C4"/>
    <w:p w14:paraId="537DA1C9" w14:textId="77777777" w:rsidR="008F7D1C" w:rsidRPr="00B26EAD" w:rsidRDefault="00CF79C4" w:rsidP="00B26EAD">
      <w:pPr>
        <w:pStyle w:val="berschrift5"/>
        <w:spacing w:after="240"/>
        <w:ind w:left="709" w:firstLine="709"/>
        <w:rPr>
          <w:color w:val="auto"/>
        </w:rPr>
      </w:pPr>
      <w:bookmarkStart w:id="310" w:name="_Toc294380285"/>
      <w:r w:rsidRPr="00CF79C4">
        <w:rPr>
          <w:color w:val="auto"/>
        </w:rPr>
        <w:lastRenderedPageBreak/>
        <w:t>PEA Asparaginsäure Part</w:t>
      </w:r>
      <w:r w:rsidR="00E11D6B">
        <w:rPr>
          <w:color w:val="auto"/>
        </w:rPr>
        <w:t>ikel – Aufnahme in Cac</w:t>
      </w:r>
      <w:r w:rsidRPr="00CF79C4">
        <w:rPr>
          <w:color w:val="auto"/>
        </w:rPr>
        <w:t>o-2 Zellen</w:t>
      </w:r>
      <w:bookmarkEnd w:id="310"/>
    </w:p>
    <w:p w14:paraId="15B49149" w14:textId="77777777" w:rsidR="008F7D1C" w:rsidRDefault="008F7D1C" w:rsidP="008F7D1C">
      <w:pPr>
        <w:spacing w:after="0" w:line="240" w:lineRule="auto"/>
        <w:jc w:val="center"/>
      </w:pPr>
      <w:r w:rsidRPr="008F7D1C">
        <w:rPr>
          <w:noProof/>
          <w:lang w:eastAsia="de-DE"/>
        </w:rPr>
        <w:drawing>
          <wp:inline distT="0" distB="0" distL="0" distR="0" wp14:anchorId="39B83175" wp14:editId="6A4E1C4F">
            <wp:extent cx="3545628" cy="1116330"/>
            <wp:effectExtent l="0" t="0" r="10795" b="1270"/>
            <wp:docPr id="1753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rotWithShape="1">
                    <a:blip r:embed="rId111" cstate="print">
                      <a:extLst>
                        <a:ext uri="{BEBA8EAE-BF5A-486C-A8C5-ECC9F3942E4B}">
                          <a14:imgProps xmlns:a14="http://schemas.microsoft.com/office/drawing/2010/main">
                            <a14:imgLayer r:embed="rId112">
                              <a14:imgEffect>
                                <a14:brightnessContrast bright="40000" contrast="40000"/>
                              </a14:imgEffect>
                            </a14:imgLayer>
                          </a14:imgProps>
                        </a:ext>
                        <a:ext uri="{28A0092B-C50C-407E-A947-70E740481C1C}">
                          <a14:useLocalDpi xmlns:a14="http://schemas.microsoft.com/office/drawing/2010/main" val="0"/>
                        </a:ext>
                      </a:extLst>
                    </a:blip>
                    <a:srcRect l="6672" t="16464" r="57001" b="65385"/>
                    <a:stretch/>
                  </pic:blipFill>
                  <pic:spPr>
                    <a:xfrm>
                      <a:off x="0" y="0"/>
                      <a:ext cx="3554665" cy="1119175"/>
                    </a:xfrm>
                    <a:prstGeom prst="rect">
                      <a:avLst/>
                    </a:prstGeom>
                  </pic:spPr>
                </pic:pic>
              </a:graphicData>
            </a:graphic>
          </wp:inline>
        </w:drawing>
      </w:r>
    </w:p>
    <w:p w14:paraId="4B365B43" w14:textId="77777777" w:rsidR="00CF79C4" w:rsidRDefault="00845B6B" w:rsidP="008F7D1C">
      <w:pPr>
        <w:jc w:val="center"/>
      </w:pPr>
      <w:r>
        <w:rPr>
          <w:rFonts w:ascii="Helvetica" w:hAnsi="Helvetica" w:cs="Helvetica"/>
          <w:noProof/>
          <w:szCs w:val="24"/>
          <w:lang w:eastAsia="de-DE"/>
        </w:rPr>
        <w:drawing>
          <wp:inline distT="0" distB="0" distL="0" distR="0" wp14:anchorId="51A0F57D" wp14:editId="26F6A0BE">
            <wp:extent cx="3562562" cy="3113659"/>
            <wp:effectExtent l="0" t="0" r="0" b="10795"/>
            <wp:docPr id="17534"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564284" cy="3115164"/>
                    </a:xfrm>
                    <a:prstGeom prst="rect">
                      <a:avLst/>
                    </a:prstGeom>
                    <a:noFill/>
                    <a:ln>
                      <a:noFill/>
                    </a:ln>
                  </pic:spPr>
                </pic:pic>
              </a:graphicData>
            </a:graphic>
          </wp:inline>
        </w:drawing>
      </w:r>
    </w:p>
    <w:p w14:paraId="7F57E696" w14:textId="77777777" w:rsidR="008F7D1C" w:rsidRDefault="008F7D1C" w:rsidP="0010329F">
      <w:pPr>
        <w:pStyle w:val="Beschriftung"/>
        <w:spacing w:after="120"/>
        <w:ind w:firstLine="0"/>
        <w:rPr>
          <w:b w:val="0"/>
          <w:color w:val="000000" w:themeColor="text1"/>
        </w:rPr>
      </w:pPr>
      <w:bookmarkStart w:id="311" w:name="_Ref278736856"/>
      <w:r w:rsidRPr="008F7D1C">
        <w:t xml:space="preserve">Abbildung </w:t>
      </w:r>
      <w:fldSimple w:instr=" SEQ Abbildung \* ARABIC ">
        <w:r w:rsidR="00711AB8">
          <w:rPr>
            <w:noProof/>
          </w:rPr>
          <w:t>57</w:t>
        </w:r>
      </w:fldSimple>
      <w:bookmarkEnd w:id="311"/>
      <w:r>
        <w:t xml:space="preserve"> </w:t>
      </w:r>
      <w:r w:rsidR="00A86CEF">
        <w:rPr>
          <w:b w:val="0"/>
          <w:color w:val="000000" w:themeColor="text1"/>
        </w:rPr>
        <w:t>Konfokale</w:t>
      </w:r>
      <w:r w:rsidR="00E11D6B">
        <w:rPr>
          <w:b w:val="0"/>
          <w:color w:val="000000" w:themeColor="text1"/>
        </w:rPr>
        <w:t xml:space="preserve"> Aufnahme von Cac</w:t>
      </w:r>
      <w:r>
        <w:rPr>
          <w:b w:val="0"/>
          <w:color w:val="000000" w:themeColor="text1"/>
        </w:rPr>
        <w:t>o-2 Zellen, die für 2 Stunden bei 37</w:t>
      </w:r>
      <w:r w:rsidR="00A426B8">
        <w:rPr>
          <w:b w:val="0"/>
          <w:color w:val="000000" w:themeColor="text1"/>
        </w:rPr>
        <w:t xml:space="preserve"> </w:t>
      </w:r>
      <w:r>
        <w:rPr>
          <w:b w:val="0"/>
          <w:color w:val="000000" w:themeColor="text1"/>
        </w:rPr>
        <w:t>°C mit einer 1 mg/ml konzen</w:t>
      </w:r>
      <w:r w:rsidR="00255578">
        <w:rPr>
          <w:b w:val="0"/>
          <w:color w:val="000000" w:themeColor="text1"/>
        </w:rPr>
        <w:t>trierten Suspension von Lumogen-</w:t>
      </w:r>
      <w:r>
        <w:rPr>
          <w:b w:val="0"/>
          <w:color w:val="000000" w:themeColor="text1"/>
        </w:rPr>
        <w:t>haltigen Asparaginsäure PEA (PEA 05) Nanopartikeln inkubiert wurden. Vor Erstellung der Aufnahme wurden die Zellen mit Medium gewaschen; rot: Zellmembran, blau: Zellkerne, grün: Partikel.</w:t>
      </w:r>
      <w:r w:rsidR="005653E4">
        <w:rPr>
          <w:b w:val="0"/>
          <w:color w:val="000000" w:themeColor="text1"/>
        </w:rPr>
        <w:t xml:space="preserve"> (Quelle: Uni Würzburg)</w:t>
      </w:r>
      <w:r w:rsidR="00255578">
        <w:rPr>
          <w:b w:val="0"/>
          <w:color w:val="000000" w:themeColor="text1"/>
        </w:rPr>
        <w:t>.</w:t>
      </w:r>
    </w:p>
    <w:p w14:paraId="6A36131B" w14:textId="77777777" w:rsidR="008F7D1C" w:rsidRDefault="008F7D1C" w:rsidP="008F7D1C">
      <w:pPr>
        <w:spacing w:after="120"/>
      </w:pPr>
    </w:p>
    <w:p w14:paraId="3787F483" w14:textId="77777777" w:rsidR="008F7D1C" w:rsidRPr="008F7D1C" w:rsidRDefault="006513A7" w:rsidP="008F7D1C">
      <w:r>
        <w:t>Die Partikel aus Asparagin</w:t>
      </w:r>
      <w:r w:rsidR="00A86CEF">
        <w:t>säure PEA 05 wurden nur geringfügig</w:t>
      </w:r>
      <w:r w:rsidR="00E11D6B">
        <w:t xml:space="preserve"> in Cac</w:t>
      </w:r>
      <w:r>
        <w:t xml:space="preserve">o-2 Zellen aufgenommen. In </w:t>
      </w:r>
      <w:r w:rsidR="00D16240">
        <w:fldChar w:fldCharType="begin"/>
      </w:r>
      <w:r>
        <w:instrText xml:space="preserve"> REF _Ref278736856 \h </w:instrText>
      </w:r>
      <w:r w:rsidR="00D16240">
        <w:fldChar w:fldCharType="separate"/>
      </w:r>
      <w:r w:rsidR="00711AB8" w:rsidRPr="008F7D1C">
        <w:t xml:space="preserve">Abbildung </w:t>
      </w:r>
      <w:r w:rsidR="00711AB8">
        <w:rPr>
          <w:noProof/>
        </w:rPr>
        <w:t>57</w:t>
      </w:r>
      <w:r w:rsidR="00D16240">
        <w:fldChar w:fldCharType="end"/>
      </w:r>
      <w:r w:rsidR="00A86CEF">
        <w:t xml:space="preserve"> ist allerdings</w:t>
      </w:r>
      <w:r>
        <w:t xml:space="preserve"> eine starke grüne Fluoreszenz im Bereich der Zellbegrenzung zu erkennen. Die Partikel lagern sich also vermehrt an der Zellmembran an. Die Querschnittaufnahme zeigt, dass sich die Partikel im mittleren Bereich nicht im Zellinneren befinden, sondern </w:t>
      </w:r>
      <w:r w:rsidR="00D93407">
        <w:t>unter der Zelle oder darauf liegen müssen.</w:t>
      </w:r>
    </w:p>
    <w:p w14:paraId="75BC092C" w14:textId="77777777" w:rsidR="00B9793D" w:rsidRDefault="00782BA5" w:rsidP="00ED4563">
      <w:pPr>
        <w:pStyle w:val="berschrift4"/>
      </w:pPr>
      <w:bookmarkStart w:id="312" w:name="_Toc294380286"/>
      <w:r>
        <w:t>I</w:t>
      </w:r>
      <w:r w:rsidR="00DC7462">
        <w:t xml:space="preserve">n </w:t>
      </w:r>
      <w:r w:rsidR="00E11D6B">
        <w:t>vitro-Resorptionsstudien am Cac</w:t>
      </w:r>
      <w:r w:rsidR="00B9793D" w:rsidRPr="00B9793D">
        <w:t>o-2-Zellmodell</w:t>
      </w:r>
      <w:bookmarkEnd w:id="312"/>
    </w:p>
    <w:p w14:paraId="49B8D70B" w14:textId="77777777" w:rsidR="00D93407" w:rsidRDefault="006C46B5" w:rsidP="00D93407">
      <w:r>
        <w:t xml:space="preserve">Die </w:t>
      </w:r>
      <w:r w:rsidRPr="00B26EAD">
        <w:rPr>
          <w:i/>
        </w:rPr>
        <w:t>in vitro</w:t>
      </w:r>
      <w:r>
        <w:t xml:space="preserve">-Resorptionsstudien der Partikelformulierungen wurden mit einem erweiterten 3D-Darmgewebemodell durchgeführt. Das verwendete Modell des Darmepithels wurde am </w:t>
      </w:r>
      <w:r w:rsidRPr="006C46B5">
        <w:t>Fraunhofer-Institut für Grenzflächen- und Bioverfahrenstechnik in Stuttgart</w:t>
      </w:r>
      <w:r>
        <w:t xml:space="preserve"> entwickelt und an der Universität Würzburg für die Testung der Partikelformulierungen etabliert. Es erlaubt eine dynamische Kultivierung </w:t>
      </w:r>
      <w:r w:rsidR="00BB5216">
        <w:t>von</w:t>
      </w:r>
      <w:r w:rsidR="00E11D6B">
        <w:t xml:space="preserve"> Cac</w:t>
      </w:r>
      <w:r w:rsidR="00FA4C2C">
        <w:t>o-2 Zellen auf einer azellularisierten „BioVasc“ Matrix. Zitat: „</w:t>
      </w:r>
      <w:r w:rsidR="00FA4C2C" w:rsidRPr="00FA4C2C">
        <w:t>Die dynamisch</w:t>
      </w:r>
      <w:r w:rsidR="00A96EA1">
        <w:t>e 3D-Kultivierung hat sich [...]</w:t>
      </w:r>
      <w:r w:rsidR="00FA4C2C" w:rsidRPr="00FA4C2C">
        <w:t xml:space="preserve"> als vorteilhaft für den Erhalt </w:t>
      </w:r>
      <w:r w:rsidR="00FA4C2C" w:rsidRPr="00FA4C2C">
        <w:lastRenderedPageBreak/>
        <w:t>polarisierter, funktionaler Epithelzellen herausgestellt, was sich in der Expression spezifischer Enzyme (Dipeptidase) oder Transportaktivitäten von Referenzsubstanzen zeigt</w:t>
      </w:r>
      <w:r w:rsidR="00FA4C2C">
        <w:t>“</w:t>
      </w:r>
      <w:bookmarkStart w:id="313" w:name="_Ref278740689"/>
      <w:r w:rsidR="00FA4C2C">
        <w:rPr>
          <w:rStyle w:val="Endnotenzeichen"/>
        </w:rPr>
        <w:endnoteReference w:id="165"/>
      </w:r>
      <w:bookmarkEnd w:id="313"/>
      <w:r w:rsidR="00FA4C2C">
        <w:t>.</w:t>
      </w:r>
      <w:r w:rsidR="00B26EAD">
        <w:t xml:space="preserve"> Damit bildet das verwendete System besser die tatsächliche </w:t>
      </w:r>
      <w:r w:rsidR="00B26EAD">
        <w:rPr>
          <w:i/>
        </w:rPr>
        <w:t xml:space="preserve">in </w:t>
      </w:r>
      <w:r w:rsidR="00B26EAD" w:rsidRPr="00B26EAD">
        <w:rPr>
          <w:i/>
        </w:rPr>
        <w:t>vivo</w:t>
      </w:r>
      <w:r w:rsidR="00B26EAD">
        <w:t xml:space="preserve">-Situation ab als herkömmliche statische Modelle. </w:t>
      </w:r>
      <w:r w:rsidR="00A96EA1" w:rsidRPr="00B26EAD">
        <w:t>Der</w:t>
      </w:r>
      <w:r w:rsidR="00A96EA1">
        <w:t xml:space="preserve"> Aufbau des dynamisch kultivierten Epithelmodelles ist in </w:t>
      </w:r>
      <w:r w:rsidR="00D16240">
        <w:fldChar w:fldCharType="begin"/>
      </w:r>
      <w:r w:rsidR="00A96EA1">
        <w:instrText xml:space="preserve"> REF _Ref278740741 \h </w:instrText>
      </w:r>
      <w:r w:rsidR="00D16240">
        <w:fldChar w:fldCharType="separate"/>
      </w:r>
      <w:r w:rsidR="00711AB8" w:rsidRPr="00A96EA1">
        <w:t xml:space="preserve">Abbildung </w:t>
      </w:r>
      <w:r w:rsidR="00711AB8">
        <w:rPr>
          <w:noProof/>
        </w:rPr>
        <w:t>58</w:t>
      </w:r>
      <w:r w:rsidR="00D16240">
        <w:fldChar w:fldCharType="end"/>
      </w:r>
      <w:r w:rsidR="00A96EA1">
        <w:t xml:space="preserve"> dargestellt.</w:t>
      </w:r>
    </w:p>
    <w:p w14:paraId="531E96CA" w14:textId="77777777" w:rsidR="00BB5216" w:rsidRDefault="00BB5216" w:rsidP="00D93407"/>
    <w:p w14:paraId="578B9C66" w14:textId="77777777" w:rsidR="00A96EA1" w:rsidRDefault="00A96EA1" w:rsidP="00A96EA1">
      <w:pPr>
        <w:jc w:val="center"/>
      </w:pPr>
      <w:r>
        <w:rPr>
          <w:noProof/>
          <w:lang w:eastAsia="de-DE"/>
        </w:rPr>
        <w:drawing>
          <wp:inline distT="0" distB="0" distL="0" distR="0" wp14:anchorId="5E8154D1" wp14:editId="229FADD2">
            <wp:extent cx="2969895" cy="2516505"/>
            <wp:effectExtent l="0" t="0" r="1905" b="0"/>
            <wp:docPr id="17532" name="Bild 17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kt 2"/>
                    <pic:cNvPicPr>
                      <a:picLocks noChangeArrowheads="1"/>
                    </pic:cNvPicPr>
                  </pic:nvPicPr>
                  <pic:blipFill>
                    <a:blip r:embed="rId114">
                      <a:extLst>
                        <a:ext uri="{28A0092B-C50C-407E-A947-70E740481C1C}">
                          <a14:useLocalDpi xmlns:a14="http://schemas.microsoft.com/office/drawing/2010/main" val="0"/>
                        </a:ext>
                      </a:extLst>
                    </a:blip>
                    <a:srcRect l="-4305" t="-1917" r="-1625" b="-339"/>
                    <a:stretch>
                      <a:fillRect/>
                    </a:stretch>
                  </pic:blipFill>
                  <pic:spPr bwMode="auto">
                    <a:xfrm>
                      <a:off x="0" y="0"/>
                      <a:ext cx="2969895" cy="2516505"/>
                    </a:xfrm>
                    <a:prstGeom prst="rect">
                      <a:avLst/>
                    </a:prstGeom>
                    <a:noFill/>
                    <a:ln>
                      <a:noFill/>
                    </a:ln>
                  </pic:spPr>
                </pic:pic>
              </a:graphicData>
            </a:graphic>
          </wp:inline>
        </w:drawing>
      </w:r>
    </w:p>
    <w:p w14:paraId="21FBC6CE" w14:textId="77777777" w:rsidR="00A96EA1" w:rsidRPr="00255578" w:rsidRDefault="00A96EA1" w:rsidP="00845B6B">
      <w:pPr>
        <w:pStyle w:val="Beschriftung"/>
        <w:ind w:firstLine="0"/>
        <w:rPr>
          <w:b w:val="0"/>
        </w:rPr>
      </w:pPr>
      <w:bookmarkStart w:id="314" w:name="_Ref278740741"/>
      <w:r w:rsidRPr="00A96EA1">
        <w:t xml:space="preserve">Abbildung </w:t>
      </w:r>
      <w:fldSimple w:instr=" SEQ Abbildung \* ARABIC ">
        <w:r w:rsidR="00711AB8">
          <w:rPr>
            <w:noProof/>
          </w:rPr>
          <w:t>58</w:t>
        </w:r>
      </w:fldSimple>
      <w:bookmarkEnd w:id="314"/>
      <w:r>
        <w:t xml:space="preserve"> </w:t>
      </w:r>
      <w:r>
        <w:rPr>
          <w:b w:val="0"/>
        </w:rPr>
        <w:t>Histologische Darstellung des Darmepithels nach statischer oder dynamischer Kultivierung</w:t>
      </w:r>
      <w:r w:rsidR="00D16240" w:rsidRPr="00A96EA1">
        <w:rPr>
          <w:b w:val="0"/>
          <w:vertAlign w:val="superscript"/>
        </w:rPr>
        <w:fldChar w:fldCharType="begin"/>
      </w:r>
      <w:r w:rsidRPr="00A96EA1">
        <w:rPr>
          <w:b w:val="0"/>
          <w:vertAlign w:val="superscript"/>
        </w:rPr>
        <w:instrText xml:space="preserve"> NOTEREF _Ref278740689 \h </w:instrText>
      </w:r>
      <w:r w:rsidR="00D16240" w:rsidRPr="00A96EA1">
        <w:rPr>
          <w:b w:val="0"/>
          <w:vertAlign w:val="superscript"/>
        </w:rPr>
      </w:r>
      <w:r w:rsidR="00D16240" w:rsidRPr="00A96EA1">
        <w:rPr>
          <w:b w:val="0"/>
          <w:vertAlign w:val="superscript"/>
        </w:rPr>
        <w:fldChar w:fldCharType="separate"/>
      </w:r>
      <w:r w:rsidR="00711AB8">
        <w:rPr>
          <w:b w:val="0"/>
          <w:vertAlign w:val="superscript"/>
        </w:rPr>
        <w:t>165</w:t>
      </w:r>
      <w:r w:rsidR="00D16240" w:rsidRPr="00A96EA1">
        <w:rPr>
          <w:b w:val="0"/>
          <w:vertAlign w:val="superscript"/>
        </w:rPr>
        <w:fldChar w:fldCharType="end"/>
      </w:r>
      <w:r w:rsidR="00255578">
        <w:rPr>
          <w:b w:val="0"/>
        </w:rPr>
        <w:t>.</w:t>
      </w:r>
    </w:p>
    <w:p w14:paraId="530686D4" w14:textId="77777777" w:rsidR="00A96EA1" w:rsidRDefault="00A96EA1" w:rsidP="000824E1">
      <w:pPr>
        <w:spacing w:after="120"/>
      </w:pPr>
    </w:p>
    <w:p w14:paraId="3C6F637C" w14:textId="77777777" w:rsidR="00322DE8" w:rsidRDefault="00E64C24" w:rsidP="00D3139F">
      <w:r>
        <w:t xml:space="preserve">Die Partikelformulierungen von Desmopressin mit PLGA und PEA wurden an der Universität in Würzburg </w:t>
      </w:r>
      <w:r w:rsidR="000824E1">
        <w:t>mit dem</w:t>
      </w:r>
      <w:r w:rsidR="00BB5216">
        <w:t xml:space="preserve"> dynamischen</w:t>
      </w:r>
      <w:r w:rsidR="000824E1">
        <w:t xml:space="preserve"> </w:t>
      </w:r>
      <w:r w:rsidR="000824E1" w:rsidRPr="000824E1">
        <w:rPr>
          <w:i/>
        </w:rPr>
        <w:t>in vitro</w:t>
      </w:r>
      <w:r w:rsidR="00255578">
        <w:t>-</w:t>
      </w:r>
      <w:r w:rsidR="000824E1">
        <w:t xml:space="preserve">Gewebemodell </w:t>
      </w:r>
      <w:r>
        <w:t>getestet. Untersucht wurde</w:t>
      </w:r>
      <w:r w:rsidR="00322DE8">
        <w:t xml:space="preserve"> sowohl</w:t>
      </w:r>
      <w:r>
        <w:t xml:space="preserve"> der </w:t>
      </w:r>
      <w:r w:rsidR="00322DE8">
        <w:t>Parti</w:t>
      </w:r>
      <w:r w:rsidR="00630E96">
        <w:t>kel- als auch der Desmopressint</w:t>
      </w:r>
      <w:r w:rsidR="00322DE8">
        <w:t>ransport</w:t>
      </w:r>
      <w:r>
        <w:t xml:space="preserve"> durch die Epithelschicht.</w:t>
      </w:r>
    </w:p>
    <w:p w14:paraId="1848582D" w14:textId="77777777" w:rsidR="000824E1" w:rsidRDefault="000939E1" w:rsidP="00D3139F">
      <w:r>
        <w:t>Im Donorkompartiment wurde eine Suspension der Partikel in Zellmedium mit einer Polymerkonzentration von 1,5 mg/ml bzw. 10 µg Desmopressin eingesetzt.</w:t>
      </w:r>
      <w:r w:rsidR="000F0ACB">
        <w:t xml:space="preserve"> </w:t>
      </w:r>
      <w:r>
        <w:t xml:space="preserve">Die Proben aus dem Akzeptorkompartiment wurden nach 6 Stunden gezogen. </w:t>
      </w:r>
      <w:r w:rsidR="00630E96">
        <w:t>Der Desmopressing</w:t>
      </w:r>
      <w:r w:rsidR="00F72E6D">
        <w:t xml:space="preserve">ehalt der Proben wurde mittels HPLC-Analytik bestimmt und die Quantifizierung der transportierten fluoreszenzmarkierten Polymerpartikel erfolgte fluorimetrisch. </w:t>
      </w:r>
      <w:r w:rsidR="000F0ACB">
        <w:t>Die Ergebnisse</w:t>
      </w:r>
      <w:r>
        <w:t xml:space="preserve"> der Transportstudie</w:t>
      </w:r>
      <w:r w:rsidR="000F0ACB">
        <w:t xml:space="preserve"> sind in</w:t>
      </w:r>
      <w:r w:rsidR="00475B55">
        <w:t xml:space="preserve"> </w:t>
      </w:r>
      <w:r w:rsidR="00D16240">
        <w:fldChar w:fldCharType="begin"/>
      </w:r>
      <w:r w:rsidR="00475B55">
        <w:instrText xml:space="preserve"> REF _Ref413353489 \h </w:instrText>
      </w:r>
      <w:r w:rsidR="00D16240">
        <w:fldChar w:fldCharType="separate"/>
      </w:r>
      <w:r w:rsidR="00711AB8" w:rsidRPr="00A30726">
        <w:t xml:space="preserve">Tabelle </w:t>
      </w:r>
      <w:r w:rsidR="00711AB8">
        <w:rPr>
          <w:noProof/>
        </w:rPr>
        <w:t>32</w:t>
      </w:r>
      <w:r w:rsidR="00D16240">
        <w:fldChar w:fldCharType="end"/>
      </w:r>
      <w:r w:rsidR="00475B55">
        <w:t xml:space="preserve"> </w:t>
      </w:r>
      <w:r>
        <w:t>dargestellt.</w:t>
      </w:r>
    </w:p>
    <w:p w14:paraId="2A6B7ECE" w14:textId="77777777" w:rsidR="00845B6B" w:rsidRDefault="00845B6B" w:rsidP="002C6C38"/>
    <w:p w14:paraId="78EC711C" w14:textId="77777777" w:rsidR="00845B6B" w:rsidRDefault="00845B6B" w:rsidP="00322DE8">
      <w:pPr>
        <w:spacing w:after="120"/>
      </w:pPr>
    </w:p>
    <w:p w14:paraId="21BC3BEE" w14:textId="77777777" w:rsidR="00845B6B" w:rsidRDefault="00845B6B" w:rsidP="00322DE8">
      <w:pPr>
        <w:spacing w:after="120"/>
      </w:pPr>
    </w:p>
    <w:p w14:paraId="4D53DD92" w14:textId="77777777" w:rsidR="00845B6B" w:rsidRDefault="00845B6B" w:rsidP="00845B6B">
      <w:pPr>
        <w:pStyle w:val="Beschriftung"/>
        <w:ind w:firstLine="0"/>
      </w:pPr>
      <w:bookmarkStart w:id="315" w:name="_Ref278743976"/>
    </w:p>
    <w:p w14:paraId="25680827" w14:textId="77777777" w:rsidR="00845B6B" w:rsidRDefault="00845B6B" w:rsidP="00845B6B">
      <w:pPr>
        <w:pStyle w:val="Beschriftung"/>
        <w:ind w:firstLine="0"/>
      </w:pPr>
    </w:p>
    <w:p w14:paraId="230D790A" w14:textId="77777777" w:rsidR="00845B6B" w:rsidRDefault="00845B6B" w:rsidP="00845B6B">
      <w:pPr>
        <w:pStyle w:val="Beschriftung"/>
        <w:ind w:firstLine="0"/>
      </w:pPr>
    </w:p>
    <w:p w14:paraId="56E9494D" w14:textId="77777777" w:rsidR="000F0ACB" w:rsidRPr="00A30726" w:rsidRDefault="00A30726" w:rsidP="00845B6B">
      <w:pPr>
        <w:pStyle w:val="Beschriftung"/>
        <w:ind w:firstLine="0"/>
        <w:rPr>
          <w:b w:val="0"/>
        </w:rPr>
      </w:pPr>
      <w:bookmarkStart w:id="316" w:name="_Ref413353489"/>
      <w:r w:rsidRPr="00A30726">
        <w:lastRenderedPageBreak/>
        <w:t xml:space="preserve">Tabelle </w:t>
      </w:r>
      <w:fldSimple w:instr=" SEQ Tabelle \* ARABIC ">
        <w:r w:rsidR="00711AB8">
          <w:rPr>
            <w:noProof/>
          </w:rPr>
          <w:t>32</w:t>
        </w:r>
      </w:fldSimple>
      <w:bookmarkEnd w:id="315"/>
      <w:bookmarkEnd w:id="316"/>
      <w:r>
        <w:rPr>
          <w:b w:val="0"/>
        </w:rPr>
        <w:t xml:space="preserve"> Ergebnisse der </w:t>
      </w:r>
      <w:r w:rsidRPr="00A30726">
        <w:rPr>
          <w:b w:val="0"/>
          <w:i/>
        </w:rPr>
        <w:t>in vitro</w:t>
      </w:r>
      <w:r>
        <w:rPr>
          <w:b w:val="0"/>
        </w:rPr>
        <w:t>-Transportstudie der nanopartikulären Desmopressin Formulierungen</w:t>
      </w:r>
      <w:r w:rsidR="00255578">
        <w:rPr>
          <w:b w:val="0"/>
        </w:rPr>
        <w:t>.</w:t>
      </w:r>
    </w:p>
    <w:tbl>
      <w:tblPr>
        <w:tblStyle w:val="Tabellenraster"/>
        <w:tblW w:w="0" w:type="auto"/>
        <w:tblLayout w:type="fixed"/>
        <w:tblLook w:val="04A0" w:firstRow="1" w:lastRow="0" w:firstColumn="1" w:lastColumn="0" w:noHBand="0" w:noVBand="1"/>
      </w:tblPr>
      <w:tblGrid>
        <w:gridCol w:w="2235"/>
        <w:gridCol w:w="1701"/>
        <w:gridCol w:w="2126"/>
        <w:gridCol w:w="1559"/>
        <w:gridCol w:w="1667"/>
      </w:tblGrid>
      <w:tr w:rsidR="00A30726" w14:paraId="4015AFB4" w14:textId="77777777" w:rsidTr="00255578">
        <w:tc>
          <w:tcPr>
            <w:tcW w:w="2235" w:type="dxa"/>
            <w:tcBorders>
              <w:top w:val="nil"/>
              <w:left w:val="nil"/>
              <w:bottom w:val="single" w:sz="8" w:space="0" w:color="auto"/>
              <w:right w:val="single" w:sz="8" w:space="0" w:color="auto"/>
            </w:tcBorders>
            <w:shd w:val="clear" w:color="auto" w:fill="auto"/>
            <w:vAlign w:val="center"/>
          </w:tcPr>
          <w:p w14:paraId="4EADF28D" w14:textId="77777777" w:rsidR="000F0ACB" w:rsidRPr="000F0ACB" w:rsidRDefault="000F0ACB" w:rsidP="000F0ACB">
            <w:pPr>
              <w:spacing w:line="240" w:lineRule="auto"/>
              <w:rPr>
                <w:sz w:val="20"/>
                <w:szCs w:val="20"/>
              </w:rPr>
            </w:pPr>
          </w:p>
        </w:tc>
        <w:tc>
          <w:tcPr>
            <w:tcW w:w="1701" w:type="dxa"/>
            <w:tcBorders>
              <w:top w:val="single" w:sz="8" w:space="0" w:color="auto"/>
              <w:left w:val="single" w:sz="8" w:space="0" w:color="auto"/>
              <w:bottom w:val="single" w:sz="8" w:space="0" w:color="auto"/>
              <w:right w:val="single" w:sz="8" w:space="0" w:color="auto"/>
            </w:tcBorders>
            <w:shd w:val="clear" w:color="auto" w:fill="E6E6E6"/>
            <w:vAlign w:val="center"/>
          </w:tcPr>
          <w:p w14:paraId="023EF46D" w14:textId="77777777" w:rsidR="000F0ACB" w:rsidRPr="000F0ACB" w:rsidRDefault="000F0ACB" w:rsidP="000F0ACB">
            <w:pPr>
              <w:spacing w:line="240" w:lineRule="auto"/>
              <w:jc w:val="center"/>
              <w:rPr>
                <w:sz w:val="20"/>
                <w:szCs w:val="20"/>
              </w:rPr>
            </w:pPr>
            <w:r w:rsidRPr="000F0ACB">
              <w:rPr>
                <w:sz w:val="20"/>
                <w:szCs w:val="20"/>
              </w:rPr>
              <w:t>Desmopressin Transport mit Zellen</w:t>
            </w:r>
            <w:r w:rsidR="00A30726">
              <w:rPr>
                <w:sz w:val="20"/>
                <w:szCs w:val="20"/>
              </w:rPr>
              <w:t xml:space="preserve"> [%]</w:t>
            </w:r>
          </w:p>
        </w:tc>
        <w:tc>
          <w:tcPr>
            <w:tcW w:w="2126" w:type="dxa"/>
            <w:tcBorders>
              <w:top w:val="single" w:sz="8" w:space="0" w:color="auto"/>
              <w:left w:val="single" w:sz="8" w:space="0" w:color="auto"/>
              <w:bottom w:val="single" w:sz="8" w:space="0" w:color="auto"/>
              <w:right w:val="single" w:sz="8" w:space="0" w:color="auto"/>
            </w:tcBorders>
            <w:shd w:val="clear" w:color="auto" w:fill="E6E6E6"/>
            <w:vAlign w:val="center"/>
          </w:tcPr>
          <w:p w14:paraId="4433ADF9" w14:textId="77777777" w:rsidR="000F0ACB" w:rsidRPr="000F0ACB" w:rsidRDefault="000F0ACB" w:rsidP="000F0ACB">
            <w:pPr>
              <w:spacing w:line="240" w:lineRule="auto"/>
              <w:jc w:val="center"/>
              <w:rPr>
                <w:sz w:val="20"/>
                <w:szCs w:val="20"/>
              </w:rPr>
            </w:pPr>
            <w:r w:rsidRPr="000F0ACB">
              <w:rPr>
                <w:sz w:val="20"/>
                <w:szCs w:val="20"/>
              </w:rPr>
              <w:t>Desmopressin Transport durch Matrix ohne Zellen</w:t>
            </w:r>
            <w:r w:rsidR="00A30726">
              <w:rPr>
                <w:sz w:val="20"/>
                <w:szCs w:val="20"/>
              </w:rPr>
              <w:t xml:space="preserve"> [%]</w:t>
            </w:r>
          </w:p>
        </w:tc>
        <w:tc>
          <w:tcPr>
            <w:tcW w:w="1559" w:type="dxa"/>
            <w:tcBorders>
              <w:top w:val="single" w:sz="8" w:space="0" w:color="auto"/>
              <w:left w:val="single" w:sz="8" w:space="0" w:color="auto"/>
              <w:bottom w:val="single" w:sz="8" w:space="0" w:color="auto"/>
              <w:right w:val="single" w:sz="8" w:space="0" w:color="auto"/>
            </w:tcBorders>
            <w:shd w:val="clear" w:color="auto" w:fill="E6E6E6"/>
            <w:vAlign w:val="center"/>
          </w:tcPr>
          <w:p w14:paraId="0DA60207" w14:textId="77777777" w:rsidR="000F0ACB" w:rsidRPr="000F0ACB" w:rsidRDefault="000F0ACB" w:rsidP="000F0ACB">
            <w:pPr>
              <w:spacing w:line="240" w:lineRule="auto"/>
              <w:jc w:val="center"/>
              <w:rPr>
                <w:sz w:val="20"/>
                <w:szCs w:val="20"/>
              </w:rPr>
            </w:pPr>
            <w:r w:rsidRPr="000F0ACB">
              <w:rPr>
                <w:sz w:val="20"/>
                <w:szCs w:val="20"/>
              </w:rPr>
              <w:t>Partikeltransport mit Zellen</w:t>
            </w:r>
            <w:r w:rsidR="00A30726">
              <w:rPr>
                <w:sz w:val="20"/>
                <w:szCs w:val="20"/>
              </w:rPr>
              <w:t xml:space="preserve"> [%]</w:t>
            </w:r>
          </w:p>
        </w:tc>
        <w:tc>
          <w:tcPr>
            <w:tcW w:w="1667" w:type="dxa"/>
            <w:tcBorders>
              <w:top w:val="single" w:sz="8" w:space="0" w:color="auto"/>
              <w:left w:val="single" w:sz="8" w:space="0" w:color="auto"/>
              <w:bottom w:val="single" w:sz="8" w:space="0" w:color="auto"/>
              <w:right w:val="single" w:sz="8" w:space="0" w:color="auto"/>
            </w:tcBorders>
            <w:shd w:val="clear" w:color="auto" w:fill="E6E6E6"/>
            <w:vAlign w:val="center"/>
          </w:tcPr>
          <w:p w14:paraId="34A8857C" w14:textId="77777777" w:rsidR="000F0ACB" w:rsidRPr="000F0ACB" w:rsidRDefault="000F0ACB" w:rsidP="000F0ACB">
            <w:pPr>
              <w:spacing w:line="240" w:lineRule="auto"/>
              <w:jc w:val="center"/>
              <w:rPr>
                <w:sz w:val="20"/>
                <w:szCs w:val="20"/>
              </w:rPr>
            </w:pPr>
            <w:r w:rsidRPr="000F0ACB">
              <w:rPr>
                <w:sz w:val="20"/>
                <w:szCs w:val="20"/>
              </w:rPr>
              <w:t>Partikeltransport durch Matrix ohne Zellen</w:t>
            </w:r>
            <w:r w:rsidR="00A30726">
              <w:rPr>
                <w:sz w:val="20"/>
                <w:szCs w:val="20"/>
              </w:rPr>
              <w:t xml:space="preserve"> [%]</w:t>
            </w:r>
          </w:p>
        </w:tc>
      </w:tr>
      <w:tr w:rsidR="000F0ACB" w14:paraId="5548140D" w14:textId="77777777" w:rsidTr="00902A1D">
        <w:trPr>
          <w:trHeight w:val="340"/>
        </w:trPr>
        <w:tc>
          <w:tcPr>
            <w:tcW w:w="2235" w:type="dxa"/>
            <w:tcBorders>
              <w:top w:val="single" w:sz="8" w:space="0" w:color="auto"/>
              <w:left w:val="single" w:sz="8" w:space="0" w:color="auto"/>
              <w:bottom w:val="single" w:sz="8" w:space="0" w:color="auto"/>
              <w:right w:val="single" w:sz="8" w:space="0" w:color="auto"/>
            </w:tcBorders>
            <w:shd w:val="clear" w:color="auto" w:fill="E6E6E6"/>
            <w:vAlign w:val="center"/>
          </w:tcPr>
          <w:p w14:paraId="1B025513" w14:textId="77777777" w:rsidR="000F0ACB" w:rsidRPr="000F0ACB" w:rsidRDefault="00A30726" w:rsidP="000F0ACB">
            <w:pPr>
              <w:spacing w:line="240" w:lineRule="auto"/>
              <w:rPr>
                <w:sz w:val="20"/>
                <w:szCs w:val="20"/>
              </w:rPr>
            </w:pPr>
            <w:r>
              <w:rPr>
                <w:sz w:val="20"/>
                <w:szCs w:val="20"/>
              </w:rPr>
              <w:t>Desmopressin Kontrolle ohne Partikel</w:t>
            </w:r>
          </w:p>
        </w:tc>
        <w:tc>
          <w:tcPr>
            <w:tcW w:w="1701" w:type="dxa"/>
            <w:tcBorders>
              <w:top w:val="single" w:sz="8" w:space="0" w:color="auto"/>
              <w:left w:val="single" w:sz="8" w:space="0" w:color="auto"/>
            </w:tcBorders>
            <w:vAlign w:val="center"/>
          </w:tcPr>
          <w:p w14:paraId="438674B9" w14:textId="77777777" w:rsidR="000F0ACB" w:rsidRPr="00902A1D" w:rsidRDefault="000939E1" w:rsidP="000F0ACB">
            <w:pPr>
              <w:spacing w:line="240" w:lineRule="auto"/>
              <w:jc w:val="center"/>
              <w:rPr>
                <w:sz w:val="20"/>
                <w:szCs w:val="20"/>
              </w:rPr>
            </w:pPr>
            <w:r w:rsidRPr="00902A1D">
              <w:rPr>
                <w:sz w:val="20"/>
                <w:szCs w:val="20"/>
              </w:rPr>
              <w:t>19,6</w:t>
            </w:r>
          </w:p>
        </w:tc>
        <w:tc>
          <w:tcPr>
            <w:tcW w:w="2126" w:type="dxa"/>
            <w:tcBorders>
              <w:top w:val="single" w:sz="8" w:space="0" w:color="auto"/>
            </w:tcBorders>
            <w:vAlign w:val="center"/>
          </w:tcPr>
          <w:p w14:paraId="1838A73D" w14:textId="77777777" w:rsidR="000F0ACB" w:rsidRPr="00902A1D" w:rsidRDefault="000939E1" w:rsidP="000F0ACB">
            <w:pPr>
              <w:spacing w:line="240" w:lineRule="auto"/>
              <w:jc w:val="center"/>
              <w:rPr>
                <w:sz w:val="20"/>
                <w:szCs w:val="20"/>
              </w:rPr>
            </w:pPr>
            <w:r w:rsidRPr="00902A1D">
              <w:rPr>
                <w:sz w:val="20"/>
                <w:szCs w:val="20"/>
              </w:rPr>
              <w:t>58,1</w:t>
            </w:r>
          </w:p>
        </w:tc>
        <w:tc>
          <w:tcPr>
            <w:tcW w:w="1559" w:type="dxa"/>
            <w:tcBorders>
              <w:top w:val="single" w:sz="8" w:space="0" w:color="auto"/>
            </w:tcBorders>
            <w:vAlign w:val="center"/>
          </w:tcPr>
          <w:p w14:paraId="50749451" w14:textId="77777777" w:rsidR="000F0ACB" w:rsidRPr="00902A1D" w:rsidRDefault="000939E1" w:rsidP="000939E1">
            <w:pPr>
              <w:spacing w:line="240" w:lineRule="auto"/>
              <w:jc w:val="center"/>
              <w:rPr>
                <w:sz w:val="20"/>
                <w:szCs w:val="20"/>
              </w:rPr>
            </w:pPr>
            <w:r w:rsidRPr="00902A1D">
              <w:rPr>
                <w:sz w:val="20"/>
                <w:szCs w:val="20"/>
              </w:rPr>
              <w:t>ohne Partikel</w:t>
            </w:r>
          </w:p>
        </w:tc>
        <w:tc>
          <w:tcPr>
            <w:tcW w:w="1667" w:type="dxa"/>
            <w:tcBorders>
              <w:top w:val="single" w:sz="8" w:space="0" w:color="auto"/>
              <w:right w:val="single" w:sz="8" w:space="0" w:color="auto"/>
            </w:tcBorders>
            <w:vAlign w:val="center"/>
          </w:tcPr>
          <w:p w14:paraId="236ADA5E" w14:textId="77777777" w:rsidR="000F0ACB" w:rsidRPr="00902A1D" w:rsidRDefault="000939E1" w:rsidP="000F0ACB">
            <w:pPr>
              <w:spacing w:line="240" w:lineRule="auto"/>
              <w:jc w:val="center"/>
              <w:rPr>
                <w:sz w:val="20"/>
                <w:szCs w:val="20"/>
              </w:rPr>
            </w:pPr>
            <w:r w:rsidRPr="00902A1D">
              <w:rPr>
                <w:sz w:val="20"/>
                <w:szCs w:val="20"/>
              </w:rPr>
              <w:t>ohne Partikel</w:t>
            </w:r>
          </w:p>
        </w:tc>
      </w:tr>
      <w:tr w:rsidR="000F0ACB" w14:paraId="72D94D39" w14:textId="77777777" w:rsidTr="00902A1D">
        <w:trPr>
          <w:trHeight w:val="340"/>
        </w:trPr>
        <w:tc>
          <w:tcPr>
            <w:tcW w:w="2235" w:type="dxa"/>
            <w:tcBorders>
              <w:top w:val="single" w:sz="8" w:space="0" w:color="auto"/>
              <w:left w:val="single" w:sz="8" w:space="0" w:color="auto"/>
              <w:bottom w:val="single" w:sz="8" w:space="0" w:color="auto"/>
              <w:right w:val="single" w:sz="8" w:space="0" w:color="auto"/>
            </w:tcBorders>
            <w:shd w:val="clear" w:color="auto" w:fill="E6E6E6"/>
            <w:vAlign w:val="center"/>
          </w:tcPr>
          <w:p w14:paraId="493610A3" w14:textId="77777777" w:rsidR="000F0ACB" w:rsidRPr="000F0ACB" w:rsidRDefault="000F0ACB" w:rsidP="000F0ACB">
            <w:pPr>
              <w:spacing w:line="240" w:lineRule="auto"/>
              <w:rPr>
                <w:sz w:val="20"/>
                <w:szCs w:val="20"/>
              </w:rPr>
            </w:pPr>
            <w:r w:rsidRPr="000F0ACB">
              <w:rPr>
                <w:sz w:val="20"/>
                <w:szCs w:val="20"/>
              </w:rPr>
              <w:t>PLGA Partikel</w:t>
            </w:r>
          </w:p>
        </w:tc>
        <w:tc>
          <w:tcPr>
            <w:tcW w:w="1701" w:type="dxa"/>
            <w:tcBorders>
              <w:left w:val="single" w:sz="8" w:space="0" w:color="auto"/>
            </w:tcBorders>
            <w:vAlign w:val="center"/>
          </w:tcPr>
          <w:p w14:paraId="3A2915DB" w14:textId="77777777" w:rsidR="000F0ACB" w:rsidRPr="00902A1D" w:rsidRDefault="000939E1" w:rsidP="000F0ACB">
            <w:pPr>
              <w:spacing w:line="240" w:lineRule="auto"/>
              <w:jc w:val="center"/>
              <w:rPr>
                <w:sz w:val="20"/>
                <w:szCs w:val="20"/>
              </w:rPr>
            </w:pPr>
            <w:r w:rsidRPr="00902A1D">
              <w:rPr>
                <w:sz w:val="20"/>
                <w:szCs w:val="20"/>
              </w:rPr>
              <w:t>12,7</w:t>
            </w:r>
          </w:p>
        </w:tc>
        <w:tc>
          <w:tcPr>
            <w:tcW w:w="2126" w:type="dxa"/>
            <w:vAlign w:val="center"/>
          </w:tcPr>
          <w:p w14:paraId="553847D3" w14:textId="77777777" w:rsidR="000F0ACB" w:rsidRPr="00902A1D" w:rsidRDefault="000939E1" w:rsidP="000F0ACB">
            <w:pPr>
              <w:spacing w:line="240" w:lineRule="auto"/>
              <w:jc w:val="center"/>
              <w:rPr>
                <w:sz w:val="20"/>
                <w:szCs w:val="20"/>
              </w:rPr>
            </w:pPr>
            <w:r w:rsidRPr="00902A1D">
              <w:rPr>
                <w:sz w:val="20"/>
                <w:szCs w:val="20"/>
              </w:rPr>
              <w:t>38,7</w:t>
            </w:r>
          </w:p>
        </w:tc>
        <w:tc>
          <w:tcPr>
            <w:tcW w:w="1559" w:type="dxa"/>
            <w:vAlign w:val="center"/>
          </w:tcPr>
          <w:p w14:paraId="6B285E9D" w14:textId="77777777" w:rsidR="000F0ACB" w:rsidRPr="00902A1D" w:rsidRDefault="00F72E6D" w:rsidP="000939E1">
            <w:pPr>
              <w:spacing w:line="240" w:lineRule="auto"/>
              <w:jc w:val="center"/>
              <w:rPr>
                <w:sz w:val="20"/>
                <w:szCs w:val="20"/>
              </w:rPr>
            </w:pPr>
            <w:r>
              <w:rPr>
                <w:sz w:val="20"/>
                <w:szCs w:val="20"/>
              </w:rPr>
              <w:t>&lt;1</w:t>
            </w:r>
          </w:p>
        </w:tc>
        <w:tc>
          <w:tcPr>
            <w:tcW w:w="1667" w:type="dxa"/>
            <w:tcBorders>
              <w:right w:val="single" w:sz="8" w:space="0" w:color="auto"/>
            </w:tcBorders>
            <w:vAlign w:val="center"/>
          </w:tcPr>
          <w:p w14:paraId="06C29BA2" w14:textId="77777777" w:rsidR="000F0ACB" w:rsidRPr="00902A1D" w:rsidRDefault="00F72E6D" w:rsidP="000F0ACB">
            <w:pPr>
              <w:spacing w:line="240" w:lineRule="auto"/>
              <w:jc w:val="center"/>
              <w:rPr>
                <w:sz w:val="20"/>
                <w:szCs w:val="20"/>
              </w:rPr>
            </w:pPr>
            <w:r>
              <w:rPr>
                <w:sz w:val="20"/>
                <w:szCs w:val="20"/>
              </w:rPr>
              <w:t>&lt;1</w:t>
            </w:r>
          </w:p>
        </w:tc>
      </w:tr>
      <w:tr w:rsidR="000F0ACB" w14:paraId="04BC2839" w14:textId="77777777" w:rsidTr="00902A1D">
        <w:trPr>
          <w:trHeight w:val="340"/>
        </w:trPr>
        <w:tc>
          <w:tcPr>
            <w:tcW w:w="2235" w:type="dxa"/>
            <w:tcBorders>
              <w:top w:val="single" w:sz="8" w:space="0" w:color="auto"/>
              <w:left w:val="single" w:sz="8" w:space="0" w:color="auto"/>
              <w:bottom w:val="single" w:sz="8" w:space="0" w:color="auto"/>
              <w:right w:val="single" w:sz="8" w:space="0" w:color="auto"/>
            </w:tcBorders>
            <w:shd w:val="clear" w:color="auto" w:fill="E6E6E6"/>
            <w:vAlign w:val="center"/>
          </w:tcPr>
          <w:p w14:paraId="15746677" w14:textId="77777777" w:rsidR="000F0ACB" w:rsidRPr="000F0ACB" w:rsidRDefault="000F0ACB" w:rsidP="000F0ACB">
            <w:pPr>
              <w:spacing w:line="240" w:lineRule="auto"/>
              <w:rPr>
                <w:sz w:val="20"/>
                <w:szCs w:val="20"/>
              </w:rPr>
            </w:pPr>
            <w:r w:rsidRPr="000F0ACB">
              <w:rPr>
                <w:sz w:val="20"/>
                <w:szCs w:val="20"/>
              </w:rPr>
              <w:t>PLGA Partikel +hLF</w:t>
            </w:r>
          </w:p>
        </w:tc>
        <w:tc>
          <w:tcPr>
            <w:tcW w:w="1701" w:type="dxa"/>
            <w:tcBorders>
              <w:left w:val="single" w:sz="8" w:space="0" w:color="auto"/>
            </w:tcBorders>
            <w:vAlign w:val="center"/>
          </w:tcPr>
          <w:p w14:paraId="2D8BA64B" w14:textId="77777777" w:rsidR="000F0ACB" w:rsidRPr="00902A1D" w:rsidRDefault="000939E1" w:rsidP="000F0ACB">
            <w:pPr>
              <w:spacing w:line="240" w:lineRule="auto"/>
              <w:jc w:val="center"/>
              <w:rPr>
                <w:sz w:val="20"/>
                <w:szCs w:val="20"/>
              </w:rPr>
            </w:pPr>
            <w:r w:rsidRPr="00902A1D">
              <w:rPr>
                <w:sz w:val="20"/>
                <w:szCs w:val="20"/>
              </w:rPr>
              <w:t>29,7</w:t>
            </w:r>
          </w:p>
        </w:tc>
        <w:tc>
          <w:tcPr>
            <w:tcW w:w="2126" w:type="dxa"/>
            <w:vAlign w:val="center"/>
          </w:tcPr>
          <w:p w14:paraId="61775486" w14:textId="77777777" w:rsidR="000F0ACB" w:rsidRPr="00902A1D" w:rsidRDefault="000939E1" w:rsidP="000F0ACB">
            <w:pPr>
              <w:spacing w:line="240" w:lineRule="auto"/>
              <w:jc w:val="center"/>
              <w:rPr>
                <w:sz w:val="20"/>
                <w:szCs w:val="20"/>
              </w:rPr>
            </w:pPr>
            <w:r w:rsidRPr="00902A1D">
              <w:rPr>
                <w:sz w:val="20"/>
                <w:szCs w:val="20"/>
              </w:rPr>
              <w:t>66,1</w:t>
            </w:r>
          </w:p>
        </w:tc>
        <w:tc>
          <w:tcPr>
            <w:tcW w:w="1559" w:type="dxa"/>
            <w:vAlign w:val="center"/>
          </w:tcPr>
          <w:p w14:paraId="39F28B3F" w14:textId="77777777" w:rsidR="000F0ACB" w:rsidRPr="00902A1D" w:rsidRDefault="00F72E6D" w:rsidP="000939E1">
            <w:pPr>
              <w:spacing w:line="240" w:lineRule="auto"/>
              <w:jc w:val="center"/>
              <w:rPr>
                <w:sz w:val="20"/>
                <w:szCs w:val="20"/>
              </w:rPr>
            </w:pPr>
            <w:r>
              <w:rPr>
                <w:sz w:val="20"/>
                <w:szCs w:val="20"/>
              </w:rPr>
              <w:t>&lt;1</w:t>
            </w:r>
          </w:p>
        </w:tc>
        <w:tc>
          <w:tcPr>
            <w:tcW w:w="1667" w:type="dxa"/>
            <w:tcBorders>
              <w:right w:val="single" w:sz="8" w:space="0" w:color="auto"/>
            </w:tcBorders>
            <w:vAlign w:val="center"/>
          </w:tcPr>
          <w:p w14:paraId="28D4BF50" w14:textId="77777777" w:rsidR="000F0ACB" w:rsidRPr="00902A1D" w:rsidRDefault="00F72E6D" w:rsidP="000F0ACB">
            <w:pPr>
              <w:spacing w:line="240" w:lineRule="auto"/>
              <w:jc w:val="center"/>
              <w:rPr>
                <w:sz w:val="20"/>
                <w:szCs w:val="20"/>
              </w:rPr>
            </w:pPr>
            <w:r>
              <w:rPr>
                <w:sz w:val="20"/>
                <w:szCs w:val="20"/>
              </w:rPr>
              <w:t>&lt;1</w:t>
            </w:r>
          </w:p>
        </w:tc>
      </w:tr>
      <w:tr w:rsidR="000F0ACB" w14:paraId="43251B4C" w14:textId="77777777" w:rsidTr="00902A1D">
        <w:trPr>
          <w:trHeight w:val="340"/>
        </w:trPr>
        <w:tc>
          <w:tcPr>
            <w:tcW w:w="2235" w:type="dxa"/>
            <w:tcBorders>
              <w:top w:val="single" w:sz="8" w:space="0" w:color="auto"/>
              <w:left w:val="single" w:sz="8" w:space="0" w:color="auto"/>
              <w:bottom w:val="single" w:sz="8" w:space="0" w:color="auto"/>
              <w:right w:val="single" w:sz="8" w:space="0" w:color="auto"/>
            </w:tcBorders>
            <w:shd w:val="clear" w:color="auto" w:fill="E6E6E6"/>
            <w:vAlign w:val="center"/>
          </w:tcPr>
          <w:p w14:paraId="415FC31C" w14:textId="77777777" w:rsidR="000F0ACB" w:rsidRPr="000F0ACB" w:rsidRDefault="000F0ACB" w:rsidP="000F0ACB">
            <w:pPr>
              <w:spacing w:line="240" w:lineRule="auto"/>
              <w:rPr>
                <w:sz w:val="20"/>
                <w:szCs w:val="20"/>
              </w:rPr>
            </w:pPr>
            <w:r w:rsidRPr="000F0ACB">
              <w:rPr>
                <w:sz w:val="20"/>
                <w:szCs w:val="20"/>
              </w:rPr>
              <w:t>PEA Cystein Partikel</w:t>
            </w:r>
          </w:p>
        </w:tc>
        <w:tc>
          <w:tcPr>
            <w:tcW w:w="1701" w:type="dxa"/>
            <w:tcBorders>
              <w:left w:val="single" w:sz="8" w:space="0" w:color="auto"/>
            </w:tcBorders>
            <w:vAlign w:val="center"/>
          </w:tcPr>
          <w:p w14:paraId="11CCF00D" w14:textId="77777777" w:rsidR="000F0ACB" w:rsidRPr="00902A1D" w:rsidRDefault="000939E1" w:rsidP="000F0ACB">
            <w:pPr>
              <w:spacing w:line="240" w:lineRule="auto"/>
              <w:jc w:val="center"/>
              <w:rPr>
                <w:sz w:val="20"/>
                <w:szCs w:val="20"/>
              </w:rPr>
            </w:pPr>
            <w:r w:rsidRPr="00902A1D">
              <w:rPr>
                <w:sz w:val="20"/>
                <w:szCs w:val="20"/>
              </w:rPr>
              <w:t>18,1</w:t>
            </w:r>
          </w:p>
        </w:tc>
        <w:tc>
          <w:tcPr>
            <w:tcW w:w="2126" w:type="dxa"/>
            <w:vAlign w:val="center"/>
          </w:tcPr>
          <w:p w14:paraId="7E21E541" w14:textId="77777777" w:rsidR="000F0ACB" w:rsidRPr="00902A1D" w:rsidRDefault="000939E1" w:rsidP="000F0ACB">
            <w:pPr>
              <w:spacing w:line="240" w:lineRule="auto"/>
              <w:jc w:val="center"/>
              <w:rPr>
                <w:sz w:val="20"/>
                <w:szCs w:val="20"/>
              </w:rPr>
            </w:pPr>
            <w:r w:rsidRPr="00902A1D">
              <w:rPr>
                <w:sz w:val="20"/>
                <w:szCs w:val="20"/>
              </w:rPr>
              <w:t>62,0</w:t>
            </w:r>
          </w:p>
        </w:tc>
        <w:tc>
          <w:tcPr>
            <w:tcW w:w="1559" w:type="dxa"/>
            <w:vAlign w:val="center"/>
          </w:tcPr>
          <w:p w14:paraId="7564FA34" w14:textId="77777777" w:rsidR="000F0ACB" w:rsidRPr="00902A1D" w:rsidRDefault="00F72E6D" w:rsidP="000939E1">
            <w:pPr>
              <w:spacing w:line="240" w:lineRule="auto"/>
              <w:jc w:val="center"/>
              <w:rPr>
                <w:sz w:val="20"/>
                <w:szCs w:val="20"/>
              </w:rPr>
            </w:pPr>
            <w:r>
              <w:rPr>
                <w:sz w:val="20"/>
                <w:szCs w:val="20"/>
              </w:rPr>
              <w:t>&lt;1</w:t>
            </w:r>
          </w:p>
        </w:tc>
        <w:tc>
          <w:tcPr>
            <w:tcW w:w="1667" w:type="dxa"/>
            <w:tcBorders>
              <w:right w:val="single" w:sz="8" w:space="0" w:color="auto"/>
            </w:tcBorders>
            <w:vAlign w:val="center"/>
          </w:tcPr>
          <w:p w14:paraId="3DDF8604" w14:textId="77777777" w:rsidR="000F0ACB" w:rsidRPr="00902A1D" w:rsidRDefault="00F72E6D" w:rsidP="000F0ACB">
            <w:pPr>
              <w:spacing w:line="240" w:lineRule="auto"/>
              <w:jc w:val="center"/>
              <w:rPr>
                <w:sz w:val="20"/>
                <w:szCs w:val="20"/>
              </w:rPr>
            </w:pPr>
            <w:r>
              <w:rPr>
                <w:sz w:val="20"/>
                <w:szCs w:val="20"/>
              </w:rPr>
              <w:t>&lt;1</w:t>
            </w:r>
          </w:p>
        </w:tc>
      </w:tr>
      <w:tr w:rsidR="000F0ACB" w14:paraId="6710757C" w14:textId="77777777" w:rsidTr="00902A1D">
        <w:trPr>
          <w:trHeight w:val="340"/>
        </w:trPr>
        <w:tc>
          <w:tcPr>
            <w:tcW w:w="2235" w:type="dxa"/>
            <w:tcBorders>
              <w:top w:val="single" w:sz="8" w:space="0" w:color="auto"/>
              <w:left w:val="single" w:sz="8" w:space="0" w:color="auto"/>
              <w:bottom w:val="single" w:sz="8" w:space="0" w:color="auto"/>
              <w:right w:val="single" w:sz="8" w:space="0" w:color="auto"/>
            </w:tcBorders>
            <w:shd w:val="clear" w:color="auto" w:fill="E6E6E6"/>
            <w:vAlign w:val="center"/>
          </w:tcPr>
          <w:p w14:paraId="01951645" w14:textId="77777777" w:rsidR="000F0ACB" w:rsidRPr="000F0ACB" w:rsidRDefault="000F0ACB" w:rsidP="000F0ACB">
            <w:pPr>
              <w:spacing w:line="240" w:lineRule="auto"/>
              <w:rPr>
                <w:sz w:val="20"/>
                <w:szCs w:val="20"/>
              </w:rPr>
            </w:pPr>
            <w:r w:rsidRPr="000F0ACB">
              <w:rPr>
                <w:sz w:val="20"/>
                <w:szCs w:val="20"/>
              </w:rPr>
              <w:t>PEA Asparaginsäure Partikel</w:t>
            </w:r>
          </w:p>
        </w:tc>
        <w:tc>
          <w:tcPr>
            <w:tcW w:w="1701" w:type="dxa"/>
            <w:tcBorders>
              <w:left w:val="single" w:sz="8" w:space="0" w:color="auto"/>
              <w:bottom w:val="single" w:sz="8" w:space="0" w:color="auto"/>
            </w:tcBorders>
            <w:vAlign w:val="center"/>
          </w:tcPr>
          <w:p w14:paraId="4F83F882" w14:textId="77777777" w:rsidR="000F0ACB" w:rsidRPr="00902A1D" w:rsidRDefault="000939E1" w:rsidP="000F0ACB">
            <w:pPr>
              <w:spacing w:line="240" w:lineRule="auto"/>
              <w:jc w:val="center"/>
              <w:rPr>
                <w:sz w:val="20"/>
                <w:szCs w:val="20"/>
              </w:rPr>
            </w:pPr>
            <w:r w:rsidRPr="00902A1D">
              <w:rPr>
                <w:sz w:val="20"/>
                <w:szCs w:val="20"/>
              </w:rPr>
              <w:t>27,9</w:t>
            </w:r>
          </w:p>
        </w:tc>
        <w:tc>
          <w:tcPr>
            <w:tcW w:w="2126" w:type="dxa"/>
            <w:tcBorders>
              <w:bottom w:val="single" w:sz="8" w:space="0" w:color="auto"/>
            </w:tcBorders>
            <w:vAlign w:val="center"/>
          </w:tcPr>
          <w:p w14:paraId="14E169D9" w14:textId="77777777" w:rsidR="000F0ACB" w:rsidRPr="00902A1D" w:rsidRDefault="000939E1" w:rsidP="000F0ACB">
            <w:pPr>
              <w:spacing w:line="240" w:lineRule="auto"/>
              <w:jc w:val="center"/>
              <w:rPr>
                <w:sz w:val="20"/>
                <w:szCs w:val="20"/>
              </w:rPr>
            </w:pPr>
            <w:r w:rsidRPr="00902A1D">
              <w:rPr>
                <w:sz w:val="20"/>
                <w:szCs w:val="20"/>
              </w:rPr>
              <w:t>71,3</w:t>
            </w:r>
          </w:p>
        </w:tc>
        <w:tc>
          <w:tcPr>
            <w:tcW w:w="1559" w:type="dxa"/>
            <w:tcBorders>
              <w:bottom w:val="single" w:sz="8" w:space="0" w:color="auto"/>
            </w:tcBorders>
            <w:vAlign w:val="center"/>
          </w:tcPr>
          <w:p w14:paraId="26A667E0" w14:textId="77777777" w:rsidR="000F0ACB" w:rsidRPr="00902A1D" w:rsidRDefault="00F72E6D" w:rsidP="000939E1">
            <w:pPr>
              <w:spacing w:line="240" w:lineRule="auto"/>
              <w:jc w:val="center"/>
              <w:rPr>
                <w:sz w:val="20"/>
                <w:szCs w:val="20"/>
              </w:rPr>
            </w:pPr>
            <w:r>
              <w:rPr>
                <w:sz w:val="20"/>
                <w:szCs w:val="20"/>
              </w:rPr>
              <w:t>&lt;1</w:t>
            </w:r>
          </w:p>
        </w:tc>
        <w:tc>
          <w:tcPr>
            <w:tcW w:w="1667" w:type="dxa"/>
            <w:tcBorders>
              <w:bottom w:val="single" w:sz="8" w:space="0" w:color="auto"/>
              <w:right w:val="single" w:sz="8" w:space="0" w:color="auto"/>
            </w:tcBorders>
            <w:vAlign w:val="center"/>
          </w:tcPr>
          <w:p w14:paraId="58EBBF23" w14:textId="77777777" w:rsidR="000F0ACB" w:rsidRPr="00902A1D" w:rsidRDefault="00F72E6D" w:rsidP="000F0ACB">
            <w:pPr>
              <w:spacing w:line="240" w:lineRule="auto"/>
              <w:jc w:val="center"/>
              <w:rPr>
                <w:sz w:val="20"/>
                <w:szCs w:val="20"/>
              </w:rPr>
            </w:pPr>
            <w:r>
              <w:rPr>
                <w:sz w:val="20"/>
                <w:szCs w:val="20"/>
              </w:rPr>
              <w:t>&lt;1</w:t>
            </w:r>
          </w:p>
        </w:tc>
      </w:tr>
    </w:tbl>
    <w:p w14:paraId="7D77F2BB" w14:textId="77777777" w:rsidR="000F0ACB" w:rsidRDefault="000F0ACB" w:rsidP="00A96EA1"/>
    <w:p w14:paraId="7DA7E438" w14:textId="77777777" w:rsidR="000939E1" w:rsidRDefault="00902A1D" w:rsidP="00A96EA1">
      <w:r>
        <w:t>Da die Fluoreszenzintensität aller</w:t>
      </w:r>
      <w:r w:rsidR="00773145">
        <w:t xml:space="preserve"> Proben aus dem Akzeptorkompartiment unterhalb der Na</w:t>
      </w:r>
      <w:r w:rsidR="00F72E6D">
        <w:t>chweisgrenze lag</w:t>
      </w:r>
      <w:r w:rsidR="00773145">
        <w:t>, konnte kein Trans</w:t>
      </w:r>
      <w:r w:rsidR="00E11D6B">
        <w:t>port von Partikeln durch das simulierte Cac</w:t>
      </w:r>
      <w:r w:rsidR="00773145">
        <w:t>o-2 D</w:t>
      </w:r>
      <w:r w:rsidR="00F33E02">
        <w:t>armepithel nachgewiesen werden.</w:t>
      </w:r>
      <w:r w:rsidR="008D5357">
        <w:t xml:space="preserve"> A</w:t>
      </w:r>
      <w:r w:rsidR="00F72E6D">
        <w:t xml:space="preserve">ufgrund der </w:t>
      </w:r>
      <w:r w:rsidR="00D40BF2">
        <w:t>Sensibilität</w:t>
      </w:r>
      <w:r w:rsidR="008D5357">
        <w:t xml:space="preserve"> der analytischen Methode kann somit </w:t>
      </w:r>
      <w:r w:rsidR="00F72E6D">
        <w:t>lediglich ausgeschlossen werden, dass mehr als 1% der eingesetzten Partikel über die Zellbarriere transportiert wurden.</w:t>
      </w:r>
      <w:r w:rsidR="008D5357">
        <w:t xml:space="preserve"> Für den Bereich zwischen 0% und 1% kann keine Aussage getroffen werden.</w:t>
      </w:r>
    </w:p>
    <w:p w14:paraId="2CEB34F3" w14:textId="77777777" w:rsidR="002C6C38" w:rsidRDefault="00322DE8" w:rsidP="002C6C38">
      <w:r>
        <w:t>Die Anga</w:t>
      </w:r>
      <w:r w:rsidR="006C39BC">
        <w:t>ben des Desmopressin</w:t>
      </w:r>
      <w:r w:rsidR="00630E96">
        <w:t>t</w:t>
      </w:r>
      <w:r w:rsidR="00CE6136">
        <w:t>ransportes in</w:t>
      </w:r>
      <w:r w:rsidR="00475B55">
        <w:t xml:space="preserve"> </w:t>
      </w:r>
      <w:r w:rsidR="00D16240">
        <w:fldChar w:fldCharType="begin"/>
      </w:r>
      <w:r w:rsidR="00475B55">
        <w:instrText xml:space="preserve"> REF _Ref413353489 \h </w:instrText>
      </w:r>
      <w:r w:rsidR="00D16240">
        <w:fldChar w:fldCharType="separate"/>
      </w:r>
      <w:r w:rsidR="00711AB8" w:rsidRPr="00A30726">
        <w:t xml:space="preserve">Tabelle </w:t>
      </w:r>
      <w:r w:rsidR="00711AB8">
        <w:rPr>
          <w:noProof/>
        </w:rPr>
        <w:t>32</w:t>
      </w:r>
      <w:r w:rsidR="00D16240">
        <w:fldChar w:fldCharType="end"/>
      </w:r>
      <w:r w:rsidR="00475B55">
        <w:t xml:space="preserve"> </w:t>
      </w:r>
      <w:r w:rsidR="00CE6136">
        <w:t>beziehen sich auf den Anteil des eingesetzten Wirkstoffes, der d</w:t>
      </w:r>
      <w:r>
        <w:t>ie Epithelschicht passiert hat.</w:t>
      </w:r>
    </w:p>
    <w:p w14:paraId="565B2AD0" w14:textId="77777777" w:rsidR="0057193B" w:rsidRDefault="00CE6136" w:rsidP="002C6C38">
      <w:r>
        <w:t>Bei den Ergebnissen</w:t>
      </w:r>
      <w:r w:rsidR="00F33E02">
        <w:t xml:space="preserve"> in</w:t>
      </w:r>
      <w:r w:rsidR="00475B55">
        <w:t xml:space="preserve"> </w:t>
      </w:r>
      <w:r w:rsidR="00D16240">
        <w:fldChar w:fldCharType="begin"/>
      </w:r>
      <w:r w:rsidR="00475B55">
        <w:instrText xml:space="preserve"> REF _Ref413353489 \h </w:instrText>
      </w:r>
      <w:r w:rsidR="00D16240">
        <w:fldChar w:fldCharType="separate"/>
      </w:r>
      <w:r w:rsidR="00711AB8" w:rsidRPr="00A30726">
        <w:t xml:space="preserve">Tabelle </w:t>
      </w:r>
      <w:r w:rsidR="00711AB8">
        <w:rPr>
          <w:noProof/>
        </w:rPr>
        <w:t>32</w:t>
      </w:r>
      <w:r w:rsidR="00D16240">
        <w:fldChar w:fldCharType="end"/>
      </w:r>
      <w:r w:rsidR="00475B55">
        <w:t xml:space="preserve"> </w:t>
      </w:r>
      <w:r>
        <w:t>fällt</w:t>
      </w:r>
      <w:r w:rsidR="00F33E02">
        <w:t xml:space="preserve"> zunächst</w:t>
      </w:r>
      <w:r>
        <w:t xml:space="preserve"> auf, dass der</w:t>
      </w:r>
      <w:r w:rsidR="00902A1D">
        <w:t xml:space="preserve"> Transport des nich</w:t>
      </w:r>
      <w:r>
        <w:t>t formulierten Desmopressins</w:t>
      </w:r>
      <w:r w:rsidR="00902A1D">
        <w:t xml:space="preserve"> mit 19,6% bereits unerwartet hoch</w:t>
      </w:r>
      <w:r>
        <w:t xml:space="preserve"> war</w:t>
      </w:r>
      <w:r w:rsidR="00BB5216">
        <w:t>. Kahns et al. ermittelten</w:t>
      </w:r>
      <w:r w:rsidR="00F72E6D">
        <w:t xml:space="preserve"> im Transwell-</w:t>
      </w:r>
      <w:r w:rsidR="0057193B">
        <w:t>Transport</w:t>
      </w:r>
      <w:r w:rsidR="00E11D6B">
        <w:t>test durch einen konfluenten Cac</w:t>
      </w:r>
      <w:r w:rsidR="0057193B">
        <w:t>o-2 Monolayer für Desmopressin</w:t>
      </w:r>
      <w:r w:rsidR="00BB5216">
        <w:t xml:space="preserve"> einen Permeationskoeffizienten </w:t>
      </w:r>
      <w:r w:rsidR="0057193B">
        <w:t>von 5,12 * 10</w:t>
      </w:r>
      <w:r w:rsidR="0057193B">
        <w:rPr>
          <w:vertAlign w:val="superscript"/>
        </w:rPr>
        <w:t>-7</w:t>
      </w:r>
      <w:r w:rsidR="0057193B">
        <w:t xml:space="preserve"> cm/s</w:t>
      </w:r>
      <w:r w:rsidR="008D5357">
        <w:t xml:space="preserve"> </w:t>
      </w:r>
      <w:r w:rsidR="0057193B">
        <w:rPr>
          <w:rStyle w:val="Endnotenzeichen"/>
        </w:rPr>
        <w:endnoteReference w:id="166"/>
      </w:r>
      <w:r w:rsidR="0057193B">
        <w:t>.</w:t>
      </w:r>
      <w:r w:rsidR="00880C1B">
        <w:t xml:space="preserve"> Dieser Wert liegt im Bereich schlecht permeabler Substanzen und würde nach 6 Stunden </w:t>
      </w:r>
      <w:r w:rsidR="00630E96">
        <w:t xml:space="preserve">lediglich </w:t>
      </w:r>
      <w:r w:rsidR="00880C1B">
        <w:t>einen Transport von ca. 2 bis maximal 6%</w:t>
      </w:r>
      <w:r w:rsidR="00630E96">
        <w:t xml:space="preserve"> der eingesetzten Desmopressinm</w:t>
      </w:r>
      <w:r w:rsidR="00880C1B">
        <w:t>enge über die Barriere erwarten lassen</w:t>
      </w:r>
      <w:r w:rsidR="00880C1B">
        <w:rPr>
          <w:rStyle w:val="Endnotenzeichen"/>
        </w:rPr>
        <w:endnoteReference w:id="167"/>
      </w:r>
      <w:r w:rsidR="00880C1B">
        <w:t>.</w:t>
      </w:r>
    </w:p>
    <w:p w14:paraId="028653EB" w14:textId="77777777" w:rsidR="007C02B7" w:rsidRPr="00CE6136" w:rsidRDefault="002F69E4" w:rsidP="00A96EA1">
      <w:r>
        <w:t>D</w:t>
      </w:r>
      <w:r w:rsidR="001C03BA">
        <w:t>ie Formulierung der unb</w:t>
      </w:r>
      <w:r>
        <w:t>eschichteten PLGA Partikel zeigte gegenüber der Kontrolle einen verminderten Transport von 12,7%</w:t>
      </w:r>
      <w:r w:rsidR="001C03BA">
        <w:t>. Allerdings konnten in diesem Versuch lediglich 37,8% des Wirkstoffes die reine Matrix ohne Zellen passieren. Daher ist nicht klar, ob der Transport aufgru</w:t>
      </w:r>
      <w:r w:rsidR="00F33E02">
        <w:t>nd der reduzierten Durchlässigkeit</w:t>
      </w:r>
      <w:r w:rsidR="001C03BA">
        <w:t xml:space="preserve"> der </w:t>
      </w:r>
      <w:r w:rsidR="00880C1B">
        <w:t xml:space="preserve">reinen </w:t>
      </w:r>
      <w:r w:rsidR="001C03BA">
        <w:t>Matrix geringer ausgefallen ist, oder ob der Effek</w:t>
      </w:r>
      <w:r>
        <w:t>t tatsächlich auf die Zellbarriere</w:t>
      </w:r>
      <w:r w:rsidR="001C03BA">
        <w:t xml:space="preserve"> zurückzuführen ist. Die mit hLF beschichteten PLGA Partikel zeigten mit 29,7% die höchste Transportrate für Desmopressin</w:t>
      </w:r>
      <w:r w:rsidR="00F33E02">
        <w:t xml:space="preserve"> und damit eine deutliche Steigerung gegenüber der nicht formulierten Kontrolllösung</w:t>
      </w:r>
      <w:r w:rsidR="001C03BA">
        <w:t xml:space="preserve">. Auch die </w:t>
      </w:r>
      <w:r w:rsidR="00F33E02">
        <w:t>Partikelf</w:t>
      </w:r>
      <w:r w:rsidR="001C03BA">
        <w:t xml:space="preserve">ormulierung </w:t>
      </w:r>
      <w:r>
        <w:t>mit Asparaginsäure PEA führte gegenüber der Kontrolle zu einem erhöhten</w:t>
      </w:r>
      <w:r w:rsidR="00630E96">
        <w:t xml:space="preserve"> Desmopressint</w:t>
      </w:r>
      <w:r w:rsidR="00F33E02">
        <w:t>ransport</w:t>
      </w:r>
      <w:r>
        <w:t>, der jedoch mit 27,9% etwas geringer ausfiel als für PLGA Partikel mit hLF</w:t>
      </w:r>
      <w:r w:rsidR="00F33E02">
        <w:t xml:space="preserve">. Die Formulierung der Cystein PEA Partikel zeigte im Resorptionsmodell keine wesentliche Veränderung </w:t>
      </w:r>
      <w:r w:rsidR="00880C1B">
        <w:t>im Vergleich</w:t>
      </w:r>
      <w:r w:rsidR="00F33E02">
        <w:t xml:space="preserve"> </w:t>
      </w:r>
      <w:r w:rsidR="00880C1B">
        <w:t>zum</w:t>
      </w:r>
      <w:r w:rsidR="00F33E02">
        <w:t xml:space="preserve"> nicht formulierten Desmopress</w:t>
      </w:r>
      <w:r w:rsidR="00880C1B">
        <w:t>in. Nach 6 Stunden wurden 18,1% des Wirkstoffes</w:t>
      </w:r>
      <w:r w:rsidR="00322DE8">
        <w:t xml:space="preserve"> über die Barriere transportiert.</w:t>
      </w:r>
    </w:p>
    <w:p w14:paraId="764E167D" w14:textId="77777777" w:rsidR="00B9793D" w:rsidRDefault="00782BA5" w:rsidP="009337E8">
      <w:pPr>
        <w:pStyle w:val="berschrift3"/>
      </w:pPr>
      <w:bookmarkStart w:id="317" w:name="_Ref278822163"/>
      <w:bookmarkStart w:id="318" w:name="_Toc294380287"/>
      <w:r w:rsidRPr="00255578">
        <w:rPr>
          <w:i/>
        </w:rPr>
        <w:lastRenderedPageBreak/>
        <w:t>I</w:t>
      </w:r>
      <w:r w:rsidR="004C4579" w:rsidRPr="00255578">
        <w:rPr>
          <w:i/>
        </w:rPr>
        <w:t xml:space="preserve">n  </w:t>
      </w:r>
      <w:r w:rsidR="00DC7462" w:rsidRPr="00255578">
        <w:rPr>
          <w:i/>
        </w:rPr>
        <w:t>vivo</w:t>
      </w:r>
      <w:r w:rsidR="00DC7462">
        <w:t>-</w:t>
      </w:r>
      <w:r w:rsidR="00B9793D">
        <w:t>Charakterisierung</w:t>
      </w:r>
      <w:bookmarkEnd w:id="317"/>
      <w:bookmarkEnd w:id="318"/>
    </w:p>
    <w:p w14:paraId="2CC1BB7D" w14:textId="77777777" w:rsidR="00B96FB0" w:rsidRDefault="00B96FB0" w:rsidP="004C7B36">
      <w:r>
        <w:t xml:space="preserve">Die </w:t>
      </w:r>
      <w:r w:rsidRPr="00B96FB0">
        <w:rPr>
          <w:i/>
        </w:rPr>
        <w:t>in vivo</w:t>
      </w:r>
      <w:r>
        <w:rPr>
          <w:i/>
        </w:rPr>
        <w:t>-</w:t>
      </w:r>
      <w:r w:rsidRPr="00B96FB0">
        <w:t>Charakterisierung der</w:t>
      </w:r>
      <w:r>
        <w:t xml:space="preserve"> Desmopressin Formulierungen beschäftigt sich im Wesentlichen mit der Untersuchung der Bioverfügbarkeit von Desmop</w:t>
      </w:r>
      <w:r w:rsidR="00BA3FBD">
        <w:t>ressin nach peroraler und</w:t>
      </w:r>
      <w:r>
        <w:t xml:space="preserve"> rektaler Gabe </w:t>
      </w:r>
      <w:r w:rsidR="00BA3FBD">
        <w:t>der unterschiedlichen Partikelformulierungen, die im Zuge dieser Arbeit entwickelt wurden.</w:t>
      </w:r>
    </w:p>
    <w:p w14:paraId="1F42818E" w14:textId="77777777" w:rsidR="004C7B36" w:rsidRPr="004C7B36" w:rsidRDefault="004C7B36" w:rsidP="004C7B36">
      <w:r>
        <w:t xml:space="preserve">In Vorversuchen </w:t>
      </w:r>
      <w:r w:rsidR="000D47E5">
        <w:t xml:space="preserve">zur </w:t>
      </w:r>
      <w:r w:rsidR="000D47E5" w:rsidRPr="000D47E5">
        <w:rPr>
          <w:i/>
        </w:rPr>
        <w:t>in vivo</w:t>
      </w:r>
      <w:r w:rsidR="000D47E5">
        <w:t xml:space="preserve">-Charakterisierung der Formulierungen </w:t>
      </w:r>
      <w:r>
        <w:t xml:space="preserve">wurde die Analytik von </w:t>
      </w:r>
      <w:r w:rsidR="00E02288">
        <w:t xml:space="preserve">Desmopressin aus </w:t>
      </w:r>
      <w:r w:rsidR="00C105E3">
        <w:t>Blutserumproben</w:t>
      </w:r>
      <w:r>
        <w:t xml:space="preserve"> mittel</w:t>
      </w:r>
      <w:r w:rsidR="00E02288">
        <w:t>s HPLC Methode mi</w:t>
      </w:r>
      <w:r w:rsidR="000D47E5">
        <w:t>t MS Detektion etabliert. Die Nachweisgrenze für Desmopressin</w:t>
      </w:r>
      <w:r w:rsidR="00B96FB0">
        <w:t xml:space="preserve"> in Blutserum</w:t>
      </w:r>
      <w:r w:rsidR="000D47E5">
        <w:t xml:space="preserve"> lag</w:t>
      </w:r>
      <w:r w:rsidR="00026465">
        <w:t xml:space="preserve"> nach erfolgreicher Optimierung der Methode</w:t>
      </w:r>
      <w:r w:rsidR="000D47E5">
        <w:t xml:space="preserve"> bei einer Kon</w:t>
      </w:r>
      <w:r w:rsidR="00B96FB0">
        <w:t>zentration von 2 ng/ml</w:t>
      </w:r>
      <w:r w:rsidR="000D47E5">
        <w:t xml:space="preserve">. </w:t>
      </w:r>
      <w:r w:rsidR="0009705C">
        <w:t>Wirksame Blutspieg</w:t>
      </w:r>
      <w:r w:rsidR="005070D3">
        <w:t>el werden allerdings bereits ab</w:t>
      </w:r>
      <w:r w:rsidR="0009705C">
        <w:t xml:space="preserve"> einer Serumkonzentr</w:t>
      </w:r>
      <w:r w:rsidR="000875B0">
        <w:t>ation zwischen 1 pg/ml und 5 </w:t>
      </w:r>
      <w:r w:rsidR="0009705C">
        <w:t>pg/ml erreicht</w:t>
      </w:r>
      <w:r w:rsidR="000875B0">
        <w:rPr>
          <w:rStyle w:val="Endnotenzeichen"/>
        </w:rPr>
        <w:endnoteReference w:id="168"/>
      </w:r>
      <w:r w:rsidR="0009705C">
        <w:t xml:space="preserve"> und die Konzentrationen nach Gabe einer üblichen therapeutischen Dosis bewegen sich in etwa zwischen 1 pg/ml und 15 pg/ml</w:t>
      </w:r>
      <w:r w:rsidR="00D16240">
        <w:fldChar w:fldCharType="begin"/>
      </w:r>
      <w:r w:rsidR="0009705C">
        <w:instrText xml:space="preserve"> NOTEREF _Ref284440502 \f \h </w:instrText>
      </w:r>
      <w:r w:rsidR="00D16240">
        <w:fldChar w:fldCharType="separate"/>
      </w:r>
      <w:r w:rsidR="00711AB8" w:rsidRPr="00711AB8">
        <w:rPr>
          <w:rStyle w:val="Endnotenzeichen"/>
        </w:rPr>
        <w:t>172</w:t>
      </w:r>
      <w:r w:rsidR="00D16240">
        <w:fldChar w:fldCharType="end"/>
      </w:r>
      <w:r w:rsidR="0009705C">
        <w:t>. Da die zur Verfügung stehende An</w:t>
      </w:r>
      <w:r w:rsidR="00C105E3">
        <w:t>alytik eine zuverlässige Gehaltsbestimmung</w:t>
      </w:r>
      <w:r w:rsidR="0009705C">
        <w:t xml:space="preserve"> in</w:t>
      </w:r>
      <w:r w:rsidR="00C105E3">
        <w:t>nnerhalb dieses</w:t>
      </w:r>
      <w:r w:rsidR="0009705C">
        <w:t xml:space="preserve"> Konzentratiosbereich</w:t>
      </w:r>
      <w:r w:rsidR="00C105E3">
        <w:t>s</w:t>
      </w:r>
      <w:r w:rsidR="0009705C">
        <w:t xml:space="preserve"> nicht leisten konnte, wurden den Versuchstieren entsprechend höhere Dosen verabreicht</w:t>
      </w:r>
      <w:r w:rsidR="00C105E3">
        <w:t>. Die Dosis von Desmopressin wurde insofern an die Vorgaben der analytischen Methode angepasst.</w:t>
      </w:r>
    </w:p>
    <w:p w14:paraId="5570E194" w14:textId="77777777" w:rsidR="00985AD0" w:rsidRPr="000C1175" w:rsidRDefault="00ED4563" w:rsidP="000C1175">
      <w:pPr>
        <w:pStyle w:val="berschrift4"/>
      </w:pPr>
      <w:bookmarkStart w:id="319" w:name="_Toc294380288"/>
      <w:r>
        <w:t>I</w:t>
      </w:r>
      <w:r w:rsidR="004C4579">
        <w:t xml:space="preserve">n </w:t>
      </w:r>
      <w:r w:rsidR="00B9793D" w:rsidRPr="00B9793D">
        <w:t>vivo-Untersuchung der Bioverfügbarkeit am Tiermodell</w:t>
      </w:r>
      <w:bookmarkEnd w:id="319"/>
    </w:p>
    <w:p w14:paraId="668ABF0F" w14:textId="77777777" w:rsidR="00BA3FBD" w:rsidRDefault="00E55770" w:rsidP="0097518C">
      <w:pPr>
        <w:rPr>
          <w:rFonts w:eastAsiaTheme="majorEastAsia" w:cs="Times New Roman"/>
          <w:bCs/>
        </w:rPr>
      </w:pPr>
      <w:r>
        <w:rPr>
          <w:rFonts w:eastAsiaTheme="majorEastAsia" w:cs="Times New Roman"/>
          <w:bCs/>
        </w:rPr>
        <w:t xml:space="preserve">Die Bioverfügbarkeitsuntersuchungen wurden wie in Kapitel </w:t>
      </w:r>
      <w:r w:rsidR="00D16240">
        <w:rPr>
          <w:rFonts w:eastAsiaTheme="majorEastAsia" w:cs="Times New Roman"/>
          <w:bCs/>
        </w:rPr>
        <w:fldChar w:fldCharType="begin"/>
      </w:r>
      <w:r w:rsidR="00DC504F">
        <w:rPr>
          <w:rFonts w:eastAsiaTheme="majorEastAsia" w:cs="Times New Roman"/>
          <w:bCs/>
        </w:rPr>
        <w:instrText xml:space="preserve"> REF _Ref273305458 \n \h </w:instrText>
      </w:r>
      <w:r w:rsidR="00D16240">
        <w:rPr>
          <w:rFonts w:eastAsiaTheme="majorEastAsia" w:cs="Times New Roman"/>
          <w:bCs/>
        </w:rPr>
      </w:r>
      <w:r w:rsidR="00D16240">
        <w:rPr>
          <w:rFonts w:eastAsiaTheme="majorEastAsia" w:cs="Times New Roman"/>
          <w:bCs/>
        </w:rPr>
        <w:fldChar w:fldCharType="separate"/>
      </w:r>
      <w:r w:rsidR="00711AB8">
        <w:rPr>
          <w:rFonts w:eastAsiaTheme="majorEastAsia" w:cs="Times New Roman"/>
          <w:bCs/>
        </w:rPr>
        <w:t>4.1.7</w:t>
      </w:r>
      <w:r w:rsidR="00D16240">
        <w:rPr>
          <w:rFonts w:eastAsiaTheme="majorEastAsia" w:cs="Times New Roman"/>
          <w:bCs/>
        </w:rPr>
        <w:fldChar w:fldCharType="end"/>
      </w:r>
      <w:r w:rsidR="00DC504F">
        <w:rPr>
          <w:rFonts w:eastAsiaTheme="majorEastAsia" w:cs="Times New Roman"/>
          <w:bCs/>
        </w:rPr>
        <w:t xml:space="preserve"> auf Seite </w:t>
      </w:r>
      <w:r w:rsidR="00D16240">
        <w:rPr>
          <w:rFonts w:eastAsiaTheme="majorEastAsia" w:cs="Times New Roman"/>
          <w:bCs/>
        </w:rPr>
        <w:fldChar w:fldCharType="begin"/>
      </w:r>
      <w:r w:rsidR="00DC504F">
        <w:rPr>
          <w:rFonts w:eastAsiaTheme="majorEastAsia" w:cs="Times New Roman"/>
          <w:bCs/>
        </w:rPr>
        <w:instrText xml:space="preserve"> PAGEREF _Ref273305458 \h </w:instrText>
      </w:r>
      <w:r w:rsidR="00D16240">
        <w:rPr>
          <w:rFonts w:eastAsiaTheme="majorEastAsia" w:cs="Times New Roman"/>
          <w:bCs/>
        </w:rPr>
      </w:r>
      <w:r w:rsidR="00D16240">
        <w:rPr>
          <w:rFonts w:eastAsiaTheme="majorEastAsia" w:cs="Times New Roman"/>
          <w:bCs/>
        </w:rPr>
        <w:fldChar w:fldCharType="separate"/>
      </w:r>
      <w:r w:rsidR="00711AB8">
        <w:rPr>
          <w:rFonts w:eastAsiaTheme="majorEastAsia" w:cs="Times New Roman"/>
          <w:bCs/>
          <w:noProof/>
        </w:rPr>
        <w:t>65</w:t>
      </w:r>
      <w:r w:rsidR="00D16240">
        <w:rPr>
          <w:rFonts w:eastAsiaTheme="majorEastAsia" w:cs="Times New Roman"/>
          <w:bCs/>
        </w:rPr>
        <w:fldChar w:fldCharType="end"/>
      </w:r>
      <w:r w:rsidR="00DC504F">
        <w:rPr>
          <w:rFonts w:eastAsiaTheme="majorEastAsia" w:cs="Times New Roman"/>
          <w:bCs/>
        </w:rPr>
        <w:t xml:space="preserve"> beschrieben durchgeführt.</w:t>
      </w:r>
    </w:p>
    <w:p w14:paraId="73D0898C" w14:textId="77777777" w:rsidR="00DD5753" w:rsidRDefault="00DD5753" w:rsidP="00985AD0">
      <w:pPr>
        <w:rPr>
          <w:rFonts w:eastAsiaTheme="majorEastAsia" w:cs="Times New Roman"/>
          <w:bCs/>
        </w:rPr>
      </w:pPr>
      <w:r>
        <w:rPr>
          <w:rFonts w:eastAsiaTheme="majorEastAsia" w:cs="Times New Roman"/>
          <w:bCs/>
        </w:rPr>
        <w:t>Die spezifische Funktionalität der Asparaginsäure PEA Formulierung bezieht sich wie bereits beschrieben auf ein pH-abhängiges Löslichkeits- und Freisetzungsverhalten</w:t>
      </w:r>
      <w:r w:rsidR="00875BCD">
        <w:rPr>
          <w:rFonts w:eastAsiaTheme="majorEastAsia" w:cs="Times New Roman"/>
          <w:bCs/>
        </w:rPr>
        <w:t xml:space="preserve"> im Verdauungstrakt</w:t>
      </w:r>
      <w:r>
        <w:rPr>
          <w:rFonts w:eastAsiaTheme="majorEastAsia" w:cs="Times New Roman"/>
          <w:bCs/>
        </w:rPr>
        <w:t>. Da das</w:t>
      </w:r>
      <w:r w:rsidR="00EE4BC6">
        <w:rPr>
          <w:rFonts w:eastAsiaTheme="majorEastAsia" w:cs="Times New Roman"/>
          <w:bCs/>
        </w:rPr>
        <w:t xml:space="preserve"> typische</w:t>
      </w:r>
      <w:r>
        <w:rPr>
          <w:rFonts w:eastAsiaTheme="majorEastAsia" w:cs="Times New Roman"/>
          <w:bCs/>
        </w:rPr>
        <w:t xml:space="preserve"> pH-Profil des Magen-Darm-Traktes v</w:t>
      </w:r>
      <w:r w:rsidR="00875BCD">
        <w:rPr>
          <w:rFonts w:eastAsiaTheme="majorEastAsia" w:cs="Times New Roman"/>
          <w:bCs/>
        </w:rPr>
        <w:t>on</w:t>
      </w:r>
      <w:r w:rsidR="00E06CAB">
        <w:rPr>
          <w:rFonts w:eastAsiaTheme="majorEastAsia" w:cs="Times New Roman"/>
          <w:bCs/>
        </w:rPr>
        <w:t xml:space="preserve"> Nagetieren jedoch deutlich</w:t>
      </w:r>
      <w:r w:rsidR="00875BCD">
        <w:rPr>
          <w:rFonts w:eastAsiaTheme="majorEastAsia" w:cs="Times New Roman"/>
          <w:bCs/>
        </w:rPr>
        <w:t xml:space="preserve"> von dem des Menschen abweicht</w:t>
      </w:r>
      <w:r w:rsidR="00D16240">
        <w:rPr>
          <w:rFonts w:eastAsiaTheme="majorEastAsia" w:cs="Times New Roman"/>
          <w:bCs/>
        </w:rPr>
        <w:fldChar w:fldCharType="begin"/>
      </w:r>
      <w:r w:rsidR="00360CF4">
        <w:rPr>
          <w:rFonts w:eastAsiaTheme="majorEastAsia" w:cs="Times New Roman"/>
          <w:bCs/>
        </w:rPr>
        <w:instrText xml:space="preserve"> NOTEREF _Ref282289173 \f \h </w:instrText>
      </w:r>
      <w:r w:rsidR="00D16240">
        <w:rPr>
          <w:rFonts w:eastAsiaTheme="majorEastAsia" w:cs="Times New Roman"/>
          <w:bCs/>
        </w:rPr>
      </w:r>
      <w:r w:rsidR="00D16240">
        <w:rPr>
          <w:rFonts w:eastAsiaTheme="majorEastAsia" w:cs="Times New Roman"/>
          <w:bCs/>
        </w:rPr>
        <w:fldChar w:fldCharType="separate"/>
      </w:r>
      <w:r w:rsidR="00711AB8" w:rsidRPr="00711AB8">
        <w:rPr>
          <w:rStyle w:val="Endnotenzeichen"/>
        </w:rPr>
        <w:t>142</w:t>
      </w:r>
      <w:r w:rsidR="00D16240">
        <w:rPr>
          <w:rFonts w:eastAsiaTheme="majorEastAsia" w:cs="Times New Roman"/>
          <w:bCs/>
        </w:rPr>
        <w:fldChar w:fldCharType="end"/>
      </w:r>
      <w:r>
        <w:rPr>
          <w:rFonts w:eastAsiaTheme="majorEastAsia" w:cs="Times New Roman"/>
          <w:bCs/>
        </w:rPr>
        <w:t xml:space="preserve">, erschien die </w:t>
      </w:r>
      <w:r>
        <w:rPr>
          <w:rFonts w:eastAsiaTheme="majorEastAsia" w:cs="Times New Roman"/>
          <w:bCs/>
          <w:i/>
        </w:rPr>
        <w:t>in </w:t>
      </w:r>
      <w:r w:rsidRPr="00DD5753">
        <w:rPr>
          <w:rFonts w:eastAsiaTheme="majorEastAsia" w:cs="Times New Roman"/>
          <w:bCs/>
          <w:i/>
        </w:rPr>
        <w:t>vivo</w:t>
      </w:r>
      <w:r w:rsidR="0033213F">
        <w:rPr>
          <w:rFonts w:eastAsiaTheme="majorEastAsia" w:cs="Times New Roman"/>
          <w:bCs/>
        </w:rPr>
        <w:t>-</w:t>
      </w:r>
      <w:r>
        <w:rPr>
          <w:rFonts w:eastAsiaTheme="majorEastAsia" w:cs="Times New Roman"/>
          <w:bCs/>
        </w:rPr>
        <w:t xml:space="preserve">Testung der PEA Partikel vom Asparaginsäuretyp an Mäusen nicht sinnvoll. </w:t>
      </w:r>
      <w:r w:rsidR="00875BCD">
        <w:rPr>
          <w:rFonts w:eastAsiaTheme="majorEastAsia" w:cs="Times New Roman"/>
          <w:bCs/>
        </w:rPr>
        <w:t>Daher wurden lediglich die Formulierungen von Desmopressin mit PEA Cystein und mit PLGA</w:t>
      </w:r>
      <w:r w:rsidR="00360CF4">
        <w:rPr>
          <w:rFonts w:eastAsiaTheme="majorEastAsia" w:cs="Times New Roman"/>
          <w:bCs/>
        </w:rPr>
        <w:t xml:space="preserve"> sowie eine auf dem Markt befindliche Referenzformulierung getestet.</w:t>
      </w:r>
    </w:p>
    <w:p w14:paraId="2239BDAB" w14:textId="77777777" w:rsidR="000C1175" w:rsidRDefault="00EE4BC6" w:rsidP="00985AD0">
      <w:pPr>
        <w:rPr>
          <w:rFonts w:eastAsiaTheme="majorEastAsia" w:cs="Times New Roman"/>
          <w:bCs/>
        </w:rPr>
      </w:pPr>
      <w:r>
        <w:rPr>
          <w:rFonts w:eastAsiaTheme="majorEastAsia" w:cs="Times New Roman"/>
          <w:bCs/>
        </w:rPr>
        <w:t>Um die absolute</w:t>
      </w:r>
      <w:r w:rsidR="000C1175">
        <w:rPr>
          <w:rFonts w:eastAsiaTheme="majorEastAsia" w:cs="Times New Roman"/>
          <w:bCs/>
        </w:rPr>
        <w:t xml:space="preserve"> Bioverfügbarkeit der Formulierungen</w:t>
      </w:r>
      <w:r>
        <w:rPr>
          <w:rFonts w:eastAsiaTheme="majorEastAsia" w:cs="Times New Roman"/>
          <w:bCs/>
        </w:rPr>
        <w:t xml:space="preserve"> berechnen zu können,</w:t>
      </w:r>
      <w:r w:rsidR="000C1175">
        <w:rPr>
          <w:rFonts w:eastAsiaTheme="majorEastAsia" w:cs="Times New Roman"/>
          <w:bCs/>
        </w:rPr>
        <w:t xml:space="preserve"> wurde zunächst e</w:t>
      </w:r>
      <w:r w:rsidR="000D47E5">
        <w:rPr>
          <w:rFonts w:eastAsiaTheme="majorEastAsia" w:cs="Times New Roman"/>
          <w:bCs/>
        </w:rPr>
        <w:t>ine Plasmaspiegelkurve nach intravenöser Gabe</w:t>
      </w:r>
      <w:r w:rsidR="000C1175">
        <w:rPr>
          <w:rFonts w:eastAsiaTheme="majorEastAsia" w:cs="Times New Roman"/>
          <w:bCs/>
        </w:rPr>
        <w:t xml:space="preserve"> einer </w:t>
      </w:r>
      <w:r w:rsidR="00780142">
        <w:rPr>
          <w:rFonts w:eastAsiaTheme="majorEastAsia" w:cs="Times New Roman"/>
          <w:bCs/>
        </w:rPr>
        <w:t xml:space="preserve">wässrigen </w:t>
      </w:r>
      <w:r w:rsidR="00861BE0">
        <w:rPr>
          <w:rFonts w:eastAsiaTheme="majorEastAsia" w:cs="Times New Roman"/>
          <w:bCs/>
        </w:rPr>
        <w:t>Lösung von</w:t>
      </w:r>
      <w:r w:rsidR="00AF4AE5">
        <w:rPr>
          <w:rFonts w:eastAsiaTheme="majorEastAsia" w:cs="Times New Roman"/>
          <w:bCs/>
        </w:rPr>
        <w:t xml:space="preserve"> 20 µg</w:t>
      </w:r>
      <w:r w:rsidR="00630E96">
        <w:rPr>
          <w:rFonts w:eastAsiaTheme="majorEastAsia" w:cs="Times New Roman"/>
          <w:bCs/>
        </w:rPr>
        <w:t xml:space="preserve"> Desmopressina</w:t>
      </w:r>
      <w:r w:rsidR="000C1175">
        <w:rPr>
          <w:rFonts w:eastAsiaTheme="majorEastAsia" w:cs="Times New Roman"/>
          <w:bCs/>
        </w:rPr>
        <w:t>cetat ermittelt.</w:t>
      </w:r>
      <w:r w:rsidR="007D712C">
        <w:rPr>
          <w:rFonts w:eastAsiaTheme="majorEastAsia" w:cs="Times New Roman"/>
          <w:bCs/>
        </w:rPr>
        <w:t xml:space="preserve"> </w:t>
      </w:r>
      <w:r w:rsidR="00356649">
        <w:rPr>
          <w:rFonts w:eastAsiaTheme="majorEastAsia" w:cs="Times New Roman"/>
          <w:bCs/>
        </w:rPr>
        <w:t xml:space="preserve">Anhand dieser Daten wurden zudem einige wesentliche pharmakokinetische Kenngrößen ermittelt. </w:t>
      </w:r>
      <w:r w:rsidR="00DC504F">
        <w:rPr>
          <w:rFonts w:eastAsiaTheme="majorEastAsia" w:cs="Times New Roman"/>
          <w:bCs/>
        </w:rPr>
        <w:t xml:space="preserve">Die Ergebnisse sind grafisch in </w:t>
      </w:r>
      <w:r w:rsidR="00D16240">
        <w:rPr>
          <w:rFonts w:eastAsiaTheme="majorEastAsia" w:cs="Times New Roman"/>
          <w:bCs/>
        </w:rPr>
        <w:fldChar w:fldCharType="begin"/>
      </w:r>
      <w:r w:rsidR="00DC504F">
        <w:rPr>
          <w:rFonts w:eastAsiaTheme="majorEastAsia" w:cs="Times New Roman"/>
          <w:bCs/>
        </w:rPr>
        <w:instrText xml:space="preserve"> REF _Ref282186071 \h </w:instrText>
      </w:r>
      <w:r w:rsidR="00D16240">
        <w:rPr>
          <w:rFonts w:eastAsiaTheme="majorEastAsia" w:cs="Times New Roman"/>
          <w:bCs/>
        </w:rPr>
      </w:r>
      <w:r w:rsidR="00D16240">
        <w:rPr>
          <w:rFonts w:eastAsiaTheme="majorEastAsia" w:cs="Times New Roman"/>
          <w:bCs/>
        </w:rPr>
        <w:fldChar w:fldCharType="separate"/>
      </w:r>
      <w:r w:rsidR="00711AB8" w:rsidRPr="00CD274E">
        <w:t xml:space="preserve">Abbildung </w:t>
      </w:r>
      <w:r w:rsidR="00711AB8">
        <w:rPr>
          <w:noProof/>
        </w:rPr>
        <w:t>59</w:t>
      </w:r>
      <w:r w:rsidR="00D16240">
        <w:rPr>
          <w:rFonts w:eastAsiaTheme="majorEastAsia" w:cs="Times New Roman"/>
          <w:bCs/>
        </w:rPr>
        <w:fldChar w:fldCharType="end"/>
      </w:r>
      <w:r w:rsidR="00DC504F">
        <w:rPr>
          <w:rFonts w:eastAsiaTheme="majorEastAsia" w:cs="Times New Roman"/>
          <w:bCs/>
        </w:rPr>
        <w:t xml:space="preserve"> dargestellt.</w:t>
      </w:r>
    </w:p>
    <w:p w14:paraId="1C2DFBB3" w14:textId="77777777" w:rsidR="00241B2A" w:rsidRDefault="00241B2A" w:rsidP="00CD274E">
      <w:pPr>
        <w:spacing w:after="0"/>
        <w:jc w:val="center"/>
      </w:pPr>
      <w:r>
        <w:rPr>
          <w:noProof/>
          <w:lang w:eastAsia="de-DE"/>
        </w:rPr>
        <w:lastRenderedPageBreak/>
        <w:drawing>
          <wp:inline distT="0" distB="0" distL="0" distR="0" wp14:anchorId="62DC073C" wp14:editId="2E0E809C">
            <wp:extent cx="5274945" cy="3197860"/>
            <wp:effectExtent l="0" t="0" r="8255" b="2540"/>
            <wp:docPr id="17525" name="Diagramm 175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2B1DCCCF" w14:textId="77777777" w:rsidR="00241B2A" w:rsidRDefault="00CD274E" w:rsidP="00845B6B">
      <w:pPr>
        <w:pStyle w:val="Beschriftung"/>
        <w:ind w:firstLine="0"/>
        <w:rPr>
          <w:b w:val="0"/>
        </w:rPr>
      </w:pPr>
      <w:bookmarkStart w:id="320" w:name="_Ref282186071"/>
      <w:r w:rsidRPr="00CD274E">
        <w:t xml:space="preserve">Abbildung </w:t>
      </w:r>
      <w:fldSimple w:instr=" SEQ Abbildung \* ARABIC ">
        <w:r w:rsidR="00711AB8">
          <w:rPr>
            <w:noProof/>
          </w:rPr>
          <w:t>59</w:t>
        </w:r>
      </w:fldSimple>
      <w:bookmarkEnd w:id="320"/>
      <w:r>
        <w:t xml:space="preserve"> </w:t>
      </w:r>
      <w:r w:rsidR="003B69EB">
        <w:rPr>
          <w:b w:val="0"/>
        </w:rPr>
        <w:t xml:space="preserve">blau: </w:t>
      </w:r>
      <w:r>
        <w:rPr>
          <w:b w:val="0"/>
        </w:rPr>
        <w:t>Plasmaspiegel von Desmopressin nach i.v. Injektion einer wässrigen Lösun</w:t>
      </w:r>
      <w:r w:rsidR="000C1175">
        <w:rPr>
          <w:b w:val="0"/>
        </w:rPr>
        <w:t>g von 20 µg Desmop</w:t>
      </w:r>
      <w:r w:rsidR="003B69EB">
        <w:rPr>
          <w:b w:val="0"/>
        </w:rPr>
        <w:t>re</w:t>
      </w:r>
      <w:r w:rsidR="0033213F">
        <w:rPr>
          <w:b w:val="0"/>
        </w:rPr>
        <w:t>ssina</w:t>
      </w:r>
      <w:r w:rsidR="003B69EB">
        <w:rPr>
          <w:b w:val="0"/>
        </w:rPr>
        <w:t>cetat; n=3 pro Zeitpunkt; rot: natürlicher Logarithmus der Plasmaspiegelkurve nach i.v. Injektion; schwarz: lineare Regression der logarithmierten Plasmaspiegelkurve</w:t>
      </w:r>
      <w:r w:rsidR="0033213F">
        <w:rPr>
          <w:b w:val="0"/>
        </w:rPr>
        <w:t>.</w:t>
      </w:r>
    </w:p>
    <w:p w14:paraId="3146DF51" w14:textId="77777777" w:rsidR="00CD274E" w:rsidRDefault="00CD274E" w:rsidP="00CD274E"/>
    <w:p w14:paraId="06F1F029" w14:textId="77777777" w:rsidR="004C7B36" w:rsidRDefault="00780142" w:rsidP="00CD274E">
      <w:r>
        <w:t>Die erste</w:t>
      </w:r>
      <w:r w:rsidR="0080416E">
        <w:t xml:space="preserve"> Probennahme erfolgte 0,5h nach </w:t>
      </w:r>
      <w:r>
        <w:t>Injektion</w:t>
      </w:r>
      <w:r w:rsidR="0080416E">
        <w:t xml:space="preserve"> der Dosis</w:t>
      </w:r>
      <w:r>
        <w:t xml:space="preserve"> in die Schwanzvene der Versuchstiere. </w:t>
      </w:r>
      <w:r w:rsidR="00C25EE0">
        <w:t xml:space="preserve">Zu diesem Zeitpunkt wurde entsprechend den Erwartungen mit 22,2 µg/ml </w:t>
      </w:r>
      <w:r w:rsidR="00293D74">
        <w:t>(</w:t>
      </w:r>
      <w:r w:rsidR="00293D74">
        <w:sym w:font="Symbol" w:char="F0B1"/>
      </w:r>
      <w:r w:rsidR="00293D74">
        <w:t xml:space="preserve">3,4 µg/ml) </w:t>
      </w:r>
      <w:r w:rsidR="00C25EE0">
        <w:t>die höchste Plasmakonzentration</w:t>
      </w:r>
      <w:r w:rsidR="00F22699">
        <w:t xml:space="preserve"> von Desmopressin</w:t>
      </w:r>
      <w:r w:rsidR="00293D74">
        <w:t xml:space="preserve"> gemessen. Durch Elimination des Desmopressins</w:t>
      </w:r>
      <w:r w:rsidR="009C51B5">
        <w:t xml:space="preserve"> aus dem Blutkreis</w:t>
      </w:r>
      <w:r w:rsidR="00DE1843">
        <w:t>lauf</w:t>
      </w:r>
      <w:r w:rsidR="009C51B5">
        <w:t xml:space="preserve"> </w:t>
      </w:r>
      <w:r w:rsidR="00DE1843">
        <w:t>fiel der Plasmaspiegel stetig ab</w:t>
      </w:r>
      <w:r w:rsidR="009C51B5">
        <w:t xml:space="preserve"> (blau dargestellt in </w:t>
      </w:r>
      <w:r w:rsidR="00D16240">
        <w:fldChar w:fldCharType="begin"/>
      </w:r>
      <w:r w:rsidR="009C51B5">
        <w:instrText xml:space="preserve"> REF _Ref282186071 \h </w:instrText>
      </w:r>
      <w:r w:rsidR="00D16240">
        <w:fldChar w:fldCharType="separate"/>
      </w:r>
      <w:r w:rsidR="00711AB8" w:rsidRPr="00CD274E">
        <w:t xml:space="preserve">Abbildung </w:t>
      </w:r>
      <w:r w:rsidR="00711AB8">
        <w:rPr>
          <w:noProof/>
        </w:rPr>
        <w:t>59</w:t>
      </w:r>
      <w:r w:rsidR="00D16240">
        <w:fldChar w:fldCharType="end"/>
      </w:r>
      <w:r w:rsidR="009C51B5">
        <w:t>)</w:t>
      </w:r>
      <w:r w:rsidR="0080416E">
        <w:t>, wobei der Abbau nicht linear erfolgte</w:t>
      </w:r>
      <w:r w:rsidR="009C51B5">
        <w:t>.</w:t>
      </w:r>
      <w:r w:rsidR="00EE4BC6">
        <w:t xml:space="preserve"> </w:t>
      </w:r>
      <w:r w:rsidR="007A69E9">
        <w:t>Wie für Desmopressin zu erwarten war, lief die Elimination demnach</w:t>
      </w:r>
      <w:r w:rsidR="00AF4AE5">
        <w:t xml:space="preserve"> nicht entsprechend einer Kinetik nullter Ordnung</w:t>
      </w:r>
      <w:r w:rsidR="000B4C9C">
        <w:t xml:space="preserve"> ab</w:t>
      </w:r>
      <w:r w:rsidR="00EE5DA5">
        <w:rPr>
          <w:rStyle w:val="Endnotenzeichen"/>
        </w:rPr>
        <w:endnoteReference w:id="169"/>
      </w:r>
      <w:r w:rsidR="0080416E">
        <w:t>.</w:t>
      </w:r>
      <w:r w:rsidR="00DE1843">
        <w:t xml:space="preserve"> </w:t>
      </w:r>
      <w:r w:rsidR="0080416E">
        <w:t xml:space="preserve">Eine Kinetik erster Ordnung würde einen exponentiellen Zusammenhang zwischen Plasmakonzentration und Zeit </w:t>
      </w:r>
      <w:r w:rsidR="00EA7B35">
        <w:t>voraussetzen. Um dies zu überprüfen, wurden die Werte halblogarithmisch aufgetragen</w:t>
      </w:r>
      <w:r w:rsidR="009C51B5">
        <w:t xml:space="preserve"> (rot dargestellt in </w:t>
      </w:r>
      <w:r w:rsidR="00D16240">
        <w:fldChar w:fldCharType="begin"/>
      </w:r>
      <w:r w:rsidR="009C51B5">
        <w:instrText xml:space="preserve"> REF _Ref282186071 \h </w:instrText>
      </w:r>
      <w:r w:rsidR="00D16240">
        <w:fldChar w:fldCharType="separate"/>
      </w:r>
      <w:r w:rsidR="00711AB8" w:rsidRPr="00CD274E">
        <w:t xml:space="preserve">Abbildung </w:t>
      </w:r>
      <w:r w:rsidR="00711AB8">
        <w:rPr>
          <w:noProof/>
        </w:rPr>
        <w:t>59</w:t>
      </w:r>
      <w:r w:rsidR="00D16240">
        <w:fldChar w:fldCharType="end"/>
      </w:r>
      <w:r w:rsidR="009C51B5">
        <w:t>).</w:t>
      </w:r>
      <w:r w:rsidR="00861BE0">
        <w:t xml:space="preserve"> </w:t>
      </w:r>
      <w:r w:rsidR="00EA7B35">
        <w:t xml:space="preserve">Dabei wurde näherungsweise eine Gerade erhalten. </w:t>
      </w:r>
      <w:r w:rsidR="00861BE0">
        <w:t>Der Korrelationskoeffizient der linearen Regression</w:t>
      </w:r>
      <w:r w:rsidR="00EA7B35">
        <w:t xml:space="preserve"> der halblogarithmischen Auftragung</w:t>
      </w:r>
      <w:r w:rsidR="00861BE0">
        <w:t xml:space="preserve"> beträgt 0,90344.</w:t>
      </w:r>
      <w:r w:rsidR="0080416E">
        <w:t xml:space="preserve"> Dies spricht </w:t>
      </w:r>
      <w:r w:rsidR="00DE1843">
        <w:t xml:space="preserve">für </w:t>
      </w:r>
      <w:r w:rsidR="009C51B5">
        <w:t>eine</w:t>
      </w:r>
      <w:r w:rsidR="00EA7B35">
        <w:t>n</w:t>
      </w:r>
      <w:r w:rsidR="00293B04">
        <w:t xml:space="preserve"> annähernd</w:t>
      </w:r>
      <w:r w:rsidR="00EA7B35">
        <w:t xml:space="preserve"> exponentiellen Verlauf</w:t>
      </w:r>
      <w:r w:rsidR="000B4C9C">
        <w:t xml:space="preserve"> des Plasmaspiegels</w:t>
      </w:r>
      <w:r w:rsidR="00EA7B35">
        <w:t xml:space="preserve"> und damit eine</w:t>
      </w:r>
      <w:r w:rsidR="009C51B5">
        <w:t xml:space="preserve"> Eli</w:t>
      </w:r>
      <w:r w:rsidR="00861BE0">
        <w:t>minationskinetik erster Ordnung entsprechend folgender Funktion:</w:t>
      </w:r>
    </w:p>
    <w:p w14:paraId="0A96FE2F" w14:textId="77777777" w:rsidR="00861BE0" w:rsidRPr="00861BE0" w:rsidRDefault="00861BE0" w:rsidP="00CD274E">
      <w:pPr>
        <w:rPr>
          <w:rFonts w:eastAsiaTheme="minorEastAsia"/>
        </w:rPr>
      </w:pPr>
      <m:oMathPara>
        <m:oMath>
          <m:r>
            <w:rPr>
              <w:rFonts w:ascii="Cambria Math" w:hAnsi="Cambria Math"/>
            </w:rPr>
            <m:t>c</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0</m:t>
              </m:r>
            </m:sub>
          </m:sSub>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e</m:t>
                  </m:r>
                </m:sub>
              </m:sSub>
              <m:r>
                <w:rPr>
                  <w:rFonts w:ascii="Cambria Math" w:hAnsi="Cambria Math"/>
                </w:rPr>
                <m:t>*t</m:t>
              </m:r>
            </m:sup>
          </m:sSup>
        </m:oMath>
      </m:oMathPara>
    </w:p>
    <w:p w14:paraId="5DA207C5" w14:textId="77777777" w:rsidR="00861BE0" w:rsidRDefault="00861BE0" w:rsidP="00845B6B">
      <w:pPr>
        <w:pStyle w:val="Beschriftung"/>
        <w:ind w:firstLine="0"/>
        <w:rPr>
          <w:b w:val="0"/>
        </w:rPr>
      </w:pPr>
      <w:bookmarkStart w:id="321" w:name="_Ref282207773"/>
      <w:r w:rsidRPr="00861BE0">
        <w:t xml:space="preserve">Formel </w:t>
      </w:r>
      <w:fldSimple w:instr=" SEQ Formel \* ARABIC ">
        <w:r w:rsidR="00711AB8">
          <w:rPr>
            <w:noProof/>
          </w:rPr>
          <w:t>3</w:t>
        </w:r>
      </w:fldSimple>
      <w:bookmarkEnd w:id="321"/>
      <w:r>
        <w:rPr>
          <w:b w:val="0"/>
        </w:rPr>
        <w:t xml:space="preserve"> </w:t>
      </w:r>
      <w:r w:rsidR="00DE1843">
        <w:rPr>
          <w:b w:val="0"/>
        </w:rPr>
        <w:t>Zeitlicher Verlauf der Plasmakonzentration bei Elimi</w:t>
      </w:r>
      <w:r w:rsidR="000B4C9C">
        <w:rPr>
          <w:b w:val="0"/>
        </w:rPr>
        <w:t>nation erster Ordnung; c</w:t>
      </w:r>
      <w:r w:rsidR="000B4C9C">
        <w:rPr>
          <w:b w:val="0"/>
          <w:vertAlign w:val="subscript"/>
        </w:rPr>
        <w:t>0</w:t>
      </w:r>
      <w:r w:rsidR="00DE1843">
        <w:rPr>
          <w:b w:val="0"/>
        </w:rPr>
        <w:t xml:space="preserve">: Anfangskonzentration, </w:t>
      </w:r>
      <w:r w:rsidR="00385618">
        <w:rPr>
          <w:b w:val="0"/>
        </w:rPr>
        <w:t xml:space="preserve">                </w:t>
      </w:r>
      <w:r w:rsidR="00DE1843">
        <w:rPr>
          <w:b w:val="0"/>
        </w:rPr>
        <w:t>k</w:t>
      </w:r>
      <w:r w:rsidR="00DE1843">
        <w:rPr>
          <w:b w:val="0"/>
          <w:vertAlign w:val="subscript"/>
        </w:rPr>
        <w:t>e</w:t>
      </w:r>
      <w:r w:rsidR="00DE1843">
        <w:rPr>
          <w:b w:val="0"/>
        </w:rPr>
        <w:t>: Eliminationskonstante, t: beliebiger Zeitpunkt</w:t>
      </w:r>
      <w:r w:rsidR="0033213F">
        <w:rPr>
          <w:b w:val="0"/>
        </w:rPr>
        <w:t>.</w:t>
      </w:r>
    </w:p>
    <w:p w14:paraId="2C110156" w14:textId="77777777" w:rsidR="003375F3" w:rsidRDefault="003375F3" w:rsidP="006C7C5D"/>
    <w:p w14:paraId="236D01E2" w14:textId="77777777" w:rsidR="002C6C38" w:rsidRDefault="002C6C38" w:rsidP="006C7C5D"/>
    <w:p w14:paraId="27EDF313" w14:textId="77777777" w:rsidR="002C6C38" w:rsidRDefault="002C6C38" w:rsidP="006C7C5D"/>
    <w:p w14:paraId="6E92EDAD" w14:textId="77777777" w:rsidR="006C7C5D" w:rsidRDefault="006C7C5D" w:rsidP="006C7C5D">
      <w:r>
        <w:lastRenderedPageBreak/>
        <w:t xml:space="preserve">Durch Logarithmieren von </w:t>
      </w:r>
      <w:r w:rsidR="00D16240">
        <w:fldChar w:fldCharType="begin"/>
      </w:r>
      <w:r>
        <w:instrText xml:space="preserve"> REF _Ref282207773 \h </w:instrText>
      </w:r>
      <w:r w:rsidR="00D16240">
        <w:fldChar w:fldCharType="separate"/>
      </w:r>
      <w:r w:rsidR="00711AB8" w:rsidRPr="00861BE0">
        <w:t xml:space="preserve">Formel </w:t>
      </w:r>
      <w:r w:rsidR="00711AB8">
        <w:rPr>
          <w:noProof/>
        </w:rPr>
        <w:t>3</w:t>
      </w:r>
      <w:r w:rsidR="00D16240">
        <w:fldChar w:fldCharType="end"/>
      </w:r>
      <w:r w:rsidR="00293B04">
        <w:t xml:space="preserve"> erhält man die folgende lineare Funktion</w:t>
      </w:r>
      <w:r>
        <w:t>:</w:t>
      </w:r>
    </w:p>
    <w:p w14:paraId="15B4F485" w14:textId="77777777" w:rsidR="006C7C5D" w:rsidRPr="006C7C5D" w:rsidRDefault="00DE258C" w:rsidP="006C7C5D">
      <w:pPr>
        <w:rPr>
          <w:rFonts w:eastAsiaTheme="minorEastAsia"/>
        </w:rPr>
      </w:pPr>
      <m:oMathPara>
        <m:oMath>
          <m:func>
            <m:funcPr>
              <m:ctrlPr>
                <w:rPr>
                  <w:rFonts w:ascii="Cambria Math" w:hAnsi="Cambria Math"/>
                  <w:i/>
                </w:rPr>
              </m:ctrlPr>
            </m:funcPr>
            <m:fName>
              <m:r>
                <m:rPr>
                  <m:sty m:val="p"/>
                </m:rPr>
                <w:rPr>
                  <w:rFonts w:ascii="Cambria Math" w:hAnsi="Cambria Math"/>
                </w:rPr>
                <m:t>ln</m:t>
              </m:r>
            </m:fName>
            <m:e>
              <m:r>
                <w:rPr>
                  <w:rFonts w:ascii="Cambria Math" w:hAnsi="Cambria Math"/>
                </w:rPr>
                <m:t>c</m:t>
              </m:r>
              <m:d>
                <m:dPr>
                  <m:ctrlPr>
                    <w:rPr>
                      <w:rFonts w:ascii="Cambria Math" w:hAnsi="Cambria Math"/>
                      <w:i/>
                    </w:rPr>
                  </m:ctrlPr>
                </m:dPr>
                <m:e>
                  <m:r>
                    <w:rPr>
                      <w:rFonts w:ascii="Cambria Math" w:hAnsi="Cambria Math"/>
                    </w:rPr>
                    <m:t>t</m:t>
                  </m:r>
                </m:e>
              </m:d>
              <m:r>
                <w:rPr>
                  <w:rFonts w:ascii="Cambria Math" w:hAnsi="Cambria Math"/>
                </w:rPr>
                <m:t>=</m:t>
              </m:r>
              <m:func>
                <m:funcPr>
                  <m:ctrlPr>
                    <w:rPr>
                      <w:rFonts w:ascii="Cambria Math" w:hAnsi="Cambria Math"/>
                      <w:i/>
                    </w:rPr>
                  </m:ctrlPr>
                </m:funcPr>
                <m:fName>
                  <m:r>
                    <m:rPr>
                      <m:sty m:val="p"/>
                    </m:rPr>
                    <w:rPr>
                      <w:rFonts w:ascii="Cambria Math" w:hAnsi="Cambria Math"/>
                    </w:rPr>
                    <m:t>ln</m:t>
                  </m:r>
                </m:fName>
                <m:e>
                  <m:sSub>
                    <m:sSubPr>
                      <m:ctrlPr>
                        <w:rPr>
                          <w:rFonts w:ascii="Cambria Math" w:hAnsi="Cambria Math"/>
                          <w:i/>
                        </w:rPr>
                      </m:ctrlPr>
                    </m:sSubPr>
                    <m:e>
                      <m:r>
                        <w:rPr>
                          <w:rFonts w:ascii="Cambria Math" w:hAnsi="Cambria Math"/>
                        </w:rPr>
                        <m:t>c</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e</m:t>
                      </m:r>
                    </m:sub>
                  </m:sSub>
                  <m:r>
                    <w:rPr>
                      <w:rFonts w:ascii="Cambria Math" w:hAnsi="Cambria Math"/>
                    </w:rPr>
                    <m:t>*t</m:t>
                  </m:r>
                </m:e>
              </m:func>
            </m:e>
          </m:func>
        </m:oMath>
      </m:oMathPara>
    </w:p>
    <w:p w14:paraId="5A1550BB" w14:textId="77777777" w:rsidR="006C7C5D" w:rsidRDefault="006C7C5D" w:rsidP="00845B6B">
      <w:pPr>
        <w:pStyle w:val="Beschriftung"/>
        <w:ind w:firstLine="0"/>
        <w:rPr>
          <w:b w:val="0"/>
        </w:rPr>
      </w:pPr>
      <w:bookmarkStart w:id="322" w:name="_Ref282211126"/>
      <w:r w:rsidRPr="006C7C5D">
        <w:t xml:space="preserve">Formel </w:t>
      </w:r>
      <w:fldSimple w:instr=" SEQ Formel \* ARABIC ">
        <w:r w:rsidR="00711AB8">
          <w:rPr>
            <w:noProof/>
          </w:rPr>
          <w:t>4</w:t>
        </w:r>
      </w:fldSimple>
      <w:bookmarkEnd w:id="322"/>
      <w:r>
        <w:rPr>
          <w:b w:val="0"/>
        </w:rPr>
        <w:t xml:space="preserve"> </w:t>
      </w:r>
      <w:r w:rsidR="00DD40F8">
        <w:rPr>
          <w:b w:val="0"/>
        </w:rPr>
        <w:t xml:space="preserve">Logarithmus </w:t>
      </w:r>
      <w:r w:rsidR="00FE66CE">
        <w:rPr>
          <w:b w:val="0"/>
        </w:rPr>
        <w:t xml:space="preserve">von </w:t>
      </w:r>
      <w:r w:rsidR="00057BAF">
        <w:fldChar w:fldCharType="begin"/>
      </w:r>
      <w:r w:rsidR="00057BAF">
        <w:instrText xml:space="preserve"> REF _Ref282207773 \h  \* MERGEFORMAT </w:instrText>
      </w:r>
      <w:r w:rsidR="00057BAF">
        <w:fldChar w:fldCharType="separate"/>
      </w:r>
      <w:r w:rsidR="00711AB8" w:rsidRPr="00711AB8">
        <w:rPr>
          <w:b w:val="0"/>
        </w:rPr>
        <w:t>Formel 3</w:t>
      </w:r>
      <w:r w:rsidR="00057BAF">
        <w:fldChar w:fldCharType="end"/>
      </w:r>
      <w:r w:rsidR="00FE66CE">
        <w:rPr>
          <w:b w:val="0"/>
        </w:rPr>
        <w:t xml:space="preserve">, </w:t>
      </w:r>
      <w:r w:rsidR="00DD40F8">
        <w:rPr>
          <w:b w:val="0"/>
        </w:rPr>
        <w:t>der Funktion der Plasmakonzentration in Abh</w:t>
      </w:r>
      <w:r w:rsidR="00FE66CE">
        <w:rPr>
          <w:b w:val="0"/>
        </w:rPr>
        <w:t>ängigkeit von der Zeit.</w:t>
      </w:r>
    </w:p>
    <w:p w14:paraId="7EC6FB88" w14:textId="77777777" w:rsidR="00DD40F8" w:rsidRDefault="00DD40F8" w:rsidP="00DD40F8">
      <w:pPr>
        <w:spacing w:after="0"/>
      </w:pPr>
    </w:p>
    <w:p w14:paraId="32AC9C4C" w14:textId="77777777" w:rsidR="00DD40F8" w:rsidRDefault="00DD40F8" w:rsidP="00DD40F8">
      <w:r>
        <w:t>Durch lineare Regression der halblogarithmischen Auftragung der Plasmak</w:t>
      </w:r>
      <w:r w:rsidR="00D85F24">
        <w:t>onzentration</w:t>
      </w:r>
      <w:r w:rsidR="000B4C9C">
        <w:t xml:space="preserve"> von Desmopressin</w:t>
      </w:r>
      <w:r w:rsidR="00D85F24">
        <w:t xml:space="preserve"> über der Zeit wird</w:t>
      </w:r>
      <w:r>
        <w:t xml:space="preserve"> die folgende Funktion erhalten:</w:t>
      </w:r>
    </w:p>
    <w:p w14:paraId="22F4EE3F" w14:textId="77777777" w:rsidR="00DD40F8" w:rsidRPr="00DD40F8" w:rsidRDefault="00DE258C" w:rsidP="00DD40F8">
      <w:pPr>
        <w:rPr>
          <w:rFonts w:eastAsiaTheme="minorEastAsia"/>
        </w:rPr>
      </w:pPr>
      <m:oMathPara>
        <m:oMath>
          <m:func>
            <m:funcPr>
              <m:ctrlPr>
                <w:rPr>
                  <w:rFonts w:ascii="Cambria Math" w:hAnsi="Cambria Math"/>
                  <w:i/>
                </w:rPr>
              </m:ctrlPr>
            </m:funcPr>
            <m:fName>
              <m:r>
                <m:rPr>
                  <m:sty m:val="p"/>
                </m:rPr>
                <w:rPr>
                  <w:rFonts w:ascii="Cambria Math" w:hAnsi="Cambria Math"/>
                </w:rPr>
                <m:t>ln</m:t>
              </m:r>
            </m:fName>
            <m:e>
              <m:r>
                <w:rPr>
                  <w:rFonts w:ascii="Cambria Math" w:hAnsi="Cambria Math"/>
                </w:rPr>
                <m:t>c</m:t>
              </m:r>
              <m:d>
                <m:dPr>
                  <m:ctrlPr>
                    <w:rPr>
                      <w:rFonts w:ascii="Cambria Math" w:hAnsi="Cambria Math"/>
                      <w:i/>
                    </w:rPr>
                  </m:ctrlPr>
                </m:dPr>
                <m:e>
                  <m:r>
                    <w:rPr>
                      <w:rFonts w:ascii="Cambria Math" w:hAnsi="Cambria Math"/>
                    </w:rPr>
                    <m:t>t</m:t>
                  </m:r>
                </m:e>
              </m:d>
              <m:r>
                <w:rPr>
                  <w:rFonts w:ascii="Cambria Math" w:hAnsi="Cambria Math"/>
                </w:rPr>
                <m:t>=9,7807-0,6064*t</m:t>
              </m:r>
            </m:e>
          </m:func>
        </m:oMath>
      </m:oMathPara>
    </w:p>
    <w:p w14:paraId="2964AA2D" w14:textId="77777777" w:rsidR="00DD40F8" w:rsidRDefault="00DD40F8" w:rsidP="00845B6B">
      <w:pPr>
        <w:pStyle w:val="Beschriftung"/>
        <w:ind w:firstLine="0"/>
        <w:rPr>
          <w:b w:val="0"/>
        </w:rPr>
      </w:pPr>
      <w:bookmarkStart w:id="323" w:name="_Ref282208800"/>
      <w:r w:rsidRPr="00DD40F8">
        <w:t xml:space="preserve">Formel </w:t>
      </w:r>
      <w:fldSimple w:instr=" SEQ Formel \* ARABIC ">
        <w:r w:rsidR="00711AB8">
          <w:rPr>
            <w:noProof/>
          </w:rPr>
          <w:t>5</w:t>
        </w:r>
      </w:fldSimple>
      <w:bookmarkEnd w:id="323"/>
      <w:r>
        <w:rPr>
          <w:b w:val="0"/>
        </w:rPr>
        <w:t xml:space="preserve"> </w:t>
      </w:r>
      <w:r w:rsidR="00AB3103">
        <w:rPr>
          <w:b w:val="0"/>
        </w:rPr>
        <w:t xml:space="preserve">Funktion der </w:t>
      </w:r>
      <w:r>
        <w:rPr>
          <w:b w:val="0"/>
        </w:rPr>
        <w:t>Regressionsgerade</w:t>
      </w:r>
      <w:r w:rsidR="00AB3103">
        <w:rPr>
          <w:b w:val="0"/>
        </w:rPr>
        <w:t>n</w:t>
      </w:r>
      <w:r>
        <w:rPr>
          <w:b w:val="0"/>
        </w:rPr>
        <w:t xml:space="preserve"> der </w:t>
      </w:r>
      <w:r w:rsidR="00AB3103">
        <w:rPr>
          <w:b w:val="0"/>
        </w:rPr>
        <w:t>halb</w:t>
      </w:r>
      <w:r>
        <w:rPr>
          <w:b w:val="0"/>
        </w:rPr>
        <w:t xml:space="preserve">logarithmischen Auftragung </w:t>
      </w:r>
      <w:r w:rsidR="00AB3103">
        <w:rPr>
          <w:b w:val="0"/>
        </w:rPr>
        <w:t>der Plasmakonzentration</w:t>
      </w:r>
      <w:r w:rsidR="000B4C9C">
        <w:rPr>
          <w:b w:val="0"/>
        </w:rPr>
        <w:t xml:space="preserve"> von Desmopressin</w:t>
      </w:r>
      <w:r w:rsidR="00AB3103">
        <w:rPr>
          <w:b w:val="0"/>
        </w:rPr>
        <w:t xml:space="preserve"> über der Zeit</w:t>
      </w:r>
      <w:r w:rsidR="0033213F">
        <w:rPr>
          <w:b w:val="0"/>
        </w:rPr>
        <w:t>.</w:t>
      </w:r>
    </w:p>
    <w:p w14:paraId="15E1382C" w14:textId="77777777" w:rsidR="00AB3103" w:rsidRDefault="00AB3103" w:rsidP="00AB3103">
      <w:pPr>
        <w:spacing w:after="0"/>
      </w:pPr>
    </w:p>
    <w:p w14:paraId="7C34AFD2" w14:textId="77777777" w:rsidR="00AB3103" w:rsidRDefault="00EE5DA5" w:rsidP="00AB3103">
      <w:r>
        <w:t xml:space="preserve">Aus </w:t>
      </w:r>
      <w:r w:rsidR="00D16240">
        <w:fldChar w:fldCharType="begin"/>
      </w:r>
      <w:r>
        <w:instrText xml:space="preserve"> REF _Ref282208800 \h </w:instrText>
      </w:r>
      <w:r w:rsidR="00D16240">
        <w:fldChar w:fldCharType="separate"/>
      </w:r>
      <w:r w:rsidR="00711AB8" w:rsidRPr="00DD40F8">
        <w:t xml:space="preserve">Formel </w:t>
      </w:r>
      <w:r w:rsidR="00711AB8">
        <w:rPr>
          <w:noProof/>
        </w:rPr>
        <w:t>5</w:t>
      </w:r>
      <w:r w:rsidR="00D16240">
        <w:fldChar w:fldCharType="end"/>
      </w:r>
      <w:r w:rsidR="00D85F24">
        <w:t xml:space="preserve"> können nun e</w:t>
      </w:r>
      <w:r w:rsidR="00AB1E76">
        <w:t>inige wesentliche pharmakokine</w:t>
      </w:r>
      <w:r w:rsidR="00AB3103">
        <w:t>tische Parameter abgelesen</w:t>
      </w:r>
      <w:r w:rsidR="000B4C9C">
        <w:t xml:space="preserve"> oder</w:t>
      </w:r>
      <w:r w:rsidR="00D85F24">
        <w:t xml:space="preserve"> hergeleitet</w:t>
      </w:r>
      <w:r w:rsidR="00AB3103">
        <w:t xml:space="preserve"> werden. </w:t>
      </w:r>
      <w:r w:rsidR="00C03001">
        <w:t xml:space="preserve">Durch Einsetzen von </w:t>
      </w:r>
      <w:r w:rsidR="00C03001" w:rsidRPr="00133A31">
        <w:rPr>
          <w:i/>
        </w:rPr>
        <w:t>t=0</w:t>
      </w:r>
      <w:r w:rsidR="00C03001">
        <w:t xml:space="preserve"> in </w:t>
      </w:r>
      <w:r w:rsidR="00D16240">
        <w:fldChar w:fldCharType="begin"/>
      </w:r>
      <w:r w:rsidR="00C03001">
        <w:instrText xml:space="preserve"> REF _Ref282208800 \h </w:instrText>
      </w:r>
      <w:r w:rsidR="00D16240">
        <w:fldChar w:fldCharType="separate"/>
      </w:r>
      <w:r w:rsidR="00711AB8" w:rsidRPr="00DD40F8">
        <w:t xml:space="preserve">Formel </w:t>
      </w:r>
      <w:r w:rsidR="00711AB8">
        <w:rPr>
          <w:noProof/>
        </w:rPr>
        <w:t>5</w:t>
      </w:r>
      <w:r w:rsidR="00D16240">
        <w:fldChar w:fldCharType="end"/>
      </w:r>
      <w:r w:rsidR="00C03001">
        <w:t xml:space="preserve"> kann nun d</w:t>
      </w:r>
      <w:r w:rsidR="00AB3103">
        <w:t>ie Konzentration zum Ze</w:t>
      </w:r>
      <w:r w:rsidR="00C03001">
        <w:t>itpunkt null</w:t>
      </w:r>
      <w:r w:rsidR="00FE66CE">
        <w:t xml:space="preserve"> berechnet werden</w:t>
      </w:r>
      <w:r w:rsidR="00C03001">
        <w:t>. Löst man die Gleichung nach c</w:t>
      </w:r>
      <w:r w:rsidR="00C03001">
        <w:rPr>
          <w:vertAlign w:val="subscript"/>
        </w:rPr>
        <w:t>0</w:t>
      </w:r>
      <w:r w:rsidR="00C03001">
        <w:t xml:space="preserve"> auf, ergibt sich eine Konzentration von</w:t>
      </w:r>
      <w:r w:rsidR="00BD6320">
        <w:t xml:space="preserve"> </w:t>
      </w:r>
      <w:r w:rsidR="00BD6320" w:rsidRPr="00133A31">
        <w:rPr>
          <w:i/>
        </w:rPr>
        <w:t>c</w:t>
      </w:r>
      <w:r w:rsidR="00BD6320" w:rsidRPr="00133A31">
        <w:rPr>
          <w:i/>
          <w:vertAlign w:val="subscript"/>
        </w:rPr>
        <w:t>0</w:t>
      </w:r>
      <w:r w:rsidR="00AB3103">
        <w:t xml:space="preserve">=17,7 µg/ml. </w:t>
      </w:r>
      <w:r w:rsidR="00FE66CE">
        <w:t>D</w:t>
      </w:r>
      <w:r w:rsidR="00C03001">
        <w:t>iese Plasmakonzentration</w:t>
      </w:r>
      <w:r w:rsidR="00FE66CE">
        <w:t xml:space="preserve"> ergibt sich</w:t>
      </w:r>
      <w:r w:rsidR="00C03001">
        <w:t xml:space="preserve"> letztlich</w:t>
      </w:r>
      <w:r w:rsidR="00FE66CE">
        <w:t xml:space="preserve"> aus</w:t>
      </w:r>
      <w:r w:rsidR="00360CF4">
        <w:t xml:space="preserve"> der</w:t>
      </w:r>
      <w:r w:rsidR="00FE66CE">
        <w:t xml:space="preserve"> verabreichten</w:t>
      </w:r>
      <w:r w:rsidR="00360CF4">
        <w:t xml:space="preserve"> Dosis </w:t>
      </w:r>
      <w:r w:rsidR="00FE66CE" w:rsidRPr="00FE66CE">
        <w:rPr>
          <w:i/>
        </w:rPr>
        <w:t>D</w:t>
      </w:r>
      <w:r w:rsidR="00FE66CE">
        <w:t xml:space="preserve"> </w:t>
      </w:r>
      <w:r>
        <w:t xml:space="preserve">von 20 µg </w:t>
      </w:r>
      <w:r w:rsidR="00FE66CE">
        <w:t>und dem zur Verfügung stehenden</w:t>
      </w:r>
      <w:r w:rsidR="00360CF4">
        <w:t xml:space="preserve"> Verteilungsvolumen </w:t>
      </w:r>
      <w:r w:rsidR="00FE66CE" w:rsidRPr="00FE66CE">
        <w:rPr>
          <w:i/>
        </w:rPr>
        <w:t>V</w:t>
      </w:r>
      <w:r w:rsidR="00C03001">
        <w:t xml:space="preserve"> entsprec</w:t>
      </w:r>
      <w:r w:rsidR="00133A31">
        <w:t>hend</w:t>
      </w:r>
      <w:r w:rsidR="00C03001">
        <w:t xml:space="preserve"> </w:t>
      </w:r>
      <w:r w:rsidR="00C03001" w:rsidRPr="00133A31">
        <w:rPr>
          <w:i/>
        </w:rPr>
        <w:t>c</w:t>
      </w:r>
      <w:r w:rsidR="00C03001" w:rsidRPr="00133A31">
        <w:rPr>
          <w:i/>
          <w:vertAlign w:val="subscript"/>
        </w:rPr>
        <w:t>0</w:t>
      </w:r>
      <w:r w:rsidR="00C03001" w:rsidRPr="00133A31">
        <w:rPr>
          <w:i/>
        </w:rPr>
        <w:t>=D/V</w:t>
      </w:r>
      <w:r w:rsidR="00C03001">
        <w:t>.</w:t>
      </w:r>
      <w:r w:rsidR="00E17793">
        <w:t xml:space="preserve"> Der Betrag von</w:t>
      </w:r>
      <w:r w:rsidR="00C03001">
        <w:t xml:space="preserve"> </w:t>
      </w:r>
      <w:r w:rsidR="00AB0477" w:rsidRPr="00AB0477">
        <w:rPr>
          <w:i/>
        </w:rPr>
        <w:t>c</w:t>
      </w:r>
      <w:r w:rsidR="00AB0477" w:rsidRPr="00AB0477">
        <w:rPr>
          <w:i/>
          <w:vertAlign w:val="subscript"/>
        </w:rPr>
        <w:t>0</w:t>
      </w:r>
      <w:r w:rsidR="00385618">
        <w:t xml:space="preserve"> ist</w:t>
      </w:r>
      <w:r w:rsidR="00AB0477">
        <w:t xml:space="preserve"> kleiner als </w:t>
      </w:r>
      <w:r w:rsidR="00AB0477" w:rsidRPr="00AB0477">
        <w:rPr>
          <w:i/>
        </w:rPr>
        <w:t>D</w:t>
      </w:r>
      <w:r w:rsidR="00AB0477">
        <w:rPr>
          <w:i/>
        </w:rPr>
        <w:t xml:space="preserve">, </w:t>
      </w:r>
      <w:r w:rsidR="00AB0477">
        <w:t xml:space="preserve">da die Dosis in einem Volumen von etwas mehr als 1 ml verteilt wurde. </w:t>
      </w:r>
      <w:r w:rsidR="00C03001">
        <w:t>Mithilfe der bekannten Informationen lässt sich das Verteilungsvolumen zu 1,13 ml berechnen.</w:t>
      </w:r>
      <w:r w:rsidR="00FE66CE">
        <w:t xml:space="preserve"> </w:t>
      </w:r>
      <w:r w:rsidR="00DE598D">
        <w:t xml:space="preserve">Das Blutvolumen einer Maus </w:t>
      </w:r>
      <w:r w:rsidR="00F37A4B">
        <w:t>liegt je nach Alter und Geschlecht</w:t>
      </w:r>
      <w:r w:rsidR="00DE598D">
        <w:t xml:space="preserve"> zwischen 1,1 ml und 3,0 ml</w:t>
      </w:r>
      <w:bookmarkStart w:id="324" w:name="_Ref282388325"/>
      <w:r w:rsidR="00DE598D">
        <w:rPr>
          <w:rStyle w:val="Endnotenzeichen"/>
        </w:rPr>
        <w:endnoteReference w:id="170"/>
      </w:r>
      <w:bookmarkEnd w:id="324"/>
      <w:r w:rsidR="00F37A4B">
        <w:t xml:space="preserve">. Das </w:t>
      </w:r>
      <w:r w:rsidR="00DE598D">
        <w:t xml:space="preserve">berechnete Verteilungsvolumen von Desmopressin </w:t>
      </w:r>
      <w:r w:rsidR="00F37A4B">
        <w:t xml:space="preserve">liegt </w:t>
      </w:r>
      <w:r w:rsidR="00DE598D">
        <w:t>i</w:t>
      </w:r>
      <w:r w:rsidR="00F37A4B">
        <w:t>nnerhalb dieses Bereiches. Daher</w:t>
      </w:r>
      <w:r w:rsidR="00DE598D">
        <w:t xml:space="preserve"> ist davon auszugehen, dass die </w:t>
      </w:r>
      <w:r w:rsidR="00F37A4B">
        <w:t xml:space="preserve">verabreichte </w:t>
      </w:r>
      <w:r w:rsidR="00DE598D">
        <w:t>Dosis vollständig im Blutkreislauf verteilt wurde und sich nicht in tiefere Kompartimente wie beispielsweise Fettgewebe umverteilt</w:t>
      </w:r>
      <w:r w:rsidR="00F37A4B">
        <w:t xml:space="preserve"> hat</w:t>
      </w:r>
      <w:r w:rsidR="00DE598D">
        <w:t>. Dies entspricht voll und ganz den Erwartungen für hydrophile Wirkstoffe wie Desmopressin</w:t>
      </w:r>
      <w:r w:rsidR="007A69E9">
        <w:rPr>
          <w:rStyle w:val="Endnotenzeichen"/>
        </w:rPr>
        <w:endnoteReference w:id="171"/>
      </w:r>
      <w:r w:rsidR="00DE598D">
        <w:t>. Weiterhin wird</w:t>
      </w:r>
      <w:r w:rsidR="00FE66CE">
        <w:rPr>
          <w:vertAlign w:val="subscript"/>
        </w:rPr>
        <w:t xml:space="preserve"> </w:t>
      </w:r>
      <w:r w:rsidR="00DE598D" w:rsidRPr="00AB0477">
        <w:rPr>
          <w:i/>
        </w:rPr>
        <w:t>c</w:t>
      </w:r>
      <w:r w:rsidR="00DE598D" w:rsidRPr="00AB0477">
        <w:rPr>
          <w:i/>
          <w:vertAlign w:val="subscript"/>
        </w:rPr>
        <w:t>0</w:t>
      </w:r>
      <w:r w:rsidR="00D85F24" w:rsidRPr="00FE66CE">
        <w:t xml:space="preserve"> </w:t>
      </w:r>
      <w:r w:rsidR="00D85F24">
        <w:t xml:space="preserve">zur Berechnung der Plasmakonzentration zu einem beliebigen Zeitpunkt mithilfe von </w:t>
      </w:r>
      <w:r w:rsidR="00D16240">
        <w:fldChar w:fldCharType="begin"/>
      </w:r>
      <w:r w:rsidR="00D85F24">
        <w:instrText xml:space="preserve"> REF _Ref282207773 \h </w:instrText>
      </w:r>
      <w:r w:rsidR="00D16240">
        <w:fldChar w:fldCharType="separate"/>
      </w:r>
      <w:r w:rsidR="00711AB8" w:rsidRPr="00861BE0">
        <w:t xml:space="preserve">Formel </w:t>
      </w:r>
      <w:r w:rsidR="00711AB8">
        <w:rPr>
          <w:noProof/>
        </w:rPr>
        <w:t>3</w:t>
      </w:r>
      <w:r w:rsidR="00D16240">
        <w:fldChar w:fldCharType="end"/>
      </w:r>
      <w:r w:rsidR="00D85F24">
        <w:t xml:space="preserve"> benötigt</w:t>
      </w:r>
      <w:r w:rsidR="000A30C5">
        <w:t xml:space="preserve">. </w:t>
      </w:r>
      <w:r w:rsidR="00F37A4B">
        <w:t>Als letzte Größe</w:t>
      </w:r>
      <w:r w:rsidR="00DE598D">
        <w:t xml:space="preserve"> zur</w:t>
      </w:r>
      <w:r w:rsidR="00F37A4B">
        <w:t xml:space="preserve"> Vervollständigung dieser Gleichung fehlt nur</w:t>
      </w:r>
      <w:r w:rsidR="00DE598D">
        <w:t xml:space="preserve"> noch die</w:t>
      </w:r>
      <w:r w:rsidR="00AB3103">
        <w:t xml:space="preserve"> Eliminationskonstante </w:t>
      </w:r>
      <w:r w:rsidR="00AB3103" w:rsidRPr="00AB3103">
        <w:rPr>
          <w:i/>
        </w:rPr>
        <w:t>k</w:t>
      </w:r>
      <w:r w:rsidR="00AB3103" w:rsidRPr="00AB3103">
        <w:rPr>
          <w:i/>
          <w:vertAlign w:val="subscript"/>
        </w:rPr>
        <w:t>e</w:t>
      </w:r>
      <w:r w:rsidR="00DE598D">
        <w:t>.</w:t>
      </w:r>
      <w:r w:rsidR="00356649">
        <w:t xml:space="preserve"> </w:t>
      </w:r>
      <w:r w:rsidR="00DE598D">
        <w:t xml:space="preserve">Sie </w:t>
      </w:r>
      <w:r w:rsidR="00356649">
        <w:t>wird durch die Steigung der linearisierten</w:t>
      </w:r>
      <w:r w:rsidR="00AB1E76">
        <w:t xml:space="preserve"> </w:t>
      </w:r>
      <w:r w:rsidR="00D85F24">
        <w:t xml:space="preserve">halblogarithmischen </w:t>
      </w:r>
      <w:r w:rsidR="00AB1E76">
        <w:t>Funktion beschrieben</w:t>
      </w:r>
      <w:r w:rsidR="00D85F24">
        <w:t xml:space="preserve"> </w:t>
      </w:r>
      <w:r w:rsidR="00AB1E76">
        <w:t>und</w:t>
      </w:r>
      <w:r w:rsidR="00AB3103">
        <w:t xml:space="preserve"> beträgt</w:t>
      </w:r>
      <w:r w:rsidR="00D85F24">
        <w:t xml:space="preserve"> im konkreten Fall</w:t>
      </w:r>
      <w:r w:rsidR="00AB3103">
        <w:t xml:space="preserve"> </w:t>
      </w:r>
      <w:r w:rsidR="00F37A4B">
        <w:rPr>
          <w:i/>
        </w:rPr>
        <w:t>k</w:t>
      </w:r>
      <w:r w:rsidR="00F37A4B">
        <w:rPr>
          <w:i/>
          <w:vertAlign w:val="subscript"/>
        </w:rPr>
        <w:t>e</w:t>
      </w:r>
      <w:r w:rsidR="00B246E3">
        <w:rPr>
          <w:i/>
          <w:vertAlign w:val="subscript"/>
        </w:rPr>
        <w:t xml:space="preserve"> </w:t>
      </w:r>
      <w:r w:rsidR="00F37A4B">
        <w:t>=</w:t>
      </w:r>
      <w:r w:rsidR="00B246E3">
        <w:t xml:space="preserve"> </w:t>
      </w:r>
      <w:r w:rsidR="00AB3103">
        <w:t>0,6064</w:t>
      </w:r>
      <w:r w:rsidR="00293B04">
        <w:t xml:space="preserve"> </w:t>
      </w:r>
      <w:r w:rsidR="00643DBE">
        <w:t>h</w:t>
      </w:r>
      <w:r w:rsidR="00643DBE">
        <w:rPr>
          <w:vertAlign w:val="superscript"/>
        </w:rPr>
        <w:t>-1</w:t>
      </w:r>
      <w:r w:rsidR="00AB3103">
        <w:t>.</w:t>
      </w:r>
      <w:r w:rsidR="00643DBE">
        <w:t xml:space="preserve"> Sie hat die Dimension einer inversen Zeit: </w:t>
      </w:r>
      <w:r w:rsidR="00643DBE" w:rsidRPr="00643DBE">
        <w:rPr>
          <w:i/>
        </w:rPr>
        <w:t>k</w:t>
      </w:r>
      <w:r w:rsidR="00643DBE" w:rsidRPr="00643DBE">
        <w:rPr>
          <w:i/>
          <w:vertAlign w:val="subscript"/>
        </w:rPr>
        <w:t>e</w:t>
      </w:r>
      <w:r w:rsidR="00643DBE" w:rsidRPr="006215D2">
        <w:rPr>
          <w:i/>
        </w:rPr>
        <w:t>=1/</w:t>
      </w:r>
      <w:r w:rsidR="00643DBE" w:rsidRPr="006215D2">
        <w:rPr>
          <w:i/>
        </w:rPr>
        <w:sym w:font="Symbol" w:char="F074"/>
      </w:r>
      <w:r w:rsidR="000A30C5">
        <w:t xml:space="preserve"> und stellt ein Maß für die</w:t>
      </w:r>
      <w:r w:rsidR="00643DBE">
        <w:t xml:space="preserve"> Geschwindigkeit der Elimination</w:t>
      </w:r>
      <w:r w:rsidR="00F37A4B">
        <w:t xml:space="preserve"> aus dem zentralen Kompartiment, dem systemischen Blutkreislauf,</w:t>
      </w:r>
      <w:r w:rsidR="000A30C5">
        <w:t xml:space="preserve"> dar</w:t>
      </w:r>
      <w:r w:rsidR="00643DBE">
        <w:t>. Eine weitaus geläufigere Kenngröße</w:t>
      </w:r>
      <w:r w:rsidR="00293B04">
        <w:t xml:space="preserve"> der Eliminationsgeschwindigkeit</w:t>
      </w:r>
      <w:r w:rsidR="00643DBE">
        <w:t xml:space="preserve"> ist jedoch die Halbwertszeit </w:t>
      </w:r>
      <w:r w:rsidR="00643DBE" w:rsidRPr="00643DBE">
        <w:rPr>
          <w:i/>
        </w:rPr>
        <w:t>t</w:t>
      </w:r>
      <w:r w:rsidR="00643DBE" w:rsidRPr="00643DBE">
        <w:rPr>
          <w:i/>
          <w:vertAlign w:val="subscript"/>
        </w:rPr>
        <w:t>1/2</w:t>
      </w:r>
      <w:r w:rsidR="00AB1E76">
        <w:t>. Sie gibt das Zeitintervall an, in dem</w:t>
      </w:r>
      <w:r w:rsidR="00293B04">
        <w:t xml:space="preserve"> </w:t>
      </w:r>
      <w:r w:rsidR="00AB1E76">
        <w:t xml:space="preserve">die </w:t>
      </w:r>
      <w:r w:rsidR="00293B04">
        <w:t xml:space="preserve">Wirkstoffkonzentration </w:t>
      </w:r>
      <w:r w:rsidR="00AB1E76">
        <w:t>im Blutkrei</w:t>
      </w:r>
      <w:r w:rsidR="000A30C5">
        <w:t xml:space="preserve">slauf </w:t>
      </w:r>
      <w:r w:rsidR="000B4C9C">
        <w:t xml:space="preserve">jeweils </w:t>
      </w:r>
      <w:r w:rsidR="006215D2">
        <w:t>auf die Hälfte absinkt. Zwischen der</w:t>
      </w:r>
      <w:r w:rsidR="000A30C5">
        <w:t xml:space="preserve"> Halbwertszeit</w:t>
      </w:r>
      <w:r w:rsidR="006215D2">
        <w:t xml:space="preserve"> </w:t>
      </w:r>
      <w:r w:rsidR="006215D2" w:rsidRPr="006215D2">
        <w:rPr>
          <w:i/>
        </w:rPr>
        <w:t>t</w:t>
      </w:r>
      <w:r w:rsidR="006215D2" w:rsidRPr="006215D2">
        <w:rPr>
          <w:i/>
          <w:vertAlign w:val="subscript"/>
        </w:rPr>
        <w:t>1/2</w:t>
      </w:r>
      <w:r w:rsidR="006215D2">
        <w:t xml:space="preserve"> und </w:t>
      </w:r>
      <w:r w:rsidR="006215D2" w:rsidRPr="006215D2">
        <w:rPr>
          <w:i/>
        </w:rPr>
        <w:sym w:font="Symbol" w:char="F074"/>
      </w:r>
      <w:r w:rsidR="006215D2">
        <w:t xml:space="preserve"> besteht folgender</w:t>
      </w:r>
      <w:r w:rsidR="00AB1E76">
        <w:t xml:space="preserve"> Zusammenhang: </w:t>
      </w:r>
      <w:r w:rsidR="00AB1E76" w:rsidRPr="00293B04">
        <w:rPr>
          <w:i/>
        </w:rPr>
        <w:t>t</w:t>
      </w:r>
      <w:r w:rsidR="00AB1E76" w:rsidRPr="00293B04">
        <w:rPr>
          <w:i/>
          <w:vertAlign w:val="subscript"/>
        </w:rPr>
        <w:t>1/2</w:t>
      </w:r>
      <w:r w:rsidR="000B4C9C">
        <w:rPr>
          <w:i/>
          <w:vertAlign w:val="subscript"/>
        </w:rPr>
        <w:t> </w:t>
      </w:r>
      <w:r w:rsidR="000B4C9C">
        <w:t>= </w:t>
      </w:r>
      <w:r w:rsidR="00AB1E76" w:rsidRPr="006215D2">
        <w:rPr>
          <w:i/>
        </w:rPr>
        <w:sym w:font="Symbol" w:char="F074"/>
      </w:r>
      <w:r w:rsidR="000B4C9C" w:rsidRPr="006215D2">
        <w:rPr>
          <w:i/>
        </w:rPr>
        <w:t> </w:t>
      </w:r>
      <w:r w:rsidR="00AB1E76" w:rsidRPr="006215D2">
        <w:rPr>
          <w:i/>
        </w:rPr>
        <w:t>*</w:t>
      </w:r>
      <w:r w:rsidR="000B4C9C" w:rsidRPr="006215D2">
        <w:rPr>
          <w:i/>
        </w:rPr>
        <w:t> </w:t>
      </w:r>
      <w:r w:rsidR="000A30C5" w:rsidRPr="006215D2">
        <w:rPr>
          <w:i/>
        </w:rPr>
        <w:t>ln(2)</w:t>
      </w:r>
      <w:r w:rsidR="000A30C5">
        <w:t>. Mithilfe dieser Funktion</w:t>
      </w:r>
      <w:r w:rsidR="00F37A4B">
        <w:t>en</w:t>
      </w:r>
      <w:r w:rsidR="00AB1E76">
        <w:t xml:space="preserve"> lässt sich die Halbwertszeit zu </w:t>
      </w:r>
      <w:r w:rsidR="00AB1E76" w:rsidRPr="00AB1E76">
        <w:rPr>
          <w:i/>
        </w:rPr>
        <w:t>t</w:t>
      </w:r>
      <w:r w:rsidR="00AB1E76" w:rsidRPr="00AB1E76">
        <w:rPr>
          <w:i/>
          <w:vertAlign w:val="subscript"/>
        </w:rPr>
        <w:t>1/2</w:t>
      </w:r>
      <w:r w:rsidR="000A30C5">
        <w:t> = </w:t>
      </w:r>
      <w:r w:rsidR="00133A31">
        <w:t>1,14 h berechnen</w:t>
      </w:r>
      <w:r w:rsidR="00AB1E76">
        <w:t xml:space="preserve">. Dies entspricht </w:t>
      </w:r>
      <w:r w:rsidR="00C57C90">
        <w:t xml:space="preserve">einem Zeitraum von </w:t>
      </w:r>
      <w:r w:rsidR="00AB1E76">
        <w:t xml:space="preserve">rund 68 Minuten. </w:t>
      </w:r>
      <w:r w:rsidR="00356649">
        <w:t>Beim Menschen liegt</w:t>
      </w:r>
      <w:r w:rsidR="00C57C90">
        <w:t xml:space="preserve"> die Eliminationshalbwertszeit</w:t>
      </w:r>
      <w:r w:rsidR="00356649">
        <w:t xml:space="preserve"> </w:t>
      </w:r>
      <w:r w:rsidR="00356649">
        <w:rPr>
          <w:i/>
        </w:rPr>
        <w:t>t</w:t>
      </w:r>
      <w:r w:rsidR="00356649">
        <w:rPr>
          <w:i/>
          <w:vertAlign w:val="subscript"/>
        </w:rPr>
        <w:t>1/2</w:t>
      </w:r>
      <w:r w:rsidR="00C57C90">
        <w:t xml:space="preserve"> von Desmopressin</w:t>
      </w:r>
      <w:r w:rsidR="00014260">
        <w:t xml:space="preserve"> nach intravenöser Gabe</w:t>
      </w:r>
      <w:r w:rsidR="00C57C90">
        <w:t xml:space="preserve"> zwische</w:t>
      </w:r>
      <w:r w:rsidR="00014260">
        <w:t>n 80</w:t>
      </w:r>
      <w:r w:rsidR="00356649">
        <w:t xml:space="preserve"> und </w:t>
      </w:r>
      <w:r w:rsidR="00014260">
        <w:lastRenderedPageBreak/>
        <w:t>120 Minuten</w:t>
      </w:r>
      <w:bookmarkStart w:id="325" w:name="_Ref284440502"/>
      <w:r w:rsidR="00014260">
        <w:rPr>
          <w:rStyle w:val="Endnotenzeichen"/>
        </w:rPr>
        <w:endnoteReference w:id="172"/>
      </w:r>
      <w:bookmarkEnd w:id="325"/>
      <w:r w:rsidR="00356649">
        <w:t>. Daraus lässt sich schließen, dass der Wirkstoff Desmopr</w:t>
      </w:r>
      <w:r w:rsidR="006A3B20">
        <w:t>essin von der Maus</w:t>
      </w:r>
      <w:r w:rsidR="00014260">
        <w:t xml:space="preserve"> etwas</w:t>
      </w:r>
      <w:r w:rsidR="006A3B20">
        <w:t xml:space="preserve"> schneller eliminiert wird als vom</w:t>
      </w:r>
      <w:r w:rsidR="00356649">
        <w:t xml:space="preserve"> menschlichen</w:t>
      </w:r>
      <w:r w:rsidR="006A3B20">
        <w:t xml:space="preserve"> Organismus</w:t>
      </w:r>
      <w:r w:rsidR="00356649">
        <w:t>.</w:t>
      </w:r>
    </w:p>
    <w:p w14:paraId="0C4A0234" w14:textId="77777777" w:rsidR="00AE22BC" w:rsidRDefault="00AE22BC" w:rsidP="00AB3103"/>
    <w:p w14:paraId="0E43428F" w14:textId="77777777" w:rsidR="009B4D30" w:rsidRDefault="00F40A26" w:rsidP="0046272E">
      <w:pPr>
        <w:pStyle w:val="berschrift5"/>
        <w:spacing w:after="240"/>
        <w:rPr>
          <w:color w:val="auto"/>
        </w:rPr>
      </w:pPr>
      <w:bookmarkStart w:id="326" w:name="_Toc294380289"/>
      <w:r>
        <w:rPr>
          <w:color w:val="auto"/>
        </w:rPr>
        <w:t xml:space="preserve">Untersuchung der oralen </w:t>
      </w:r>
      <w:r w:rsidR="00A94378" w:rsidRPr="00A94378">
        <w:rPr>
          <w:color w:val="auto"/>
        </w:rPr>
        <w:t>Bioverfügbarkeit der Partikelformulierungen</w:t>
      </w:r>
      <w:bookmarkEnd w:id="326"/>
    </w:p>
    <w:p w14:paraId="455D2E3B" w14:textId="77777777" w:rsidR="000B4C9C" w:rsidRPr="00A94378" w:rsidRDefault="00AE22BC" w:rsidP="0010329F">
      <w:pPr>
        <w:spacing w:after="240"/>
      </w:pPr>
      <w:r>
        <w:t xml:space="preserve">Zur Untersuchung der oralen Bioverfügbarkeit der Partikelformulierungen mit </w:t>
      </w:r>
      <w:r w:rsidR="00BD6320">
        <w:t xml:space="preserve">Desmopressin wurde zunächst </w:t>
      </w:r>
      <w:r w:rsidR="00AE3515">
        <w:t xml:space="preserve">jeweils </w:t>
      </w:r>
      <w:r w:rsidR="00BD6320">
        <w:t>der zeitliche Verlauf der</w:t>
      </w:r>
      <w:r w:rsidR="00AE3515">
        <w:t xml:space="preserve"> Plasmakonzentration</w:t>
      </w:r>
      <w:r>
        <w:t xml:space="preserve"> von Desmopressin</w:t>
      </w:r>
      <w:r w:rsidR="00BD6320">
        <w:t xml:space="preserve"> nach peroraler Gabe</w:t>
      </w:r>
      <w:r>
        <w:t xml:space="preserve"> grafisch </w:t>
      </w:r>
      <w:r w:rsidR="000C6826">
        <w:t>aufgetragen. Als Referenz wurde</w:t>
      </w:r>
      <w:r w:rsidR="00BD6320">
        <w:t xml:space="preserve"> Minirin</w:t>
      </w:r>
      <w:r w:rsidR="00BD6320" w:rsidRPr="00BD6320">
        <w:rPr>
          <w:vertAlign w:val="superscript"/>
        </w:rPr>
        <w:sym w:font="Symbol" w:char="F0D2"/>
      </w:r>
      <w:r w:rsidR="000C6826">
        <w:t xml:space="preserve"> Lyophilisat (sublinguale Schmelztablette)</w:t>
      </w:r>
      <w:r w:rsidR="00BD6320">
        <w:t xml:space="preserve"> ausgewählt und in gleicher Weise wie die Partikelformulierungen den Versuchstieren peroral verabreicht. Die Ergebnisse sind in </w:t>
      </w:r>
      <w:r w:rsidR="00D16240">
        <w:fldChar w:fldCharType="begin"/>
      </w:r>
      <w:r w:rsidR="00BD6320">
        <w:instrText xml:space="preserve"> REF _Ref282272343 \h </w:instrText>
      </w:r>
      <w:r w:rsidR="00D16240">
        <w:fldChar w:fldCharType="separate"/>
      </w:r>
      <w:r w:rsidR="00711AB8" w:rsidRPr="00BD6320">
        <w:t xml:space="preserve">Abbildung </w:t>
      </w:r>
      <w:r w:rsidR="00711AB8">
        <w:rPr>
          <w:noProof/>
        </w:rPr>
        <w:t>60</w:t>
      </w:r>
      <w:r w:rsidR="00D16240">
        <w:fldChar w:fldCharType="end"/>
      </w:r>
      <w:r w:rsidR="00BD6320">
        <w:t xml:space="preserve"> dargestellt.</w:t>
      </w:r>
    </w:p>
    <w:p w14:paraId="22C375D0" w14:textId="77777777" w:rsidR="00241B2A" w:rsidRDefault="00241B2A" w:rsidP="00BD6320">
      <w:pPr>
        <w:spacing w:after="0"/>
        <w:jc w:val="center"/>
      </w:pPr>
      <w:r>
        <w:rPr>
          <w:noProof/>
          <w:lang w:eastAsia="de-DE"/>
        </w:rPr>
        <w:drawing>
          <wp:inline distT="0" distB="0" distL="0" distR="0" wp14:anchorId="7D68A527" wp14:editId="3294CA1F">
            <wp:extent cx="5594562" cy="3357033"/>
            <wp:effectExtent l="0" t="0" r="0" b="0"/>
            <wp:docPr id="17528" name="Diagramm 175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3F8B6103" w14:textId="77777777" w:rsidR="00BD6320" w:rsidRDefault="00BD6320" w:rsidP="002304F3">
      <w:pPr>
        <w:pStyle w:val="Beschriftung"/>
        <w:ind w:firstLine="0"/>
        <w:rPr>
          <w:b w:val="0"/>
        </w:rPr>
      </w:pPr>
      <w:bookmarkStart w:id="327" w:name="_Ref282272343"/>
      <w:r w:rsidRPr="00BD6320">
        <w:t xml:space="preserve">Abbildung </w:t>
      </w:r>
      <w:fldSimple w:instr=" SEQ Abbildung \* ARABIC ">
        <w:r w:rsidR="00711AB8">
          <w:rPr>
            <w:noProof/>
          </w:rPr>
          <w:t>60</w:t>
        </w:r>
      </w:fldSimple>
      <w:bookmarkEnd w:id="327"/>
      <w:r>
        <w:rPr>
          <w:b w:val="0"/>
        </w:rPr>
        <w:t xml:space="preserve"> Plasmaspiegelkurven von Desmopressin nach peroraler Gabe der Formulierungen an Mäuse</w:t>
      </w:r>
      <w:r w:rsidR="00025912">
        <w:rPr>
          <w:b w:val="0"/>
        </w:rPr>
        <w:t>. Die applizierte Dosis betrug</w:t>
      </w:r>
      <w:r w:rsidR="001C138D">
        <w:rPr>
          <w:b w:val="0"/>
        </w:rPr>
        <w:t xml:space="preserve"> für die Partikelformulierungen</w:t>
      </w:r>
      <w:r w:rsidR="00630E96">
        <w:rPr>
          <w:b w:val="0"/>
        </w:rPr>
        <w:t xml:space="preserve"> jeweils 15 µg Desmopressina</w:t>
      </w:r>
      <w:r w:rsidR="00025912">
        <w:rPr>
          <w:b w:val="0"/>
        </w:rPr>
        <w:t>cetat</w:t>
      </w:r>
      <w:r w:rsidR="001C138D">
        <w:rPr>
          <w:b w:val="0"/>
        </w:rPr>
        <w:t xml:space="preserve"> und für Minirin</w:t>
      </w:r>
      <w:r w:rsidR="00276636" w:rsidRPr="00276636">
        <w:rPr>
          <w:b w:val="0"/>
          <w:vertAlign w:val="superscript"/>
        </w:rPr>
        <w:t>®</w:t>
      </w:r>
      <w:r w:rsidR="001C138D">
        <w:rPr>
          <w:b w:val="0"/>
        </w:rPr>
        <w:t xml:space="preserve"> 20 µg</w:t>
      </w:r>
      <w:r w:rsidR="00025912">
        <w:rPr>
          <w:b w:val="0"/>
        </w:rPr>
        <w:t>. n=3 pro Zeitpunkt</w:t>
      </w:r>
      <w:r w:rsidR="00831082">
        <w:rPr>
          <w:b w:val="0"/>
        </w:rPr>
        <w:t>, die erste Messung erfolgte nach 30 min</w:t>
      </w:r>
      <w:r w:rsidR="0033213F">
        <w:rPr>
          <w:b w:val="0"/>
        </w:rPr>
        <w:t>.</w:t>
      </w:r>
    </w:p>
    <w:p w14:paraId="61158F9F" w14:textId="77777777" w:rsidR="002C6C38" w:rsidRPr="002C6C38" w:rsidRDefault="002C6C38" w:rsidP="002C6C38">
      <w:pPr>
        <w:spacing w:after="0"/>
      </w:pPr>
    </w:p>
    <w:p w14:paraId="1333B74F" w14:textId="77777777" w:rsidR="00AE3515" w:rsidRDefault="00BD4D76" w:rsidP="00BD6320">
      <w:r>
        <w:t>Der Verlauf der Plasmakonzentration nach peroraler Gabe der Partike</w:t>
      </w:r>
      <w:r w:rsidR="00125E49">
        <w:t xml:space="preserve">lformulierung mit PLGA ohne hLF, in </w:t>
      </w:r>
      <w:r w:rsidR="00D16240">
        <w:fldChar w:fldCharType="begin"/>
      </w:r>
      <w:r w:rsidR="00125E49">
        <w:instrText xml:space="preserve"> REF _Ref282272343 \h </w:instrText>
      </w:r>
      <w:r w:rsidR="00D16240">
        <w:fldChar w:fldCharType="separate"/>
      </w:r>
      <w:r w:rsidR="00711AB8" w:rsidRPr="00BD6320">
        <w:t xml:space="preserve">Abbildung </w:t>
      </w:r>
      <w:r w:rsidR="00711AB8">
        <w:rPr>
          <w:noProof/>
        </w:rPr>
        <w:t>60</w:t>
      </w:r>
      <w:r w:rsidR="00D16240">
        <w:fldChar w:fldCharType="end"/>
      </w:r>
      <w:r w:rsidR="00125E49">
        <w:t xml:space="preserve"> </w:t>
      </w:r>
      <w:r w:rsidR="00311D6F">
        <w:t xml:space="preserve">in </w:t>
      </w:r>
      <w:r w:rsidR="00125E49">
        <w:t xml:space="preserve">braun </w:t>
      </w:r>
      <w:r w:rsidR="0033213F">
        <w:t>dargestellt, weis</w:t>
      </w:r>
      <w:r w:rsidR="00125E49">
        <w:t>t gegenüber dem Verlauf des Plasmaspiegels nach Gabe des Referenzarzneimittels Minirin</w:t>
      </w:r>
      <w:r w:rsidR="008B1D9F">
        <w:rPr>
          <w:vertAlign w:val="superscript"/>
        </w:rPr>
        <w:t>®</w:t>
      </w:r>
      <w:r w:rsidR="00125E49">
        <w:t>, in violett dargestellt, keinen signifikanten Unterschied auf. Bei beiden Formulierungen wurde die höchste Plasma</w:t>
      </w:r>
      <w:r w:rsidR="0033213F">
        <w:t>-</w:t>
      </w:r>
      <w:r w:rsidR="00125E49">
        <w:t>konzentration bereits 30 min nach der Verabreichung</w:t>
      </w:r>
      <w:r w:rsidR="006215D2">
        <w:t xml:space="preserve"> der Dosis</w:t>
      </w:r>
      <w:r w:rsidR="00125E49">
        <w:t xml:space="preserve"> gemessen. Dies spricht dafür, dass Desmopressin sehr schnell</w:t>
      </w:r>
      <w:r w:rsidR="006215D2">
        <w:t xml:space="preserve"> aus der Arzneiform</w:t>
      </w:r>
      <w:r w:rsidR="009C3EFC">
        <w:t xml:space="preserve"> freigesetzt und</w:t>
      </w:r>
      <w:r w:rsidR="00125E49">
        <w:t xml:space="preserve"> vom Darm resorbiert wurde. </w:t>
      </w:r>
      <w:r w:rsidR="009C3EFC">
        <w:t xml:space="preserve">Die </w:t>
      </w:r>
      <w:r w:rsidR="009C3EFC" w:rsidRPr="009C3EFC">
        <w:rPr>
          <w:i/>
        </w:rPr>
        <w:t>in vitro</w:t>
      </w:r>
      <w:r w:rsidR="00630E96">
        <w:t>-</w:t>
      </w:r>
      <w:r w:rsidR="009C3EFC">
        <w:t xml:space="preserve">Freisetzungstests der PLGA Formulierung haben gezeigt, dass die Freisetzung von Desmopressin </w:t>
      </w:r>
      <w:r w:rsidR="00311D6F">
        <w:t xml:space="preserve">bereits nach 5 min weitgehend abgeschlossen war. Zudem war die Wirkstoffbeladung der Partikel sehr niedrig, sodass ohnehin nicht mit einer modifizierten </w:t>
      </w:r>
      <w:r w:rsidR="00311D6F">
        <w:lastRenderedPageBreak/>
        <w:t>Freisetzung nennenswerter</w:t>
      </w:r>
      <w:r w:rsidR="00660BF8">
        <w:t xml:space="preserve"> Wirkstoffanteile zu rechnen war</w:t>
      </w:r>
      <w:r w:rsidR="00311D6F">
        <w:t>. Das Referenzpräparat Minirin</w:t>
      </w:r>
      <w:r w:rsidR="00311D6F" w:rsidRPr="00311D6F">
        <w:rPr>
          <w:vertAlign w:val="superscript"/>
        </w:rPr>
        <w:sym w:font="Symbol" w:char="F0D2"/>
      </w:r>
      <w:r w:rsidR="00311D6F">
        <w:t xml:space="preserve"> Lyophilisat wurde</w:t>
      </w:r>
      <w:r w:rsidR="002A2681">
        <w:t xml:space="preserve"> wie auch die Partikelformulierungen</w:t>
      </w:r>
      <w:r w:rsidR="00311D6F">
        <w:t xml:space="preserve"> vor der A</w:t>
      </w:r>
      <w:r w:rsidR="00831082">
        <w:t>pplikation in Wasser dispergiert</w:t>
      </w:r>
      <w:r w:rsidR="00311D6F">
        <w:t xml:space="preserve">. Hier ist </w:t>
      </w:r>
      <w:r w:rsidR="002A2681">
        <w:t xml:space="preserve">aufgrund der Formulierung als Schmelztablette </w:t>
      </w:r>
      <w:r w:rsidR="00311D6F">
        <w:t>ebenfalls nicht mit einer modifizierten Wirkstofffreisetzung zu rechnen. Bei beiden Präparaten</w:t>
      </w:r>
      <w:r w:rsidR="002A2681">
        <w:t xml:space="preserve"> ist</w:t>
      </w:r>
      <w:r w:rsidR="00660BF8">
        <w:t xml:space="preserve"> folglich</w:t>
      </w:r>
      <w:r w:rsidR="002A2681">
        <w:t xml:space="preserve"> davon auszugehen, dass </w:t>
      </w:r>
      <w:r w:rsidR="00311D6F">
        <w:t>der W</w:t>
      </w:r>
      <w:r w:rsidR="002A2681">
        <w:t>irkstoff bereits vor der Gabe an</w:t>
      </w:r>
      <w:r w:rsidR="00311D6F">
        <w:t xml:space="preserve"> die Versuchstiere</w:t>
      </w:r>
      <w:r w:rsidR="00FA5A5E">
        <w:t xml:space="preserve"> weitgehend</w:t>
      </w:r>
      <w:r w:rsidR="00311D6F">
        <w:t xml:space="preserve"> </w:t>
      </w:r>
      <w:r w:rsidR="002A2681">
        <w:t>freigesetzt wurde</w:t>
      </w:r>
      <w:r w:rsidR="000B4C9C">
        <w:t xml:space="preserve"> und sich in Lösung befand</w:t>
      </w:r>
      <w:r w:rsidR="002A2681">
        <w:t>. Dies erklärt, dass zwischen der PLGA Formulierung und Minirin</w:t>
      </w:r>
      <w:r w:rsidR="002A2681" w:rsidRPr="002A2681">
        <w:rPr>
          <w:vertAlign w:val="superscript"/>
        </w:rPr>
        <w:sym w:font="Symbol" w:char="F0D2"/>
      </w:r>
      <w:r w:rsidR="002A2681">
        <w:t xml:space="preserve"> kein signifikanter Unterschied des Plasmaspiegelverlaufs resultierte.</w:t>
      </w:r>
      <w:r w:rsidR="0073009A">
        <w:t xml:space="preserve"> </w:t>
      </w:r>
      <w:r w:rsidR="00C636AE">
        <w:t>Zu beachten ist hierbei allerdings, dass die von Minirin verabreichte Wirkstoffdosis 20 µg betrug während die Dosis der PLGA Partikelformulierung bei 15 µg lag. Bei der späteren Berechung der absoluten Bioverfügbarkeit wu</w:t>
      </w:r>
      <w:r w:rsidR="00831082">
        <w:t>rde dieser Einflussfaktor</w:t>
      </w:r>
      <w:r w:rsidR="00C636AE">
        <w:t xml:space="preserve"> berücksichtigt. </w:t>
      </w:r>
      <w:r w:rsidR="0073009A">
        <w:t xml:space="preserve">2h nach der Applikation wurden Konzentrationen um 100 ng/ml gemessen und nach 4h war der Wirkstoff </w:t>
      </w:r>
      <w:r w:rsidR="00FA5A5E">
        <w:t xml:space="preserve">bei den beiden Formulierungen </w:t>
      </w:r>
      <w:r w:rsidR="0073009A">
        <w:t>annähernd vollständi</w:t>
      </w:r>
      <w:r w:rsidR="00FA5A5E">
        <w:t>g aus dem Blut</w:t>
      </w:r>
      <w:r w:rsidR="0073009A">
        <w:t xml:space="preserve"> eliminiert.</w:t>
      </w:r>
    </w:p>
    <w:p w14:paraId="420BFE6E" w14:textId="77777777" w:rsidR="002A2681" w:rsidRDefault="00FA5A5E" w:rsidP="00BD6320">
      <w:r>
        <w:t>B</w:t>
      </w:r>
      <w:r w:rsidR="002A2681">
        <w:t>ei Anwesenheit von hLF in der</w:t>
      </w:r>
      <w:r w:rsidR="0007000C">
        <w:t xml:space="preserve"> Desmopressin</w:t>
      </w:r>
      <w:r w:rsidR="00C636AE">
        <w:t xml:space="preserve"> Formulierung mit</w:t>
      </w:r>
      <w:r w:rsidR="002A2681">
        <w:t xml:space="preserve"> PLGA Partikeln</w:t>
      </w:r>
      <w:r>
        <w:t xml:space="preserve"> war</w:t>
      </w:r>
      <w:r w:rsidR="002A2681">
        <w:t xml:space="preserve"> über den gesamten Messzeitraum hinweg kein signifikanter Nachweis von Desmopressin</w:t>
      </w:r>
      <w:r w:rsidR="002452AD">
        <w:t xml:space="preserve"> im Blutplasma</w:t>
      </w:r>
      <w:r>
        <w:t xml:space="preserve"> möglich</w:t>
      </w:r>
      <w:r w:rsidR="002452AD">
        <w:t xml:space="preserve"> (grüne Kurve in </w:t>
      </w:r>
      <w:r w:rsidR="00D16240">
        <w:fldChar w:fldCharType="begin"/>
      </w:r>
      <w:r w:rsidR="002452AD">
        <w:instrText xml:space="preserve"> REF _Ref282272343 \h </w:instrText>
      </w:r>
      <w:r w:rsidR="00D16240">
        <w:fldChar w:fldCharType="separate"/>
      </w:r>
      <w:r w:rsidR="00711AB8" w:rsidRPr="00BD6320">
        <w:t xml:space="preserve">Abbildung </w:t>
      </w:r>
      <w:r w:rsidR="00711AB8">
        <w:rPr>
          <w:noProof/>
        </w:rPr>
        <w:t>60</w:t>
      </w:r>
      <w:r w:rsidR="00D16240">
        <w:fldChar w:fldCharType="end"/>
      </w:r>
      <w:r w:rsidR="002452AD">
        <w:t>)</w:t>
      </w:r>
      <w:r w:rsidR="002A2681">
        <w:t>. Lediglich bei einem von drei Versuchstieren und ausschließlich beim Messpunkt 1h wurde die Nachweisgrenze überschritten.</w:t>
      </w:r>
      <w:r w:rsidR="00025912">
        <w:t xml:space="preserve"> Auf Basis der vorliegenden Daten ist d</w:t>
      </w:r>
      <w:r w:rsidR="00831082">
        <w:t>ieser Effekt jedoch nicht sig</w:t>
      </w:r>
      <w:r w:rsidR="00025912">
        <w:t>nifikant</w:t>
      </w:r>
      <w:r w:rsidR="002452AD">
        <w:t>, sodass insgesamt davon auszugehen i</w:t>
      </w:r>
      <w:r w:rsidR="00C636AE">
        <w:t>st, dass nach peroraler Gabe der</w:t>
      </w:r>
      <w:r w:rsidR="002452AD">
        <w:t xml:space="preserve"> </w:t>
      </w:r>
      <w:r w:rsidR="00C636AE">
        <w:t>F</w:t>
      </w:r>
      <w:r w:rsidR="002452AD">
        <w:t>ormulierung m</w:t>
      </w:r>
      <w:r w:rsidR="00C636AE">
        <w:t>it hLF beschichteten PLGA Partikeln kein Desmopressin aufgenommen wurde.</w:t>
      </w:r>
      <w:r w:rsidR="002452AD">
        <w:t xml:space="preserve"> Die Pl</w:t>
      </w:r>
      <w:r w:rsidR="00025912">
        <w:t>asmaspiegelkurve von Desmopressin nach Gabe der</w:t>
      </w:r>
      <w:r w:rsidR="000B4C9C">
        <w:t xml:space="preserve"> PLGA Formulierung mit hLF liegt</w:t>
      </w:r>
      <w:r w:rsidR="00025912">
        <w:t xml:space="preserve"> </w:t>
      </w:r>
      <w:r w:rsidR="00C636AE">
        <w:t xml:space="preserve">somit </w:t>
      </w:r>
      <w:r w:rsidR="002452AD">
        <w:t xml:space="preserve">deutlich unterhalb der Plasmakonzentrationen </w:t>
      </w:r>
      <w:r w:rsidR="00025912">
        <w:t>aller anderen getesteten Formulierungen.</w:t>
      </w:r>
    </w:p>
    <w:p w14:paraId="612CACA8" w14:textId="77777777" w:rsidR="00B53E17" w:rsidRDefault="00DD5753" w:rsidP="00BD6320">
      <w:r>
        <w:t>Der Plasmaspiegelverlauf nach peroraler Gabe der</w:t>
      </w:r>
      <w:r w:rsidR="00660BF8">
        <w:t xml:space="preserve"> Formulierung mit PEA</w:t>
      </w:r>
      <w:r>
        <w:t xml:space="preserve"> Cystein</w:t>
      </w:r>
      <w:r w:rsidR="00660BF8">
        <w:t xml:space="preserve"> Nanopartikeln</w:t>
      </w:r>
      <w:r>
        <w:t xml:space="preserve">, in </w:t>
      </w:r>
      <w:r w:rsidR="00D16240">
        <w:fldChar w:fldCharType="begin"/>
      </w:r>
      <w:r>
        <w:instrText xml:space="preserve"> REF _Ref282272343 \h </w:instrText>
      </w:r>
      <w:r w:rsidR="00D16240">
        <w:fldChar w:fldCharType="separate"/>
      </w:r>
      <w:r w:rsidR="00711AB8" w:rsidRPr="00BD6320">
        <w:t xml:space="preserve">Abbildung </w:t>
      </w:r>
      <w:r w:rsidR="00711AB8">
        <w:rPr>
          <w:noProof/>
        </w:rPr>
        <w:t>60</w:t>
      </w:r>
      <w:r w:rsidR="00D16240">
        <w:fldChar w:fldCharType="end"/>
      </w:r>
      <w:r>
        <w:t xml:space="preserve"> in blau dargestellt,</w:t>
      </w:r>
      <w:r w:rsidR="00660BF8">
        <w:t xml:space="preserve"> hebt sich deutlich von </w:t>
      </w:r>
      <w:r>
        <w:t>dem aller</w:t>
      </w:r>
      <w:r w:rsidR="00660BF8">
        <w:t xml:space="preserve"> anderen Formulierungen ab. </w:t>
      </w:r>
      <w:r w:rsidR="00837230">
        <w:t xml:space="preserve">Der nach 0,5h gemessene Wert von 156 ng/ml steht noch im Einklang mit </w:t>
      </w:r>
      <w:r w:rsidR="00D32893">
        <w:t>den Beobachtungen bei der PLGA Formulierung ohne hLF und bei</w:t>
      </w:r>
      <w:r w:rsidR="00837230">
        <w:t xml:space="preserve"> Minirin</w:t>
      </w:r>
      <w:r w:rsidR="00837230" w:rsidRPr="00837230">
        <w:rPr>
          <w:vertAlign w:val="superscript"/>
        </w:rPr>
        <w:sym w:font="Symbol" w:char="F0D2"/>
      </w:r>
      <w:r w:rsidR="00837230">
        <w:t xml:space="preserve">. </w:t>
      </w:r>
      <w:r w:rsidR="00660BF8">
        <w:t xml:space="preserve">Nachdem </w:t>
      </w:r>
      <w:r w:rsidR="00837230">
        <w:t xml:space="preserve">jedoch </w:t>
      </w:r>
      <w:r w:rsidR="00660BF8">
        <w:t>die Plasmakonzentration zwisc</w:t>
      </w:r>
      <w:r w:rsidR="0073009A">
        <w:t>hen 0,5h und 1h zunächst abfiel, stieg</w:t>
      </w:r>
      <w:r w:rsidR="00660BF8">
        <w:t xml:space="preserve"> sie anschließend wieder an und erreicht</w:t>
      </w:r>
      <w:r w:rsidR="0073009A">
        <w:t>e</w:t>
      </w:r>
      <w:r w:rsidR="006215D2">
        <w:t xml:space="preserve"> erst</w:t>
      </w:r>
      <w:r w:rsidR="00660BF8">
        <w:t xml:space="preserve"> bei 4h ihr Maximum von 348 ng/ml (</w:t>
      </w:r>
      <w:r w:rsidR="00660BF8">
        <w:sym w:font="Symbol" w:char="F0B1"/>
      </w:r>
      <w:r w:rsidR="00D32893">
        <w:t>67 ng/ml). Bei allen anderen getesteten For</w:t>
      </w:r>
      <w:r w:rsidR="00B53E17">
        <w:t>mulierungen hingegen war nach 4</w:t>
      </w:r>
      <w:r w:rsidR="00D32893">
        <w:t>h kaum mehr Wirk</w:t>
      </w:r>
      <w:r w:rsidR="00275EFC">
        <w:t>stoff im Plasma nachzuweisen</w:t>
      </w:r>
      <w:r w:rsidR="00D32893">
        <w:t>.</w:t>
      </w:r>
      <w:r w:rsidR="00660BF8">
        <w:t xml:space="preserve"> </w:t>
      </w:r>
      <w:r w:rsidR="00B53E17">
        <w:t>Erst</w:t>
      </w:r>
      <w:r w:rsidR="00660BF8">
        <w:t xml:space="preserve"> 8h</w:t>
      </w:r>
      <w:r w:rsidR="00B53E17">
        <w:t xml:space="preserve"> nach Gabe der PEA Formulierung</w:t>
      </w:r>
      <w:r w:rsidR="00660BF8">
        <w:t xml:space="preserve"> war</w:t>
      </w:r>
      <w:r w:rsidR="0073009A">
        <w:t xml:space="preserve"> die Plasmakonzentration auf durchschnittlich 49 µg/ml (</w:t>
      </w:r>
      <w:r w:rsidR="0073009A">
        <w:sym w:font="Symbol" w:char="F0B1"/>
      </w:r>
      <w:r w:rsidR="0073009A">
        <w:t xml:space="preserve">50 µg/ml) abgesunken. </w:t>
      </w:r>
      <w:r w:rsidR="006215D2">
        <w:t>Damit lag</w:t>
      </w:r>
      <w:r w:rsidR="00B53E17">
        <w:t xml:space="preserve"> die maximale Plasmakonzentration deutlich über den Werten aller anderen getesteten Formulier</w:t>
      </w:r>
      <w:r w:rsidR="006215D2">
        <w:t>un</w:t>
      </w:r>
      <w:r w:rsidR="005139A7">
        <w:t>gen und der Wirkstoff Desmopressin konnte über einen längeren Zeitraum hinweg im Blut der Versuchstiere nachgewiesen werden.</w:t>
      </w:r>
    </w:p>
    <w:p w14:paraId="09E89C0D" w14:textId="77777777" w:rsidR="00F40A26" w:rsidRDefault="003968C5" w:rsidP="00BD6320">
      <w:r>
        <w:t xml:space="preserve">Das schnelle Anfluten von Desmopressin nach peroraler Gabe der PEA Cystein Partikel </w:t>
      </w:r>
      <w:r w:rsidR="0073009A">
        <w:t>ist o</w:t>
      </w:r>
      <w:r>
        <w:t xml:space="preserve">ffensichtlich auf den Wirkstoffanteil der Formulierung zurückzuführen, der nicht in Partikel </w:t>
      </w:r>
      <w:r>
        <w:lastRenderedPageBreak/>
        <w:t>eingekapselt war und dadurch unmittelbar für eine Resorption zur Verfügung stand.</w:t>
      </w:r>
      <w:r w:rsidR="00826E89">
        <w:t xml:space="preserve"> </w:t>
      </w:r>
      <w:r w:rsidR="00C96172">
        <w:t>Bei</w:t>
      </w:r>
      <w:r w:rsidR="00826E89">
        <w:t xml:space="preserve"> der PLGA Formulierung ohne hLF und bei Minirin</w:t>
      </w:r>
      <w:r w:rsidR="00D60D9F">
        <w:rPr>
          <w:vertAlign w:val="superscript"/>
        </w:rPr>
        <w:t>®</w:t>
      </w:r>
      <w:r w:rsidR="00C96172">
        <w:t xml:space="preserve"> war diese schnelle Resorption des freien Wirkstoffanteils </w:t>
      </w:r>
      <w:r w:rsidR="0096488F">
        <w:t xml:space="preserve">ebenfalls zu erkennen. Da bei diesen </w:t>
      </w:r>
      <w:r w:rsidR="00CE7EF0">
        <w:t xml:space="preserve">schnell freisetzenden </w:t>
      </w:r>
      <w:r w:rsidR="0096488F">
        <w:t>Formulierungen jedoch im Gegensatz zur PEA Cystein Formulierung bereits unmittelbar nach der</w:t>
      </w:r>
      <w:r w:rsidR="00C96172">
        <w:t xml:space="preserve"> Gabe annähernd der gesamte enthaltene Wirkstoffanteil zur Resorption frei zur Verfügung</w:t>
      </w:r>
      <w:r w:rsidR="0096488F">
        <w:t xml:space="preserve"> stand, blieb es insgesamt bei diesem frühen Konzentrationsmaximum</w:t>
      </w:r>
      <w:r w:rsidR="00CE7EF0">
        <w:t xml:space="preserve"> bei 0,5h</w:t>
      </w:r>
      <w:r w:rsidR="00C96172">
        <w:t>.</w:t>
      </w:r>
      <w:r w:rsidR="00826E89">
        <w:t xml:space="preserve"> Der </w:t>
      </w:r>
      <w:r w:rsidR="0096488F">
        <w:t xml:space="preserve">nun bei der PEA Cystein Formulierung folgende </w:t>
      </w:r>
      <w:r w:rsidR="00826E89">
        <w:t>Anstieg der Konzentration zwischen 1h und 4h kann dadurch erklärt werden, dass we</w:t>
      </w:r>
      <w:r w:rsidR="00DB0C53">
        <w:t>itere Wirkstoffanteile retardiert</w:t>
      </w:r>
      <w:r w:rsidR="00826E89">
        <w:t xml:space="preserve"> aus den</w:t>
      </w:r>
      <w:r w:rsidR="00DB0C53">
        <w:t xml:space="preserve"> PEA</w:t>
      </w:r>
      <w:r w:rsidR="00826E89">
        <w:t xml:space="preserve"> Partikeln freigesetzt und</w:t>
      </w:r>
      <w:r w:rsidR="0061418A">
        <w:t xml:space="preserve"> daher über einen längeren Zeitraum hinweg</w:t>
      </w:r>
      <w:r w:rsidR="00837230">
        <w:t xml:space="preserve"> ins Blut</w:t>
      </w:r>
      <w:r w:rsidR="005139A7">
        <w:t xml:space="preserve"> aufgenommen werden konnten</w:t>
      </w:r>
      <w:r w:rsidR="00DB0C53">
        <w:t xml:space="preserve">. Dieser Erklärungsansatz steht mit den Beobachtungen der </w:t>
      </w:r>
      <w:r w:rsidR="00DB0C53">
        <w:rPr>
          <w:i/>
        </w:rPr>
        <w:t>in vitro</w:t>
      </w:r>
      <w:r w:rsidR="008D5357">
        <w:t>-</w:t>
      </w:r>
      <w:r w:rsidR="00DB0C53">
        <w:t>Freisetz</w:t>
      </w:r>
      <w:r w:rsidR="0033213F">
        <w:t>ungsuntersuchungen in</w:t>
      </w:r>
      <w:r w:rsidR="0061418A">
        <w:t xml:space="preserve"> Einklang. Die </w:t>
      </w:r>
      <w:r w:rsidR="00CE7EF0">
        <w:t>Freisetzungst</w:t>
      </w:r>
      <w:r w:rsidR="0061418A">
        <w:t xml:space="preserve">ests </w:t>
      </w:r>
      <w:r w:rsidR="00B53E17">
        <w:t xml:space="preserve">der PEA Cystein Formulierung </w:t>
      </w:r>
      <w:r w:rsidR="0061418A">
        <w:t>zeig</w:t>
      </w:r>
      <w:r w:rsidR="00CE7EF0">
        <w:t>ten eine verlängerte</w:t>
      </w:r>
      <w:r w:rsidR="0061418A">
        <w:t xml:space="preserve"> Wirkstofffreisetzung des verkapselten Desmopressins über einen</w:t>
      </w:r>
      <w:r w:rsidR="0096488F">
        <w:t xml:space="preserve"> Zeitraum von 5 Stunden hinweg.</w:t>
      </w:r>
    </w:p>
    <w:p w14:paraId="3BB74B3B" w14:textId="77777777" w:rsidR="00660BF8" w:rsidRDefault="00D52D93" w:rsidP="00BD6320">
      <w:r>
        <w:t>Nach peroraler Gabe</w:t>
      </w:r>
      <w:r w:rsidR="0096488F">
        <w:t xml:space="preserve"> der PEA Cystein </w:t>
      </w:r>
      <w:r>
        <w:t>Partikelf</w:t>
      </w:r>
      <w:r w:rsidR="0096488F">
        <w:t>ormulierung</w:t>
      </w:r>
      <w:r w:rsidR="00CE7EF0">
        <w:t xml:space="preserve"> wurde der maximale Plasmaspiegel</w:t>
      </w:r>
      <w:r w:rsidR="00837230">
        <w:t xml:space="preserve"> erst nach 4h gemessen. Dieser Zeitpunkt liegt innerhalb des Bereiches, der auf die retardierte </w:t>
      </w:r>
      <w:r w:rsidR="00D32893">
        <w:t>Wirkstofff</w:t>
      </w:r>
      <w:r w:rsidR="00837230">
        <w:t>reisetzung aus den</w:t>
      </w:r>
      <w:r w:rsidR="00D32893">
        <w:t xml:space="preserve"> PEA</w:t>
      </w:r>
      <w:r w:rsidR="00837230">
        <w:t xml:space="preserve"> Partikeln zurückzuführen ist. Der dire</w:t>
      </w:r>
      <w:r w:rsidR="00E06CAB">
        <w:t>kt zu Beginn schnell freigesetzte, nicht in Polymerpartikel verkapselte</w:t>
      </w:r>
      <w:r w:rsidR="00837230">
        <w:t xml:space="preserve"> Ante</w:t>
      </w:r>
      <w:r w:rsidR="00E06CAB">
        <w:t>il an</w:t>
      </w:r>
      <w:r w:rsidR="00837230">
        <w:t xml:space="preserve"> Desmopressin führte</w:t>
      </w:r>
      <w:r w:rsidR="00CE7EF0">
        <w:t xml:space="preserve"> lediglich</w:t>
      </w:r>
      <w:r w:rsidR="00B53E17">
        <w:t xml:space="preserve"> </w:t>
      </w:r>
      <w:r w:rsidR="00837230">
        <w:t>zu einem vergleichsweise geringen Anstieg des Plasmaspiegels</w:t>
      </w:r>
      <w:r w:rsidR="00CE7EF0">
        <w:t xml:space="preserve"> bei 0,5h, obwohl dieser</w:t>
      </w:r>
      <w:r w:rsidR="00E06CAB">
        <w:t xml:space="preserve"> mit ca. 70%</w:t>
      </w:r>
      <w:r w:rsidR="00B53E17">
        <w:t xml:space="preserve"> den größten Anteil des</w:t>
      </w:r>
      <w:r w:rsidR="00837230">
        <w:t xml:space="preserve"> insgesamt in der Formulierung enthaltenen </w:t>
      </w:r>
      <w:r w:rsidR="00B53E17">
        <w:t>Wirkstoffes</w:t>
      </w:r>
      <w:r w:rsidR="00D32893">
        <w:t xml:space="preserve"> darstellt</w:t>
      </w:r>
      <w:r w:rsidR="00E06CAB">
        <w:t>e</w:t>
      </w:r>
      <w:r w:rsidR="00CE7EF0">
        <w:t xml:space="preserve">. </w:t>
      </w:r>
      <w:r w:rsidR="002B095D">
        <w:t>Die höheren Plasmakonzentrationen nach 4 und 8 Sunden sind</w:t>
      </w:r>
      <w:r w:rsidR="0008182E">
        <w:t xml:space="preserve"> </w:t>
      </w:r>
      <w:r w:rsidR="002B095D">
        <w:t>auf den retardiert freigesetzten Wirkstoffanteil zurückzuführen</w:t>
      </w:r>
      <w:r w:rsidR="0008182E">
        <w:t>, der</w:t>
      </w:r>
      <w:r w:rsidR="007551D6">
        <w:t xml:space="preserve"> allerdings</w:t>
      </w:r>
      <w:r w:rsidR="0008182E">
        <w:t xml:space="preserve"> nur 30% des insgesamt enthaltenen Wirkstoffes ausmacht</w:t>
      </w:r>
      <w:r w:rsidR="002B095D">
        <w:t xml:space="preserve">. </w:t>
      </w:r>
      <w:r w:rsidR="00D32893">
        <w:t>Aus dieser Beobachtung kann der Schluss gezogen werde</w:t>
      </w:r>
      <w:r w:rsidR="00867D61">
        <w:t>n, dass die PEA Cystein Partikel neben einer retardierten Wirkstofffreisetzung und dadurch bedingten Verlängerung der Plasmaspiegel</w:t>
      </w:r>
      <w:r w:rsidR="00E06CAB">
        <w:t xml:space="preserve"> auch </w:t>
      </w:r>
      <w:r w:rsidR="00D32893">
        <w:t>zu einer effizienteren intestinalen Resor</w:t>
      </w:r>
      <w:r>
        <w:t>ption von Desmopressin beigetragen haben</w:t>
      </w:r>
      <w:r w:rsidR="00D32893">
        <w:t>.</w:t>
      </w:r>
    </w:p>
    <w:p w14:paraId="01CDEC3B" w14:textId="77777777" w:rsidR="006D28C8" w:rsidRDefault="006D28C8" w:rsidP="006D28C8"/>
    <w:p w14:paraId="53EC4616" w14:textId="77777777" w:rsidR="006D28C8" w:rsidRPr="006D28C8" w:rsidRDefault="00E026EA" w:rsidP="006D28C8">
      <w:pPr>
        <w:pStyle w:val="berschrift5"/>
        <w:spacing w:after="240"/>
        <w:rPr>
          <w:color w:val="auto"/>
        </w:rPr>
      </w:pPr>
      <w:bookmarkStart w:id="328" w:name="_Toc294380290"/>
      <w:r>
        <w:rPr>
          <w:color w:val="auto"/>
        </w:rPr>
        <w:t>Orale</w:t>
      </w:r>
      <w:r w:rsidR="006D28C8" w:rsidRPr="006D28C8">
        <w:rPr>
          <w:color w:val="auto"/>
        </w:rPr>
        <w:t xml:space="preserve"> Lösung von Desmopressinacetat als Referenz</w:t>
      </w:r>
      <w:bookmarkEnd w:id="328"/>
    </w:p>
    <w:p w14:paraId="2A498BBE" w14:textId="77777777" w:rsidR="00745139" w:rsidRDefault="006D28C8" w:rsidP="006D28C8">
      <w:r>
        <w:t>Zusätzlich zu den oben beschriebenen Proben</w:t>
      </w:r>
      <w:r w:rsidR="003540F6">
        <w:t xml:space="preserve"> wurde eine wässrige Lösung von 20 µg Desmopressinacetat</w:t>
      </w:r>
      <w:r w:rsidR="000875B0">
        <w:t xml:space="preserve"> </w:t>
      </w:r>
      <w:r w:rsidR="003540F6">
        <w:t>peroral appliziert und die Plasmaspiegel wurden ermi</w:t>
      </w:r>
      <w:r w:rsidR="002407AD">
        <w:t>ttelt. Die mittleren Plasmaspi</w:t>
      </w:r>
      <w:r w:rsidR="00FC441E">
        <w:t>egel der Lösung waren</w:t>
      </w:r>
      <w:r w:rsidR="002407AD">
        <w:t xml:space="preserve"> deutlich höher als die der Minirin</w:t>
      </w:r>
      <w:r w:rsidR="002407AD" w:rsidRPr="002407AD">
        <w:rPr>
          <w:vertAlign w:val="superscript"/>
        </w:rPr>
        <w:t>®</w:t>
      </w:r>
      <w:r w:rsidR="002407AD">
        <w:t>-Refere</w:t>
      </w:r>
      <w:r w:rsidR="004B079F">
        <w:t>nz und bis zu einem Zeitpunkt von 2 Stunden auch höher als die der PEA Cystein Partikelformulierung. Aus folgenden Gründen wur</w:t>
      </w:r>
      <w:r w:rsidR="00C42FAB">
        <w:t>de diese Probe in der nachfolgenden Diskussion</w:t>
      </w:r>
      <w:r w:rsidR="00FC441E">
        <w:t xml:space="preserve"> allerdings</w:t>
      </w:r>
      <w:r w:rsidR="00EF1DC7">
        <w:t xml:space="preserve"> nicht </w:t>
      </w:r>
      <w:r w:rsidR="00FC441E">
        <w:t>berücksichtigt:</w:t>
      </w:r>
      <w:r w:rsidR="00C42FAB">
        <w:t xml:space="preserve"> Die gemessenen Plasmaspiegel weichen sehr stark von den Erwartungen ab, die sich aus dem Stand der Technik ergeben.</w:t>
      </w:r>
      <w:r w:rsidR="00FC441E">
        <w:t xml:space="preserve"> </w:t>
      </w:r>
      <w:r w:rsidR="00EF1DC7">
        <w:t>Untersuchungen der oralen Bioverfügbarkeit einer Desmopressin</w:t>
      </w:r>
      <w:r w:rsidR="009235E3">
        <w:t>-L</w:t>
      </w:r>
      <w:r w:rsidR="00EF1DC7">
        <w:t xml:space="preserve">ösung von </w:t>
      </w:r>
      <w:r w:rsidR="00FC441E">
        <w:t>Vilhardt et al. am Menschen</w:t>
      </w:r>
      <w:r w:rsidR="00D16240">
        <w:fldChar w:fldCharType="begin"/>
      </w:r>
      <w:r w:rsidR="008445C4">
        <w:instrText xml:space="preserve"> NOTEREF _Ref284436375 \f \h </w:instrText>
      </w:r>
      <w:r w:rsidR="00D16240">
        <w:fldChar w:fldCharType="separate"/>
      </w:r>
      <w:r w:rsidR="00711AB8" w:rsidRPr="00711AB8">
        <w:rPr>
          <w:rStyle w:val="Endnotenzeichen"/>
        </w:rPr>
        <w:t>109</w:t>
      </w:r>
      <w:r w:rsidR="00D16240">
        <w:fldChar w:fldCharType="end"/>
      </w:r>
      <w:r w:rsidR="00FC441E">
        <w:t xml:space="preserve"> und Lundin et al. </w:t>
      </w:r>
      <w:r w:rsidR="008445C4">
        <w:t>an der Ratte</w:t>
      </w:r>
      <w:r w:rsidR="008445C4">
        <w:rPr>
          <w:rStyle w:val="Endnotenzeichen"/>
        </w:rPr>
        <w:endnoteReference w:id="173"/>
      </w:r>
      <w:r w:rsidR="00EF1DC7">
        <w:t xml:space="preserve"> </w:t>
      </w:r>
      <w:r w:rsidR="000A6444">
        <w:t>führten zu erheblich geringeren Werten</w:t>
      </w:r>
      <w:r w:rsidR="008445C4">
        <w:t xml:space="preserve">. </w:t>
      </w:r>
      <w:r w:rsidR="000A6444">
        <w:t>Außerdem</w:t>
      </w:r>
      <w:r w:rsidR="00D12F57">
        <w:t xml:space="preserve"> steht</w:t>
      </w:r>
      <w:r w:rsidR="00FC441E">
        <w:t xml:space="preserve"> di</w:t>
      </w:r>
      <w:r w:rsidR="000A6444">
        <w:t xml:space="preserve">eses Ergebnis im </w:t>
      </w:r>
      <w:r w:rsidR="000A6444">
        <w:lastRenderedPageBreak/>
        <w:t>Widerspruch zu</w:t>
      </w:r>
      <w:r w:rsidR="009235E3">
        <w:t xml:space="preserve"> dem</w:t>
      </w:r>
      <w:r w:rsidR="00FC441E">
        <w:t xml:space="preserve"> der Minirin</w:t>
      </w:r>
      <w:r w:rsidR="00FC441E" w:rsidRPr="00FC441E">
        <w:rPr>
          <w:vertAlign w:val="superscript"/>
        </w:rPr>
        <w:t>®</w:t>
      </w:r>
      <w:r w:rsidR="00FC441E">
        <w:t>-Referenz</w:t>
      </w:r>
      <w:r w:rsidR="00D12F57">
        <w:t>.</w:t>
      </w:r>
      <w:r w:rsidR="00FC441E">
        <w:t xml:space="preserve"> Da nach Auflösen des Minirin</w:t>
      </w:r>
      <w:r w:rsidR="00FC441E" w:rsidRPr="004B079F">
        <w:rPr>
          <w:vertAlign w:val="superscript"/>
        </w:rPr>
        <w:t>®</w:t>
      </w:r>
      <w:r w:rsidR="0019707A">
        <w:t xml:space="preserve"> </w:t>
      </w:r>
      <w:r w:rsidR="00311A21">
        <w:t>Lyophilisats gleichfalls</w:t>
      </w:r>
      <w:r w:rsidR="00FC441E">
        <w:t xml:space="preserve"> eine wässrige Desmopressin-Lösung vorlag, sol</w:t>
      </w:r>
      <w:r w:rsidR="004B1FB1">
        <w:t>lten die Ergebnisse der</w:t>
      </w:r>
      <w:r w:rsidR="00D12F57">
        <w:t xml:space="preserve"> reinen</w:t>
      </w:r>
      <w:r w:rsidR="004B1FB1">
        <w:t xml:space="preserve"> Wirkstofflösung mit denen des aufgelösten Lyop</w:t>
      </w:r>
      <w:r w:rsidR="00B9612A">
        <w:t xml:space="preserve">hilisats erwartungsgemäß </w:t>
      </w:r>
      <w:r w:rsidR="004B1FB1">
        <w:t>weitgehend übereinstimmen</w:t>
      </w:r>
      <w:r w:rsidR="00FC441E">
        <w:t>.</w:t>
      </w:r>
      <w:r w:rsidR="00D12F57">
        <w:t xml:space="preserve"> Dies war jedoch nicht der Fall, womit das Er</w:t>
      </w:r>
      <w:r w:rsidR="00B9612A">
        <w:t>g</w:t>
      </w:r>
      <w:r w:rsidR="00D12F57">
        <w:t>ebnis</w:t>
      </w:r>
      <w:r w:rsidR="00B9612A">
        <w:t xml:space="preserve"> der Desmopressin-Lösung</w:t>
      </w:r>
      <w:r w:rsidR="00D12F57">
        <w:t xml:space="preserve"> auch in diesem Punkt</w:t>
      </w:r>
      <w:r w:rsidR="0019707A">
        <w:t xml:space="preserve"> nicht den Erwartungen entsprach</w:t>
      </w:r>
      <w:r w:rsidR="00D12F57">
        <w:t>. Ein weiteres Argument dafür, dass die</w:t>
      </w:r>
      <w:r w:rsidR="009235E3">
        <w:t xml:space="preserve"> Ergebnisse der</w:t>
      </w:r>
      <w:r w:rsidR="00D12F57">
        <w:t xml:space="preserve"> Minirin</w:t>
      </w:r>
      <w:r w:rsidR="00D12F57" w:rsidRPr="009235E3">
        <w:rPr>
          <w:vertAlign w:val="superscript"/>
        </w:rPr>
        <w:t>®</w:t>
      </w:r>
      <w:r w:rsidR="00B9612A">
        <w:t>-Referenz zuverlässiger sind</w:t>
      </w:r>
      <w:r w:rsidR="009235E3">
        <w:t xml:space="preserve"> als die der reinen Wirkstofflösung</w:t>
      </w:r>
      <w:r w:rsidR="00311A21">
        <w:t xml:space="preserve"> (neben den Literaturreferenzen</w:t>
      </w:r>
      <w:r w:rsidR="000A6444">
        <w:t>)</w:t>
      </w:r>
      <w:r w:rsidR="00B9612A">
        <w:t>, ist</w:t>
      </w:r>
      <w:r w:rsidR="009235E3">
        <w:t xml:space="preserve"> die geringere Stan</w:t>
      </w:r>
      <w:r w:rsidR="00B9612A">
        <w:t>dardabweichung der Plasmakonzentrationen</w:t>
      </w:r>
      <w:r w:rsidR="009235E3">
        <w:t>.</w:t>
      </w:r>
      <w:r w:rsidR="00D12F57">
        <w:t xml:space="preserve"> </w:t>
      </w:r>
      <w:r w:rsidR="00884758">
        <w:t>Die</w:t>
      </w:r>
      <w:r w:rsidR="004B079F">
        <w:t xml:space="preserve"> Standardabweichung der Plasmaspiegel nach Gabe der Desmopressin</w:t>
      </w:r>
      <w:r w:rsidR="004B1FB1">
        <w:t>-L</w:t>
      </w:r>
      <w:r w:rsidR="004B079F">
        <w:t>ösung betrug</w:t>
      </w:r>
      <w:r w:rsidR="00884758">
        <w:t xml:space="preserve"> im Mittel</w:t>
      </w:r>
      <w:r w:rsidR="00B9612A">
        <w:t xml:space="preserve"> 42% im Vergleich zu 10% bei den</w:t>
      </w:r>
      <w:r w:rsidR="004B079F">
        <w:t xml:space="preserve"> Minirin</w:t>
      </w:r>
      <w:r w:rsidR="004B079F" w:rsidRPr="004B079F">
        <w:rPr>
          <w:vertAlign w:val="superscript"/>
        </w:rPr>
        <w:t>®</w:t>
      </w:r>
      <w:r w:rsidR="00B9612A">
        <w:t xml:space="preserve"> Proben</w:t>
      </w:r>
      <w:r w:rsidR="00D12F57">
        <w:t>.</w:t>
      </w:r>
      <w:r w:rsidR="00884758">
        <w:t xml:space="preserve"> </w:t>
      </w:r>
    </w:p>
    <w:p w14:paraId="6282C905" w14:textId="77777777" w:rsidR="008606A2" w:rsidRDefault="003A76F1" w:rsidP="000875B0">
      <w:r>
        <w:t>Ein sehr</w:t>
      </w:r>
      <w:r w:rsidR="008B1D9F">
        <w:t xml:space="preserve"> entscheidender Grund dafür, dass die Erge</w:t>
      </w:r>
      <w:r w:rsidR="006D28C8">
        <w:t xml:space="preserve">bnisse der peroral </w:t>
      </w:r>
      <w:r w:rsidR="000E5204">
        <w:t>verabreichten Desmopressin</w:t>
      </w:r>
      <w:r w:rsidR="006D28C8">
        <w:t>-Lösung nicht als Referenz zur Bioverfügbarkeit der Partikelformulierungen herangezogen werden können</w:t>
      </w:r>
      <w:r w:rsidR="008606A2">
        <w:t xml:space="preserve">, stellt der Umstand dar, </w:t>
      </w:r>
      <w:r w:rsidR="006D28C8">
        <w:t xml:space="preserve">dass </w:t>
      </w:r>
      <w:r w:rsidR="008606A2">
        <w:t>aufgrund von Materialengpässen</w:t>
      </w:r>
      <w:r w:rsidR="008B1D9F">
        <w:t xml:space="preserve"> unterschiedliche Chargen des Wirkstoffes </w:t>
      </w:r>
      <w:r w:rsidR="008606A2">
        <w:t>mit stark abweichendem Peptid</w:t>
      </w:r>
      <w:r w:rsidR="0010329F">
        <w:t>-Gehalt verwendet we</w:t>
      </w:r>
      <w:r w:rsidR="006D28C8">
        <w:t>rden</w:t>
      </w:r>
      <w:r w:rsidR="0010329F">
        <w:t xml:space="preserve"> mussten</w:t>
      </w:r>
      <w:r w:rsidR="008606A2">
        <w:t>. Die folgenden beiden Chargen von Desmopressinacetat wurden verwendet:</w:t>
      </w:r>
    </w:p>
    <w:p w14:paraId="4E66AC38" w14:textId="77777777" w:rsidR="000875B0" w:rsidRDefault="008606A2" w:rsidP="000875B0">
      <w:pPr>
        <w:pStyle w:val="Listenabsatz"/>
        <w:numPr>
          <w:ilvl w:val="0"/>
          <w:numId w:val="16"/>
        </w:numPr>
        <w:spacing w:after="120"/>
        <w:ind w:left="714" w:hanging="357"/>
        <w:contextualSpacing w:val="0"/>
      </w:pPr>
      <w:r>
        <w:t>Charge A: Hergestellt vor &gt;</w:t>
      </w:r>
      <w:r w:rsidR="00E026EA">
        <w:t xml:space="preserve"> </w:t>
      </w:r>
      <w:r w:rsidR="00D25750">
        <w:t>12 Jahren, Peptid-Gehalt ca. 50</w:t>
      </w:r>
      <w:r>
        <w:t>% (basierend auf den Ergebnissen einer Reevaluation der Substanz</w:t>
      </w:r>
      <w:r w:rsidR="000875B0">
        <w:t>, die zum aktuellen Zeitpunkt</w:t>
      </w:r>
      <w:r w:rsidR="007440F2">
        <w:t xml:space="preserve"> bereits</w:t>
      </w:r>
      <w:r w:rsidR="000875B0">
        <w:t xml:space="preserve"> mehrere Jahre zurück liegt</w:t>
      </w:r>
      <w:r>
        <w:t>)</w:t>
      </w:r>
      <w:r w:rsidR="00D25750">
        <w:t>.</w:t>
      </w:r>
    </w:p>
    <w:p w14:paraId="53E9AD4B" w14:textId="77777777" w:rsidR="00D25750" w:rsidRDefault="008606A2" w:rsidP="000875B0">
      <w:pPr>
        <w:pStyle w:val="Listenabsatz"/>
        <w:numPr>
          <w:ilvl w:val="0"/>
          <w:numId w:val="16"/>
        </w:numPr>
      </w:pPr>
      <w:r>
        <w:t>Charge B: Hergestellt vor &lt;</w:t>
      </w:r>
      <w:r w:rsidR="000E5204">
        <w:t xml:space="preserve"> 2 Jahren, Peptid-Gehalt ca.</w:t>
      </w:r>
      <w:r>
        <w:t xml:space="preserve"> 98% (Analysenzertifikat).</w:t>
      </w:r>
    </w:p>
    <w:p w14:paraId="46AA04FD" w14:textId="77777777" w:rsidR="00745139" w:rsidRDefault="008606A2" w:rsidP="0046272E">
      <w:pPr>
        <w:spacing w:after="0"/>
      </w:pPr>
      <w:r>
        <w:t xml:space="preserve">Die getesteten Partikelformulierungen wurden mit Desmopressin Charge A beladen, während für die </w:t>
      </w:r>
      <w:r w:rsidR="009F72DA">
        <w:t xml:space="preserve">orale </w:t>
      </w:r>
      <w:r>
        <w:t>Desmopressin-Referenzlösung Material von Charge B verwendet wurde</w:t>
      </w:r>
      <w:r w:rsidR="00E026EA">
        <w:t>.</w:t>
      </w:r>
      <w:r w:rsidR="009F72DA">
        <w:t xml:space="preserve"> Da für die K</w:t>
      </w:r>
      <w:r w:rsidR="003A76F1">
        <w:t>alibrierung jeweils die der Probe entsprechende</w:t>
      </w:r>
      <w:r w:rsidR="009F72DA">
        <w:t xml:space="preserve"> Charge verwendet wurde, macht sich der unterschiedliche Gehalt in der Darstellung zwar zunächst nicht bemerkbar, allerdings </w:t>
      </w:r>
      <w:r w:rsidR="003A76F1">
        <w:t xml:space="preserve">ist davon auszugehen, dass </w:t>
      </w:r>
      <w:r w:rsidR="009F72DA">
        <w:t>unterschiedlich</w:t>
      </w:r>
      <w:r w:rsidR="003A76F1">
        <w:t>e Dosen die Resorption und die</w:t>
      </w:r>
      <w:r w:rsidR="009F72DA">
        <w:t xml:space="preserve"> Pharmakokinetik</w:t>
      </w:r>
      <w:r w:rsidR="003A76F1">
        <w:t xml:space="preserve"> und damit auch die Bioverfügbarkeit</w:t>
      </w:r>
      <w:r w:rsidR="009F72DA">
        <w:t xml:space="preserve"> beeinflussen.</w:t>
      </w:r>
      <w:r w:rsidR="00E026EA">
        <w:t xml:space="preserve"> Unter Berücksichtigung des wahren Gehalts an Desmopressinacetat und der ohnehin um 5 µg höheren </w:t>
      </w:r>
      <w:r w:rsidR="000E5204">
        <w:t>Dosis der oralen Desmopressin-Lösung</w:t>
      </w:r>
      <w:r w:rsidR="009F72DA">
        <w:t xml:space="preserve"> lag der wahre Peptid-Gehalt der </w:t>
      </w:r>
      <w:r w:rsidR="000E5204">
        <w:t xml:space="preserve">verabreichten Dosis der </w:t>
      </w:r>
      <w:r w:rsidR="009F72DA">
        <w:t xml:space="preserve">Partikelformulierungen bei </w:t>
      </w:r>
      <w:r w:rsidR="003A76F1">
        <w:t xml:space="preserve">jeweils </w:t>
      </w:r>
      <w:r w:rsidR="009F72DA">
        <w:t>ca. 7,5 µg w</w:t>
      </w:r>
      <w:r w:rsidR="000E5204">
        <w:t>ährend die Dosis der oralen Desmopressin-Lösung</w:t>
      </w:r>
      <w:r w:rsidR="00FB1729">
        <w:t xml:space="preserve"> ca.</w:t>
      </w:r>
      <w:r w:rsidR="009F72DA">
        <w:t xml:space="preserve"> 19,6</w:t>
      </w:r>
      <w:r w:rsidR="000E5204">
        <w:t> µg betrug.</w:t>
      </w:r>
    </w:p>
    <w:p w14:paraId="038E4996" w14:textId="77777777" w:rsidR="00EF1DC7" w:rsidRPr="004B079F" w:rsidRDefault="00BB716F" w:rsidP="0046272E">
      <w:pPr>
        <w:spacing w:after="0"/>
      </w:pPr>
      <w:r>
        <w:t>Aufgrund dieser erheblichen Unterschiede der jeweils verabreichten absoluten Dosis</w:t>
      </w:r>
      <w:r w:rsidR="000E5204">
        <w:t xml:space="preserve"> (Faktor 2,6)</w:t>
      </w:r>
      <w:r>
        <w:t xml:space="preserve"> ist </w:t>
      </w:r>
      <w:r w:rsidR="0019707A">
        <w:t xml:space="preserve">eine </w:t>
      </w:r>
      <w:r>
        <w:t>Vergleichbarkeit der Ergebnisse der Partikelformulier</w:t>
      </w:r>
      <w:r w:rsidR="000E5204">
        <w:t>ungen mit</w:t>
      </w:r>
      <w:r w:rsidR="00FB1729">
        <w:t xml:space="preserve"> denen</w:t>
      </w:r>
      <w:r w:rsidR="000E5204">
        <w:t xml:space="preserve"> der Desmopressin</w:t>
      </w:r>
      <w:r>
        <w:t>-Referenz</w:t>
      </w:r>
      <w:r w:rsidR="003A76F1">
        <w:t xml:space="preserve">lösung </w:t>
      </w:r>
      <w:r w:rsidR="00A04B21">
        <w:t>nicht gegeben.</w:t>
      </w:r>
      <w:r w:rsidR="008B1D9F">
        <w:t xml:space="preserve"> Daher wurde die</w:t>
      </w:r>
      <w:r w:rsidR="001317EB">
        <w:t xml:space="preserve"> </w:t>
      </w:r>
      <w:r w:rsidR="0019707A">
        <w:t>Wiederholung dieser Versuche</w:t>
      </w:r>
      <w:r w:rsidR="00B9612A">
        <w:t xml:space="preserve"> </w:t>
      </w:r>
      <w:r w:rsidR="008B1D9F">
        <w:t>bereits konkret geplant</w:t>
      </w:r>
      <w:r w:rsidR="00B9612A">
        <w:t>.</w:t>
      </w:r>
      <w:r w:rsidR="000E5204">
        <w:t xml:space="preserve"> Hierbei ist u</w:t>
      </w:r>
      <w:r w:rsidR="003A76F1">
        <w:t>nbedingt darauf zu achten, dass die absolute Dosis der verabreichten Formulierungen und Referenzen jeweils gleich ist und dass möglichst eine einheitliche Wirkstoffcharge verwendet wird.</w:t>
      </w:r>
      <w:r w:rsidR="00B9612A">
        <w:t xml:space="preserve"> </w:t>
      </w:r>
      <w:r w:rsidR="007C0697">
        <w:t>Da diese Ergebnisse zum aktuellen Zeitpunkt noch nicht vorl</w:t>
      </w:r>
      <w:r w:rsidR="00FF28A1">
        <w:t>a</w:t>
      </w:r>
      <w:r w:rsidR="009A0047">
        <w:t xml:space="preserve">gen, eine zuvorige Verifizierung aus den genannten Gründen allerdings </w:t>
      </w:r>
      <w:r w:rsidR="007C0697">
        <w:t xml:space="preserve">dringend empfehlenswert ist, </w:t>
      </w:r>
      <w:r w:rsidR="0019707A">
        <w:t>wurde</w:t>
      </w:r>
      <w:r w:rsidR="007C0697">
        <w:t xml:space="preserve"> in der vorliegenden</w:t>
      </w:r>
      <w:r w:rsidR="00C136F3">
        <w:t xml:space="preserve"> Arbeit </w:t>
      </w:r>
      <w:r w:rsidR="00884758">
        <w:t>ausschließlich Minirin</w:t>
      </w:r>
      <w:r w:rsidR="00884758" w:rsidRPr="00884758">
        <w:rPr>
          <w:vertAlign w:val="superscript"/>
        </w:rPr>
        <w:t>®</w:t>
      </w:r>
      <w:r w:rsidR="00311A21">
        <w:rPr>
          <w:vertAlign w:val="superscript"/>
        </w:rPr>
        <w:t xml:space="preserve"> </w:t>
      </w:r>
      <w:r w:rsidR="00311A21">
        <w:t>Lyophilisat</w:t>
      </w:r>
      <w:r w:rsidR="00884758">
        <w:t xml:space="preserve"> als Referenz zu den Pa</w:t>
      </w:r>
      <w:r w:rsidR="00B9612A">
        <w:t>r</w:t>
      </w:r>
      <w:r w:rsidR="0019707A">
        <w:t>tikelformulierungen herangezogen.</w:t>
      </w:r>
    </w:p>
    <w:p w14:paraId="04A9B3A5" w14:textId="77777777" w:rsidR="00D32893" w:rsidRDefault="0046272E" w:rsidP="00FA5752">
      <w:pPr>
        <w:pStyle w:val="berschrift5"/>
        <w:spacing w:after="240"/>
        <w:rPr>
          <w:color w:val="auto"/>
        </w:rPr>
      </w:pPr>
      <w:bookmarkStart w:id="329" w:name="_Toc294380291"/>
      <w:r>
        <w:rPr>
          <w:color w:val="auto"/>
        </w:rPr>
        <w:lastRenderedPageBreak/>
        <w:t>Berechnung der</w:t>
      </w:r>
      <w:r w:rsidR="00FA5752">
        <w:rPr>
          <w:color w:val="auto"/>
        </w:rPr>
        <w:t xml:space="preserve"> absoluten </w:t>
      </w:r>
      <w:r>
        <w:rPr>
          <w:color w:val="auto"/>
        </w:rPr>
        <w:t xml:space="preserve">oralen </w:t>
      </w:r>
      <w:r w:rsidR="00FA5752">
        <w:rPr>
          <w:color w:val="auto"/>
        </w:rPr>
        <w:t>Bioverfügbarkeit der Partikelf</w:t>
      </w:r>
      <w:r w:rsidR="00FA5752" w:rsidRPr="00FA5752">
        <w:rPr>
          <w:color w:val="auto"/>
        </w:rPr>
        <w:t>ormulierungen</w:t>
      </w:r>
      <w:bookmarkEnd w:id="329"/>
    </w:p>
    <w:p w14:paraId="7D5D8499" w14:textId="77777777" w:rsidR="007551D6" w:rsidRDefault="007551D6" w:rsidP="00FA5752">
      <w:r>
        <w:t>Die Berechnung der Biover</w:t>
      </w:r>
      <w:r w:rsidR="00C24060">
        <w:t>f</w:t>
      </w:r>
      <w:r>
        <w:t xml:space="preserve">ügbarkeit der Formulierungen erfolgte auf Basis der im voranstehenden Abschnitt in </w:t>
      </w:r>
      <w:r w:rsidR="00D16240">
        <w:fldChar w:fldCharType="begin"/>
      </w:r>
      <w:r>
        <w:instrText xml:space="preserve"> REF _Ref282272343 \h </w:instrText>
      </w:r>
      <w:r w:rsidR="00D16240">
        <w:fldChar w:fldCharType="separate"/>
      </w:r>
      <w:r w:rsidR="00711AB8" w:rsidRPr="00BD6320">
        <w:t xml:space="preserve">Abbildung </w:t>
      </w:r>
      <w:r w:rsidR="00711AB8">
        <w:rPr>
          <w:noProof/>
        </w:rPr>
        <w:t>60</w:t>
      </w:r>
      <w:r w:rsidR="00D16240">
        <w:fldChar w:fldCharType="end"/>
      </w:r>
      <w:r>
        <w:t xml:space="preserve"> gezeigte</w:t>
      </w:r>
      <w:r w:rsidR="008B6C93">
        <w:t xml:space="preserve">n Plasmakonzentrationsverläufe. </w:t>
      </w:r>
      <w:r w:rsidR="00EA15A0">
        <w:t>An dieser Stelle sei darauf hingewiesen, dass die Ergebnisse a</w:t>
      </w:r>
      <w:r w:rsidR="008B6C93">
        <w:t>ufgrund der zu geringen Anzahl an Messp</w:t>
      </w:r>
      <w:r w:rsidR="00EA15A0">
        <w:t>unkten und da die Studien</w:t>
      </w:r>
      <w:r w:rsidR="008B6C93">
        <w:t xml:space="preserve"> lediglich an Mä</w:t>
      </w:r>
      <w:r w:rsidR="00EA15A0">
        <w:t xml:space="preserve">usen durchgeführt wurden, </w:t>
      </w:r>
      <w:r w:rsidR="008B6C93">
        <w:t>im Zuge eines Zulassungsverfahrens</w:t>
      </w:r>
      <w:r w:rsidR="00C24060">
        <w:t xml:space="preserve"> nicht verwertbar</w:t>
      </w:r>
      <w:r w:rsidR="00EA15A0">
        <w:t xml:space="preserve"> wären und allenfalls als erste Hinweise bezüglich der absoluten Bioverfügbarkeit zu werten sind.</w:t>
      </w:r>
    </w:p>
    <w:p w14:paraId="07B4E29D" w14:textId="77777777" w:rsidR="00D45A4B" w:rsidRDefault="00FA5752" w:rsidP="007440F2">
      <w:pPr>
        <w:spacing w:after="240"/>
      </w:pPr>
      <w:r>
        <w:t>Anhand der Plasma</w:t>
      </w:r>
      <w:r w:rsidR="00D52D93">
        <w:t>spiegelverläufe</w:t>
      </w:r>
      <w:r>
        <w:t xml:space="preserve"> wurde jeweils die AUC (</w:t>
      </w:r>
      <w:r w:rsidRPr="00FA5752">
        <w:rPr>
          <w:i/>
        </w:rPr>
        <w:t>Area under the curve</w:t>
      </w:r>
      <w:r w:rsidR="00467557">
        <w:t>) als Maß für die</w:t>
      </w:r>
      <w:r>
        <w:t xml:space="preserve"> systemische Verfügbarkeit von Desmopressin berechnet. Die absolute orale Bioverfügbarkeit</w:t>
      </w:r>
      <w:r w:rsidR="00467557">
        <w:t xml:space="preserve"> der Formulierungen</w:t>
      </w:r>
      <w:r>
        <w:t xml:space="preserve"> </w:t>
      </w:r>
      <w:r>
        <w:rPr>
          <w:i/>
        </w:rPr>
        <w:t>F</w:t>
      </w:r>
      <w:r>
        <w:rPr>
          <w:i/>
          <w:vertAlign w:val="subscript"/>
        </w:rPr>
        <w:t>abs</w:t>
      </w:r>
      <w:r>
        <w:t xml:space="preserve"> ergibt sich schließlich aus dem Verhältnis der AUC nach peroraler Gabe</w:t>
      </w:r>
      <w:r w:rsidR="00CD315B">
        <w:t xml:space="preserve"> der Formulierungen</w:t>
      </w:r>
      <w:r>
        <w:t xml:space="preserve"> zur AUC nach intravenöser Gabe</w:t>
      </w:r>
      <w:r w:rsidR="00CD315B">
        <w:t xml:space="preserve"> der </w:t>
      </w:r>
      <w:r w:rsidR="00D52D93">
        <w:t xml:space="preserve">reinen </w:t>
      </w:r>
      <w:r w:rsidR="00CD315B">
        <w:t>Wirkstofflösung</w:t>
      </w:r>
      <w:r>
        <w:t>. Die Berechnung</w:t>
      </w:r>
      <w:r w:rsidR="00CD315B">
        <w:t xml:space="preserve"> von </w:t>
      </w:r>
      <w:r w:rsidR="00CD315B">
        <w:rPr>
          <w:i/>
        </w:rPr>
        <w:t>F</w:t>
      </w:r>
      <w:r w:rsidR="00CD315B">
        <w:rPr>
          <w:i/>
          <w:vertAlign w:val="subscript"/>
        </w:rPr>
        <w:t>abs</w:t>
      </w:r>
      <w:r>
        <w:t xml:space="preserve"> erfolgt</w:t>
      </w:r>
      <w:r w:rsidR="00D52D93">
        <w:t xml:space="preserve">e </w:t>
      </w:r>
      <w:r w:rsidR="008863F4">
        <w:t xml:space="preserve">unter Berücksichtigung der jeweils verabreichten Dosis </w:t>
      </w:r>
      <w:r w:rsidR="00D52D93">
        <w:t>mithilfe</w:t>
      </w:r>
      <w:r w:rsidR="000C6826">
        <w:t xml:space="preserve"> der folgenden</w:t>
      </w:r>
      <w:r w:rsidR="00CD315B">
        <w:t xml:space="preserve"> Formel:</w:t>
      </w:r>
    </w:p>
    <w:p w14:paraId="41664C6B" w14:textId="77777777" w:rsidR="00FA5752" w:rsidRPr="00CD315B" w:rsidRDefault="00DE258C" w:rsidP="00FA5752">
      <w:pPr>
        <w:rPr>
          <w:rFonts w:eastAsiaTheme="minorEastAsia"/>
        </w:rPr>
      </w:pPr>
      <m:oMathPara>
        <m:oMath>
          <m:sSub>
            <m:sSubPr>
              <m:ctrlPr>
                <w:rPr>
                  <w:rFonts w:ascii="Cambria Math" w:hAnsi="Cambria Math"/>
                  <w:i/>
                </w:rPr>
              </m:ctrlPr>
            </m:sSubPr>
            <m:e>
              <m:r>
                <w:rPr>
                  <w:rFonts w:ascii="Cambria Math" w:hAnsi="Cambria Math"/>
                </w:rPr>
                <m:t>F</m:t>
              </m:r>
            </m:e>
            <m:sub>
              <m:r>
                <w:rPr>
                  <w:rFonts w:ascii="Cambria Math" w:hAnsi="Cambria Math"/>
                </w:rPr>
                <m:t>abs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AUC</m:t>
                  </m:r>
                </m:e>
                <m:sub>
                  <m:r>
                    <w:rPr>
                      <w:rFonts w:ascii="Cambria Math" w:hAnsi="Cambria Math"/>
                    </w:rPr>
                    <m:t>p.o.</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i.v.</m:t>
                  </m:r>
                </m:sub>
              </m:sSub>
            </m:num>
            <m:den>
              <m:sSub>
                <m:sSubPr>
                  <m:ctrlPr>
                    <w:rPr>
                      <w:rFonts w:ascii="Cambria Math" w:hAnsi="Cambria Math"/>
                      <w:i/>
                    </w:rPr>
                  </m:ctrlPr>
                </m:sSubPr>
                <m:e>
                  <m:r>
                    <w:rPr>
                      <w:rFonts w:ascii="Cambria Math" w:hAnsi="Cambria Math"/>
                    </w:rPr>
                    <m:t>AUC</m:t>
                  </m:r>
                </m:e>
                <m:sub>
                  <m:r>
                    <w:rPr>
                      <w:rFonts w:ascii="Cambria Math" w:hAnsi="Cambria Math"/>
                    </w:rPr>
                    <m:t>i.v.</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p.o.</m:t>
                  </m:r>
                </m:sub>
              </m:sSub>
            </m:den>
          </m:f>
          <m:r>
            <w:rPr>
              <w:rFonts w:ascii="Cambria Math" w:eastAsiaTheme="minorEastAsia" w:hAnsi="Cambria Math"/>
            </w:rPr>
            <m:t>*100[%]</m:t>
          </m:r>
        </m:oMath>
      </m:oMathPara>
    </w:p>
    <w:p w14:paraId="0C8E853B" w14:textId="77777777" w:rsidR="00CD315B" w:rsidRPr="00D52D93" w:rsidRDefault="00CD315B" w:rsidP="00276636">
      <w:pPr>
        <w:pStyle w:val="Beschriftung"/>
        <w:spacing w:after="120"/>
        <w:ind w:firstLine="0"/>
        <w:rPr>
          <w:b w:val="0"/>
        </w:rPr>
      </w:pPr>
      <w:bookmarkStart w:id="330" w:name="_Ref282370336"/>
      <w:r w:rsidRPr="00CD315B">
        <w:t xml:space="preserve">Formel </w:t>
      </w:r>
      <w:fldSimple w:instr=" SEQ Formel \* ARABIC ">
        <w:r w:rsidR="00711AB8">
          <w:rPr>
            <w:noProof/>
          </w:rPr>
          <w:t>6</w:t>
        </w:r>
      </w:fldSimple>
      <w:bookmarkEnd w:id="330"/>
      <w:r>
        <w:rPr>
          <w:b w:val="0"/>
        </w:rPr>
        <w:t xml:space="preserve"> Formel zur Berechnung der absoluten Bioverfügbarkeit</w:t>
      </w:r>
      <w:r w:rsidR="00D52D93">
        <w:rPr>
          <w:b w:val="0"/>
        </w:rPr>
        <w:t xml:space="preserve"> </w:t>
      </w:r>
      <w:r w:rsidR="00D52D93" w:rsidRPr="00D52D93">
        <w:rPr>
          <w:b w:val="0"/>
          <w:i/>
        </w:rPr>
        <w:t>F</w:t>
      </w:r>
      <w:r w:rsidR="00D52D93" w:rsidRPr="00D52D93">
        <w:rPr>
          <w:b w:val="0"/>
          <w:i/>
          <w:vertAlign w:val="subscript"/>
        </w:rPr>
        <w:t>abs</w:t>
      </w:r>
      <w:r>
        <w:rPr>
          <w:b w:val="0"/>
        </w:rPr>
        <w:t xml:space="preserve"> der peroral verabreichten Desmopressin Formulierungen</w:t>
      </w:r>
      <w:r w:rsidR="00D52D93">
        <w:rPr>
          <w:b w:val="0"/>
        </w:rPr>
        <w:t xml:space="preserve">; </w:t>
      </w:r>
      <w:r w:rsidR="00D52D93" w:rsidRPr="00D52D93">
        <w:rPr>
          <w:b w:val="0"/>
          <w:i/>
        </w:rPr>
        <w:t>AUC</w:t>
      </w:r>
      <w:r w:rsidR="00D52D93" w:rsidRPr="00D52D93">
        <w:rPr>
          <w:b w:val="0"/>
          <w:i/>
          <w:vertAlign w:val="subscript"/>
        </w:rPr>
        <w:t>p.o.</w:t>
      </w:r>
      <w:r w:rsidR="00D52D93">
        <w:rPr>
          <w:b w:val="0"/>
        </w:rPr>
        <w:t xml:space="preserve">: Fläche unter der Plasmaspiegelkurve nach p.o. Gabe einer Formulierung; </w:t>
      </w:r>
      <w:r w:rsidR="00D52D93" w:rsidRPr="00D52D93">
        <w:rPr>
          <w:b w:val="0"/>
          <w:i/>
        </w:rPr>
        <w:t>AUC</w:t>
      </w:r>
      <w:r w:rsidR="00D52D93" w:rsidRPr="00D52D93">
        <w:rPr>
          <w:b w:val="0"/>
          <w:i/>
          <w:vertAlign w:val="subscript"/>
        </w:rPr>
        <w:t>i.v.</w:t>
      </w:r>
      <w:r w:rsidR="00D52D93">
        <w:rPr>
          <w:b w:val="0"/>
        </w:rPr>
        <w:t xml:space="preserve">: Fläche unter der Plasmaspiegelkurve nach i.v. Gabe einer Desmopressin Lösung; </w:t>
      </w:r>
      <w:r w:rsidR="00D52D93" w:rsidRPr="00D52D93">
        <w:rPr>
          <w:b w:val="0"/>
          <w:i/>
        </w:rPr>
        <w:t>D</w:t>
      </w:r>
      <w:r w:rsidR="00D52D93" w:rsidRPr="00D52D93">
        <w:rPr>
          <w:b w:val="0"/>
          <w:i/>
          <w:vertAlign w:val="subscript"/>
        </w:rPr>
        <w:t>i.v./p.o.</w:t>
      </w:r>
      <w:r w:rsidR="00D52D93">
        <w:rPr>
          <w:b w:val="0"/>
        </w:rPr>
        <w:t>: jeweils vera</w:t>
      </w:r>
      <w:r w:rsidR="00630E96">
        <w:rPr>
          <w:b w:val="0"/>
        </w:rPr>
        <w:t>breichte Dosis an Desmopressina</w:t>
      </w:r>
      <w:r w:rsidR="00D52D93">
        <w:rPr>
          <w:b w:val="0"/>
        </w:rPr>
        <w:t>cetat.</w:t>
      </w:r>
      <w:r w:rsidR="00C579F7">
        <w:rPr>
          <w:b w:val="0"/>
        </w:rPr>
        <w:t xml:space="preserve"> Quelle: C.-J. Estler, H. Schmidt</w:t>
      </w:r>
      <w:r w:rsidR="00C579F7">
        <w:rPr>
          <w:rStyle w:val="Endnotenzeichen"/>
          <w:b w:val="0"/>
        </w:rPr>
        <w:endnoteReference w:id="174"/>
      </w:r>
      <w:r w:rsidR="00630E96">
        <w:rPr>
          <w:b w:val="0"/>
        </w:rPr>
        <w:t>.</w:t>
      </w:r>
    </w:p>
    <w:p w14:paraId="5299F289" w14:textId="77777777" w:rsidR="008215A9" w:rsidRDefault="008215A9" w:rsidP="00E26838">
      <w:pPr>
        <w:spacing w:after="0"/>
      </w:pPr>
    </w:p>
    <w:p w14:paraId="76FA6442" w14:textId="77777777" w:rsidR="00E26838" w:rsidRDefault="00CD315B" w:rsidP="00FF28A1">
      <w:pPr>
        <w:spacing w:after="120"/>
      </w:pPr>
      <w:r>
        <w:t xml:space="preserve">Die Ergebnisse der Berechnung der </w:t>
      </w:r>
      <w:r w:rsidR="007D099F">
        <w:t xml:space="preserve">oralen </w:t>
      </w:r>
      <w:r>
        <w:t>Biover</w:t>
      </w:r>
      <w:r w:rsidR="007D099F">
        <w:t>fügbarkeit</w:t>
      </w:r>
      <w:r w:rsidR="00E8629C">
        <w:t xml:space="preserve"> der getesteten Formulierungen und </w:t>
      </w:r>
      <w:r w:rsidR="00D52D93">
        <w:t xml:space="preserve">einige </w:t>
      </w:r>
      <w:r w:rsidR="00E8629C">
        <w:t>weitere ph</w:t>
      </w:r>
      <w:r w:rsidR="001C138D">
        <w:t>armakokinetische Kenngrößen wurden</w:t>
      </w:r>
      <w:r w:rsidR="00E8629C">
        <w:t xml:space="preserve"> in </w:t>
      </w:r>
      <w:r w:rsidR="00D16240">
        <w:fldChar w:fldCharType="begin"/>
      </w:r>
      <w:r w:rsidR="00E8629C">
        <w:instrText xml:space="preserve"> REF _Ref282368535 \h </w:instrText>
      </w:r>
      <w:r w:rsidR="00D16240">
        <w:fldChar w:fldCharType="separate"/>
      </w:r>
      <w:r w:rsidR="00711AB8" w:rsidRPr="00E8629C">
        <w:t xml:space="preserve">Tabelle </w:t>
      </w:r>
      <w:r w:rsidR="00711AB8">
        <w:rPr>
          <w:noProof/>
        </w:rPr>
        <w:t>33</w:t>
      </w:r>
      <w:r w:rsidR="00D16240">
        <w:fldChar w:fldCharType="end"/>
      </w:r>
      <w:r w:rsidR="001C138D">
        <w:t xml:space="preserve"> zusammengefasst</w:t>
      </w:r>
      <w:r w:rsidR="00E8629C">
        <w:t>.</w:t>
      </w:r>
    </w:p>
    <w:p w14:paraId="7EE526CB" w14:textId="77777777" w:rsidR="00FF28A1" w:rsidRDefault="00FF28A1" w:rsidP="00884758">
      <w:pPr>
        <w:spacing w:after="0"/>
      </w:pPr>
    </w:p>
    <w:p w14:paraId="380E2C76" w14:textId="77777777" w:rsidR="00E8629C" w:rsidRPr="00467557" w:rsidRDefault="00E8629C" w:rsidP="00276636">
      <w:pPr>
        <w:pStyle w:val="Beschriftung"/>
        <w:ind w:firstLine="0"/>
        <w:rPr>
          <w:b w:val="0"/>
        </w:rPr>
      </w:pPr>
      <w:bookmarkStart w:id="331" w:name="_Ref282368535"/>
      <w:r w:rsidRPr="00E8629C">
        <w:t xml:space="preserve">Tabelle </w:t>
      </w:r>
      <w:fldSimple w:instr=" SEQ Tabelle \* ARABIC ">
        <w:r w:rsidR="00711AB8">
          <w:rPr>
            <w:noProof/>
          </w:rPr>
          <w:t>33</w:t>
        </w:r>
      </w:fldSimple>
      <w:bookmarkEnd w:id="331"/>
      <w:r>
        <w:rPr>
          <w:b w:val="0"/>
        </w:rPr>
        <w:t xml:space="preserve"> </w:t>
      </w:r>
      <w:r w:rsidR="00467557">
        <w:rPr>
          <w:b w:val="0"/>
        </w:rPr>
        <w:t xml:space="preserve">Ergebnisse der </w:t>
      </w:r>
      <w:r w:rsidR="00467557" w:rsidRPr="00467557">
        <w:rPr>
          <w:b w:val="0"/>
          <w:i/>
        </w:rPr>
        <w:t>in vivo</w:t>
      </w:r>
      <w:r w:rsidR="0033213F">
        <w:rPr>
          <w:b w:val="0"/>
        </w:rPr>
        <w:t>-</w:t>
      </w:r>
      <w:r w:rsidR="00467557">
        <w:rPr>
          <w:b w:val="0"/>
        </w:rPr>
        <w:t>Bioverfügbarkeitsuntersuchung der Desmopressin Formulierungen; t</w:t>
      </w:r>
      <w:r w:rsidR="00467557">
        <w:rPr>
          <w:b w:val="0"/>
          <w:vertAlign w:val="subscript"/>
        </w:rPr>
        <w:t>max</w:t>
      </w:r>
      <w:r w:rsidR="00467557">
        <w:rPr>
          <w:b w:val="0"/>
        </w:rPr>
        <w:t>: Zeitpunkt, an dem die höchste Plasmakonzentration gemessen wurde; C</w:t>
      </w:r>
      <w:r w:rsidR="00467557">
        <w:rPr>
          <w:b w:val="0"/>
          <w:vertAlign w:val="subscript"/>
        </w:rPr>
        <w:t>max</w:t>
      </w:r>
      <w:r w:rsidR="00467557">
        <w:rPr>
          <w:b w:val="0"/>
        </w:rPr>
        <w:t>: höchste gemessene Plasmakonzentration; AUC: Fläche unter der Plasmaspiegelkurve; F</w:t>
      </w:r>
      <w:r w:rsidR="00467557">
        <w:rPr>
          <w:b w:val="0"/>
          <w:vertAlign w:val="subscript"/>
        </w:rPr>
        <w:t>abs</w:t>
      </w:r>
      <w:r w:rsidR="00467557">
        <w:rPr>
          <w:b w:val="0"/>
        </w:rPr>
        <w:t>: absolute Bioverfügbarkeit.</w:t>
      </w:r>
    </w:p>
    <w:tbl>
      <w:tblPr>
        <w:tblStyle w:val="Tabellenraster"/>
        <w:tblW w:w="0" w:type="auto"/>
        <w:tblLook w:val="04A0" w:firstRow="1" w:lastRow="0" w:firstColumn="1" w:lastColumn="0" w:noHBand="0" w:noVBand="1"/>
      </w:tblPr>
      <w:tblGrid>
        <w:gridCol w:w="2235"/>
        <w:gridCol w:w="1275"/>
        <w:gridCol w:w="1276"/>
        <w:gridCol w:w="1418"/>
        <w:gridCol w:w="1559"/>
        <w:gridCol w:w="1525"/>
      </w:tblGrid>
      <w:tr w:rsidR="001A1254" w14:paraId="6F8EF534" w14:textId="77777777" w:rsidTr="0046272E">
        <w:trPr>
          <w:trHeight w:val="340"/>
        </w:trPr>
        <w:tc>
          <w:tcPr>
            <w:tcW w:w="2235" w:type="dxa"/>
            <w:tcBorders>
              <w:top w:val="single" w:sz="8" w:space="0" w:color="auto"/>
              <w:left w:val="single" w:sz="8" w:space="0" w:color="auto"/>
              <w:bottom w:val="single" w:sz="8" w:space="0" w:color="auto"/>
              <w:right w:val="single" w:sz="8" w:space="0" w:color="auto"/>
            </w:tcBorders>
            <w:shd w:val="clear" w:color="auto" w:fill="E6E6E6"/>
            <w:vAlign w:val="center"/>
          </w:tcPr>
          <w:p w14:paraId="12CC884E" w14:textId="77777777" w:rsidR="001A1254" w:rsidRPr="00CD315B" w:rsidRDefault="001A1254" w:rsidP="00CD315B">
            <w:pPr>
              <w:jc w:val="center"/>
              <w:rPr>
                <w:b/>
                <w:sz w:val="20"/>
                <w:szCs w:val="20"/>
              </w:rPr>
            </w:pPr>
            <w:r w:rsidRPr="00CD315B">
              <w:rPr>
                <w:b/>
                <w:sz w:val="20"/>
                <w:szCs w:val="20"/>
              </w:rPr>
              <w:t>Formulierung</w:t>
            </w:r>
          </w:p>
        </w:tc>
        <w:tc>
          <w:tcPr>
            <w:tcW w:w="1275" w:type="dxa"/>
            <w:tcBorders>
              <w:top w:val="single" w:sz="8" w:space="0" w:color="auto"/>
              <w:left w:val="single" w:sz="8" w:space="0" w:color="auto"/>
              <w:bottom w:val="single" w:sz="8" w:space="0" w:color="auto"/>
              <w:right w:val="single" w:sz="8" w:space="0" w:color="auto"/>
            </w:tcBorders>
            <w:shd w:val="clear" w:color="auto" w:fill="E6E6E6"/>
            <w:vAlign w:val="center"/>
          </w:tcPr>
          <w:p w14:paraId="4B95DF38" w14:textId="77777777" w:rsidR="001A1254" w:rsidRPr="00CD315B" w:rsidRDefault="001A1254" w:rsidP="00CD315B">
            <w:pPr>
              <w:jc w:val="center"/>
              <w:rPr>
                <w:b/>
                <w:sz w:val="20"/>
                <w:szCs w:val="20"/>
              </w:rPr>
            </w:pPr>
            <w:r w:rsidRPr="00CD315B">
              <w:rPr>
                <w:b/>
                <w:sz w:val="20"/>
                <w:szCs w:val="20"/>
              </w:rPr>
              <w:t>Dosis [µg]</w:t>
            </w:r>
          </w:p>
        </w:tc>
        <w:tc>
          <w:tcPr>
            <w:tcW w:w="1276" w:type="dxa"/>
            <w:tcBorders>
              <w:top w:val="single" w:sz="8" w:space="0" w:color="auto"/>
              <w:left w:val="single" w:sz="8" w:space="0" w:color="auto"/>
              <w:bottom w:val="single" w:sz="8" w:space="0" w:color="auto"/>
              <w:right w:val="single" w:sz="8" w:space="0" w:color="auto"/>
            </w:tcBorders>
            <w:shd w:val="clear" w:color="auto" w:fill="E6E6E6"/>
          </w:tcPr>
          <w:p w14:paraId="4FA13ABD" w14:textId="77777777" w:rsidR="001A1254" w:rsidRPr="001A1254" w:rsidRDefault="001A1254" w:rsidP="00CD315B">
            <w:pPr>
              <w:jc w:val="center"/>
              <w:rPr>
                <w:b/>
                <w:sz w:val="20"/>
                <w:szCs w:val="20"/>
              </w:rPr>
            </w:pPr>
            <w:r>
              <w:rPr>
                <w:b/>
                <w:sz w:val="20"/>
                <w:szCs w:val="20"/>
              </w:rPr>
              <w:t>t</w:t>
            </w:r>
            <w:r>
              <w:rPr>
                <w:b/>
                <w:sz w:val="20"/>
                <w:szCs w:val="20"/>
                <w:vertAlign w:val="subscript"/>
              </w:rPr>
              <w:t>max</w:t>
            </w:r>
            <w:r>
              <w:rPr>
                <w:b/>
                <w:sz w:val="20"/>
                <w:szCs w:val="20"/>
              </w:rPr>
              <w:t xml:space="preserve"> [h]</w:t>
            </w:r>
          </w:p>
        </w:tc>
        <w:tc>
          <w:tcPr>
            <w:tcW w:w="1418" w:type="dxa"/>
            <w:tcBorders>
              <w:top w:val="single" w:sz="8" w:space="0" w:color="auto"/>
              <w:left w:val="single" w:sz="8" w:space="0" w:color="auto"/>
              <w:bottom w:val="single" w:sz="8" w:space="0" w:color="auto"/>
              <w:right w:val="single" w:sz="8" w:space="0" w:color="auto"/>
            </w:tcBorders>
            <w:shd w:val="clear" w:color="auto" w:fill="E6E6E6"/>
            <w:vAlign w:val="center"/>
          </w:tcPr>
          <w:p w14:paraId="775744DD" w14:textId="77777777" w:rsidR="001A1254" w:rsidRPr="00E43EEE" w:rsidRDefault="001A1254" w:rsidP="00CD315B">
            <w:pPr>
              <w:jc w:val="center"/>
              <w:rPr>
                <w:b/>
                <w:sz w:val="20"/>
                <w:szCs w:val="20"/>
              </w:rPr>
            </w:pPr>
            <w:r w:rsidRPr="00CD315B">
              <w:rPr>
                <w:b/>
                <w:sz w:val="20"/>
                <w:szCs w:val="20"/>
              </w:rPr>
              <w:t>C</w:t>
            </w:r>
            <w:r w:rsidRPr="00CD315B">
              <w:rPr>
                <w:b/>
                <w:sz w:val="20"/>
                <w:szCs w:val="20"/>
                <w:vertAlign w:val="subscript"/>
              </w:rPr>
              <w:t>max</w:t>
            </w:r>
            <w:r w:rsidR="00467557">
              <w:rPr>
                <w:b/>
                <w:sz w:val="20"/>
                <w:szCs w:val="20"/>
              </w:rPr>
              <w:t xml:space="preserve"> [ng</w:t>
            </w:r>
            <w:r>
              <w:rPr>
                <w:b/>
                <w:sz w:val="20"/>
                <w:szCs w:val="20"/>
              </w:rPr>
              <w:t>/ml]</w:t>
            </w:r>
          </w:p>
        </w:tc>
        <w:tc>
          <w:tcPr>
            <w:tcW w:w="1559" w:type="dxa"/>
            <w:tcBorders>
              <w:top w:val="single" w:sz="8" w:space="0" w:color="auto"/>
              <w:left w:val="single" w:sz="8" w:space="0" w:color="auto"/>
              <w:bottom w:val="single" w:sz="8" w:space="0" w:color="auto"/>
              <w:right w:val="single" w:sz="8" w:space="0" w:color="auto"/>
            </w:tcBorders>
            <w:shd w:val="clear" w:color="auto" w:fill="E6E6E6"/>
            <w:vAlign w:val="center"/>
          </w:tcPr>
          <w:p w14:paraId="69F9DB2D" w14:textId="77777777" w:rsidR="001A1254" w:rsidRPr="00CD315B" w:rsidRDefault="001A1254" w:rsidP="00CD315B">
            <w:pPr>
              <w:jc w:val="center"/>
              <w:rPr>
                <w:b/>
                <w:sz w:val="20"/>
                <w:szCs w:val="20"/>
              </w:rPr>
            </w:pPr>
            <w:r w:rsidRPr="00CD315B">
              <w:rPr>
                <w:b/>
                <w:sz w:val="20"/>
                <w:szCs w:val="20"/>
              </w:rPr>
              <w:t>AUC</w:t>
            </w:r>
            <w:r w:rsidR="00467557">
              <w:rPr>
                <w:b/>
                <w:sz w:val="20"/>
                <w:szCs w:val="20"/>
              </w:rPr>
              <w:t xml:space="preserve"> [ng*h/ml</w:t>
            </w:r>
            <w:r>
              <w:rPr>
                <w:b/>
                <w:sz w:val="20"/>
                <w:szCs w:val="20"/>
              </w:rPr>
              <w:t>]</w:t>
            </w:r>
          </w:p>
        </w:tc>
        <w:tc>
          <w:tcPr>
            <w:tcW w:w="1525" w:type="dxa"/>
            <w:tcBorders>
              <w:top w:val="single" w:sz="8" w:space="0" w:color="auto"/>
              <w:left w:val="single" w:sz="8" w:space="0" w:color="auto"/>
              <w:bottom w:val="single" w:sz="8" w:space="0" w:color="auto"/>
              <w:right w:val="single" w:sz="8" w:space="0" w:color="auto"/>
            </w:tcBorders>
            <w:shd w:val="clear" w:color="auto" w:fill="E6E6E6"/>
            <w:vAlign w:val="center"/>
          </w:tcPr>
          <w:p w14:paraId="315A4828" w14:textId="77777777" w:rsidR="001A1254" w:rsidRPr="00E43EEE" w:rsidRDefault="001A1254" w:rsidP="00CD315B">
            <w:pPr>
              <w:jc w:val="center"/>
              <w:rPr>
                <w:b/>
                <w:sz w:val="20"/>
                <w:szCs w:val="20"/>
              </w:rPr>
            </w:pPr>
            <w:r w:rsidRPr="00CD315B">
              <w:rPr>
                <w:b/>
                <w:sz w:val="20"/>
                <w:szCs w:val="20"/>
              </w:rPr>
              <w:t>F</w:t>
            </w:r>
            <w:r w:rsidRPr="00CD315B">
              <w:rPr>
                <w:b/>
                <w:sz w:val="20"/>
                <w:szCs w:val="20"/>
                <w:vertAlign w:val="subscript"/>
              </w:rPr>
              <w:t>abs</w:t>
            </w:r>
            <w:r>
              <w:rPr>
                <w:b/>
                <w:sz w:val="20"/>
                <w:szCs w:val="20"/>
              </w:rPr>
              <w:t xml:space="preserve"> [%]</w:t>
            </w:r>
          </w:p>
        </w:tc>
      </w:tr>
      <w:tr w:rsidR="001A1254" w14:paraId="2094E34E" w14:textId="77777777" w:rsidTr="0046272E">
        <w:trPr>
          <w:trHeight w:val="340"/>
        </w:trPr>
        <w:tc>
          <w:tcPr>
            <w:tcW w:w="2235" w:type="dxa"/>
            <w:tcBorders>
              <w:top w:val="single" w:sz="8" w:space="0" w:color="auto"/>
              <w:left w:val="single" w:sz="8" w:space="0" w:color="auto"/>
            </w:tcBorders>
            <w:vAlign w:val="center"/>
          </w:tcPr>
          <w:p w14:paraId="5A61C174" w14:textId="77777777" w:rsidR="001A1254" w:rsidRPr="00CD315B" w:rsidRDefault="001A1254" w:rsidP="0046272E">
            <w:pPr>
              <w:jc w:val="center"/>
              <w:rPr>
                <w:sz w:val="18"/>
                <w:szCs w:val="18"/>
              </w:rPr>
            </w:pPr>
            <w:r>
              <w:rPr>
                <w:sz w:val="18"/>
                <w:szCs w:val="18"/>
              </w:rPr>
              <w:t>Desmopressin</w:t>
            </w:r>
            <w:r w:rsidR="00E26838">
              <w:rPr>
                <w:sz w:val="18"/>
                <w:szCs w:val="18"/>
              </w:rPr>
              <w:t xml:space="preserve"> Lösung</w:t>
            </w:r>
            <w:r>
              <w:rPr>
                <w:sz w:val="18"/>
                <w:szCs w:val="18"/>
              </w:rPr>
              <w:t xml:space="preserve"> i.v.</w:t>
            </w:r>
          </w:p>
        </w:tc>
        <w:tc>
          <w:tcPr>
            <w:tcW w:w="1275" w:type="dxa"/>
            <w:tcBorders>
              <w:top w:val="single" w:sz="8" w:space="0" w:color="auto"/>
            </w:tcBorders>
            <w:vAlign w:val="center"/>
          </w:tcPr>
          <w:p w14:paraId="734758D4" w14:textId="77777777" w:rsidR="001A1254" w:rsidRPr="00CD315B" w:rsidRDefault="001A1254" w:rsidP="0046272E">
            <w:pPr>
              <w:jc w:val="center"/>
              <w:rPr>
                <w:sz w:val="18"/>
                <w:szCs w:val="18"/>
              </w:rPr>
            </w:pPr>
            <w:r>
              <w:rPr>
                <w:sz w:val="18"/>
                <w:szCs w:val="18"/>
              </w:rPr>
              <w:t>20,0</w:t>
            </w:r>
          </w:p>
        </w:tc>
        <w:tc>
          <w:tcPr>
            <w:tcW w:w="1276" w:type="dxa"/>
            <w:tcBorders>
              <w:top w:val="single" w:sz="8" w:space="0" w:color="auto"/>
            </w:tcBorders>
            <w:vAlign w:val="center"/>
          </w:tcPr>
          <w:p w14:paraId="1327A71E" w14:textId="77777777" w:rsidR="001A1254" w:rsidRDefault="00E8629C" w:rsidP="0046272E">
            <w:pPr>
              <w:jc w:val="center"/>
              <w:rPr>
                <w:sz w:val="18"/>
                <w:szCs w:val="18"/>
              </w:rPr>
            </w:pPr>
            <w:r>
              <w:rPr>
                <w:sz w:val="18"/>
                <w:szCs w:val="18"/>
              </w:rPr>
              <w:t>0</w:t>
            </w:r>
            <w:r w:rsidR="00467557">
              <w:rPr>
                <w:sz w:val="18"/>
                <w:szCs w:val="18"/>
              </w:rPr>
              <w:t>,5</w:t>
            </w:r>
          </w:p>
        </w:tc>
        <w:tc>
          <w:tcPr>
            <w:tcW w:w="1418" w:type="dxa"/>
            <w:tcBorders>
              <w:top w:val="single" w:sz="8" w:space="0" w:color="auto"/>
            </w:tcBorders>
            <w:vAlign w:val="center"/>
          </w:tcPr>
          <w:p w14:paraId="7342E52A" w14:textId="77777777" w:rsidR="001A1254" w:rsidRPr="00E26838" w:rsidRDefault="00467557" w:rsidP="0046272E">
            <w:pPr>
              <w:jc w:val="center"/>
              <w:rPr>
                <w:sz w:val="18"/>
                <w:szCs w:val="18"/>
                <w:vertAlign w:val="subscript"/>
              </w:rPr>
            </w:pPr>
            <w:r>
              <w:rPr>
                <w:sz w:val="18"/>
                <w:szCs w:val="18"/>
              </w:rPr>
              <w:t>22.195</w:t>
            </w:r>
          </w:p>
        </w:tc>
        <w:tc>
          <w:tcPr>
            <w:tcW w:w="1559" w:type="dxa"/>
            <w:tcBorders>
              <w:top w:val="single" w:sz="8" w:space="0" w:color="auto"/>
            </w:tcBorders>
            <w:vAlign w:val="center"/>
          </w:tcPr>
          <w:p w14:paraId="685E7018" w14:textId="77777777" w:rsidR="001A1254" w:rsidRPr="00CD315B" w:rsidRDefault="001A1254" w:rsidP="0046272E">
            <w:pPr>
              <w:jc w:val="center"/>
              <w:rPr>
                <w:sz w:val="18"/>
                <w:szCs w:val="18"/>
              </w:rPr>
            </w:pPr>
            <w:r>
              <w:rPr>
                <w:sz w:val="18"/>
                <w:szCs w:val="18"/>
              </w:rPr>
              <w:t>29.483</w:t>
            </w:r>
          </w:p>
        </w:tc>
        <w:tc>
          <w:tcPr>
            <w:tcW w:w="1525" w:type="dxa"/>
            <w:tcBorders>
              <w:top w:val="single" w:sz="8" w:space="0" w:color="auto"/>
              <w:right w:val="single" w:sz="8" w:space="0" w:color="auto"/>
            </w:tcBorders>
            <w:vAlign w:val="center"/>
          </w:tcPr>
          <w:p w14:paraId="09FF4208" w14:textId="77777777" w:rsidR="001A1254" w:rsidRPr="00CD315B" w:rsidRDefault="001C138D" w:rsidP="0046272E">
            <w:pPr>
              <w:jc w:val="center"/>
              <w:rPr>
                <w:sz w:val="18"/>
                <w:szCs w:val="18"/>
              </w:rPr>
            </w:pPr>
            <w:r>
              <w:rPr>
                <w:sz w:val="18"/>
                <w:szCs w:val="18"/>
              </w:rPr>
              <w:t xml:space="preserve">F = </w:t>
            </w:r>
            <w:r w:rsidR="00467557">
              <w:rPr>
                <w:sz w:val="18"/>
                <w:szCs w:val="18"/>
              </w:rPr>
              <w:t>100</w:t>
            </w:r>
          </w:p>
        </w:tc>
      </w:tr>
      <w:tr w:rsidR="001A1254" w14:paraId="4D147BA6" w14:textId="77777777" w:rsidTr="0046272E">
        <w:trPr>
          <w:trHeight w:val="340"/>
        </w:trPr>
        <w:tc>
          <w:tcPr>
            <w:tcW w:w="2235" w:type="dxa"/>
            <w:tcBorders>
              <w:left w:val="single" w:sz="8" w:space="0" w:color="auto"/>
            </w:tcBorders>
            <w:vAlign w:val="center"/>
          </w:tcPr>
          <w:p w14:paraId="0AE0FC3C" w14:textId="77777777" w:rsidR="001A1254" w:rsidRPr="00CD315B" w:rsidRDefault="001A1254" w:rsidP="0046272E">
            <w:pPr>
              <w:jc w:val="center"/>
              <w:rPr>
                <w:sz w:val="18"/>
                <w:szCs w:val="18"/>
              </w:rPr>
            </w:pPr>
            <w:r>
              <w:rPr>
                <w:sz w:val="18"/>
                <w:szCs w:val="18"/>
              </w:rPr>
              <w:t>PEA Cystein</w:t>
            </w:r>
            <w:r w:rsidR="00E26838">
              <w:rPr>
                <w:sz w:val="18"/>
                <w:szCs w:val="18"/>
              </w:rPr>
              <w:t xml:space="preserve"> Partikel</w:t>
            </w:r>
            <w:r w:rsidR="00E8629C">
              <w:rPr>
                <w:sz w:val="18"/>
                <w:szCs w:val="18"/>
              </w:rPr>
              <w:t xml:space="preserve"> p.o.</w:t>
            </w:r>
          </w:p>
        </w:tc>
        <w:tc>
          <w:tcPr>
            <w:tcW w:w="1275" w:type="dxa"/>
            <w:vAlign w:val="center"/>
          </w:tcPr>
          <w:p w14:paraId="7439358D" w14:textId="77777777" w:rsidR="001A1254" w:rsidRPr="00CD315B" w:rsidRDefault="001A1254" w:rsidP="0046272E">
            <w:pPr>
              <w:jc w:val="center"/>
              <w:rPr>
                <w:sz w:val="18"/>
                <w:szCs w:val="18"/>
              </w:rPr>
            </w:pPr>
            <w:r>
              <w:rPr>
                <w:sz w:val="18"/>
                <w:szCs w:val="18"/>
              </w:rPr>
              <w:t>15,0</w:t>
            </w:r>
          </w:p>
        </w:tc>
        <w:tc>
          <w:tcPr>
            <w:tcW w:w="1276" w:type="dxa"/>
            <w:vAlign w:val="center"/>
          </w:tcPr>
          <w:p w14:paraId="51C8656C" w14:textId="77777777" w:rsidR="001A1254" w:rsidRDefault="00E8629C" w:rsidP="0046272E">
            <w:pPr>
              <w:jc w:val="center"/>
              <w:rPr>
                <w:sz w:val="18"/>
                <w:szCs w:val="18"/>
              </w:rPr>
            </w:pPr>
            <w:r>
              <w:rPr>
                <w:sz w:val="18"/>
                <w:szCs w:val="18"/>
              </w:rPr>
              <w:t>4</w:t>
            </w:r>
          </w:p>
        </w:tc>
        <w:tc>
          <w:tcPr>
            <w:tcW w:w="1418" w:type="dxa"/>
            <w:vAlign w:val="center"/>
          </w:tcPr>
          <w:p w14:paraId="0FE7BC2D" w14:textId="77777777" w:rsidR="001A1254" w:rsidRPr="00CD315B" w:rsidRDefault="001A1254" w:rsidP="0046272E">
            <w:pPr>
              <w:jc w:val="center"/>
              <w:rPr>
                <w:sz w:val="18"/>
                <w:szCs w:val="18"/>
              </w:rPr>
            </w:pPr>
            <w:r>
              <w:rPr>
                <w:sz w:val="18"/>
                <w:szCs w:val="18"/>
              </w:rPr>
              <w:t>348</w:t>
            </w:r>
          </w:p>
        </w:tc>
        <w:tc>
          <w:tcPr>
            <w:tcW w:w="1559" w:type="dxa"/>
            <w:vAlign w:val="center"/>
          </w:tcPr>
          <w:p w14:paraId="482AB8F4" w14:textId="77777777" w:rsidR="001A1254" w:rsidRPr="00CD315B" w:rsidRDefault="00E8629C" w:rsidP="0046272E">
            <w:pPr>
              <w:jc w:val="center"/>
              <w:rPr>
                <w:sz w:val="18"/>
                <w:szCs w:val="18"/>
              </w:rPr>
            </w:pPr>
            <w:r>
              <w:rPr>
                <w:sz w:val="18"/>
                <w:szCs w:val="18"/>
              </w:rPr>
              <w:t>1.218</w:t>
            </w:r>
          </w:p>
        </w:tc>
        <w:tc>
          <w:tcPr>
            <w:tcW w:w="1525" w:type="dxa"/>
            <w:tcBorders>
              <w:right w:val="single" w:sz="8" w:space="0" w:color="auto"/>
            </w:tcBorders>
            <w:vAlign w:val="center"/>
          </w:tcPr>
          <w:p w14:paraId="2A0641BB" w14:textId="77777777" w:rsidR="001A1254" w:rsidRPr="00CD315B" w:rsidRDefault="00E8629C" w:rsidP="0046272E">
            <w:pPr>
              <w:jc w:val="center"/>
              <w:rPr>
                <w:sz w:val="18"/>
                <w:szCs w:val="18"/>
              </w:rPr>
            </w:pPr>
            <w:r>
              <w:rPr>
                <w:sz w:val="18"/>
                <w:szCs w:val="18"/>
              </w:rPr>
              <w:t>5,51</w:t>
            </w:r>
          </w:p>
        </w:tc>
      </w:tr>
      <w:tr w:rsidR="001A1254" w14:paraId="3580B201" w14:textId="77777777" w:rsidTr="0046272E">
        <w:trPr>
          <w:trHeight w:val="340"/>
        </w:trPr>
        <w:tc>
          <w:tcPr>
            <w:tcW w:w="2235" w:type="dxa"/>
            <w:tcBorders>
              <w:left w:val="single" w:sz="8" w:space="0" w:color="auto"/>
            </w:tcBorders>
            <w:vAlign w:val="center"/>
          </w:tcPr>
          <w:p w14:paraId="25D86B8B" w14:textId="77777777" w:rsidR="001A1254" w:rsidRPr="00CD315B" w:rsidRDefault="001A1254" w:rsidP="0046272E">
            <w:pPr>
              <w:jc w:val="center"/>
              <w:rPr>
                <w:sz w:val="18"/>
                <w:szCs w:val="18"/>
              </w:rPr>
            </w:pPr>
            <w:r>
              <w:rPr>
                <w:sz w:val="18"/>
                <w:szCs w:val="18"/>
              </w:rPr>
              <w:t>PLGA</w:t>
            </w:r>
            <w:r w:rsidR="00E26838">
              <w:rPr>
                <w:sz w:val="18"/>
                <w:szCs w:val="18"/>
              </w:rPr>
              <w:t xml:space="preserve"> Partikel</w:t>
            </w:r>
            <w:r w:rsidR="00E8629C">
              <w:rPr>
                <w:sz w:val="18"/>
                <w:szCs w:val="18"/>
              </w:rPr>
              <w:t xml:space="preserve"> p.o.</w:t>
            </w:r>
          </w:p>
        </w:tc>
        <w:tc>
          <w:tcPr>
            <w:tcW w:w="1275" w:type="dxa"/>
            <w:vAlign w:val="center"/>
          </w:tcPr>
          <w:p w14:paraId="7AA27DF9" w14:textId="77777777" w:rsidR="001A1254" w:rsidRPr="00CD315B" w:rsidRDefault="001A1254" w:rsidP="0046272E">
            <w:pPr>
              <w:jc w:val="center"/>
              <w:rPr>
                <w:sz w:val="18"/>
                <w:szCs w:val="18"/>
              </w:rPr>
            </w:pPr>
            <w:r>
              <w:rPr>
                <w:sz w:val="18"/>
                <w:szCs w:val="18"/>
              </w:rPr>
              <w:t>15,0</w:t>
            </w:r>
          </w:p>
        </w:tc>
        <w:tc>
          <w:tcPr>
            <w:tcW w:w="1276" w:type="dxa"/>
            <w:vAlign w:val="center"/>
          </w:tcPr>
          <w:p w14:paraId="46C7A86D" w14:textId="77777777" w:rsidR="001A1254" w:rsidRDefault="00E8629C" w:rsidP="0046272E">
            <w:pPr>
              <w:jc w:val="center"/>
              <w:rPr>
                <w:sz w:val="18"/>
                <w:szCs w:val="18"/>
              </w:rPr>
            </w:pPr>
            <w:r>
              <w:rPr>
                <w:sz w:val="18"/>
                <w:szCs w:val="18"/>
              </w:rPr>
              <w:t>0,5</w:t>
            </w:r>
          </w:p>
        </w:tc>
        <w:tc>
          <w:tcPr>
            <w:tcW w:w="1418" w:type="dxa"/>
            <w:vAlign w:val="center"/>
          </w:tcPr>
          <w:p w14:paraId="749537E2" w14:textId="77777777" w:rsidR="001A1254" w:rsidRPr="00CD315B" w:rsidRDefault="001A1254" w:rsidP="0046272E">
            <w:pPr>
              <w:jc w:val="center"/>
              <w:rPr>
                <w:sz w:val="18"/>
                <w:szCs w:val="18"/>
              </w:rPr>
            </w:pPr>
            <w:r>
              <w:rPr>
                <w:sz w:val="18"/>
                <w:szCs w:val="18"/>
              </w:rPr>
              <w:t>220</w:t>
            </w:r>
          </w:p>
        </w:tc>
        <w:tc>
          <w:tcPr>
            <w:tcW w:w="1559" w:type="dxa"/>
            <w:vAlign w:val="center"/>
          </w:tcPr>
          <w:p w14:paraId="1B8DD496" w14:textId="77777777" w:rsidR="001A1254" w:rsidRPr="00CD315B" w:rsidRDefault="00E8629C" w:rsidP="0046272E">
            <w:pPr>
              <w:jc w:val="center"/>
              <w:rPr>
                <w:sz w:val="18"/>
                <w:szCs w:val="18"/>
              </w:rPr>
            </w:pPr>
            <w:r>
              <w:rPr>
                <w:sz w:val="18"/>
                <w:szCs w:val="18"/>
              </w:rPr>
              <w:t>578</w:t>
            </w:r>
          </w:p>
        </w:tc>
        <w:tc>
          <w:tcPr>
            <w:tcW w:w="1525" w:type="dxa"/>
            <w:tcBorders>
              <w:right w:val="single" w:sz="8" w:space="0" w:color="auto"/>
            </w:tcBorders>
            <w:vAlign w:val="center"/>
          </w:tcPr>
          <w:p w14:paraId="2B213F28" w14:textId="77777777" w:rsidR="001A1254" w:rsidRPr="00CD315B" w:rsidRDefault="00E8629C" w:rsidP="0046272E">
            <w:pPr>
              <w:jc w:val="center"/>
              <w:rPr>
                <w:sz w:val="18"/>
                <w:szCs w:val="18"/>
              </w:rPr>
            </w:pPr>
            <w:r>
              <w:rPr>
                <w:sz w:val="18"/>
                <w:szCs w:val="18"/>
              </w:rPr>
              <w:t>2,61</w:t>
            </w:r>
          </w:p>
        </w:tc>
      </w:tr>
      <w:tr w:rsidR="001A1254" w14:paraId="372A6DD0" w14:textId="77777777" w:rsidTr="0046272E">
        <w:trPr>
          <w:trHeight w:val="340"/>
        </w:trPr>
        <w:tc>
          <w:tcPr>
            <w:tcW w:w="2235" w:type="dxa"/>
            <w:tcBorders>
              <w:left w:val="single" w:sz="8" w:space="0" w:color="auto"/>
            </w:tcBorders>
            <w:vAlign w:val="center"/>
          </w:tcPr>
          <w:p w14:paraId="2539AD5A" w14:textId="77777777" w:rsidR="001A1254" w:rsidRPr="00CD315B" w:rsidRDefault="001A1254" w:rsidP="0046272E">
            <w:pPr>
              <w:jc w:val="center"/>
              <w:rPr>
                <w:sz w:val="18"/>
                <w:szCs w:val="18"/>
              </w:rPr>
            </w:pPr>
            <w:r>
              <w:rPr>
                <w:sz w:val="18"/>
                <w:szCs w:val="18"/>
              </w:rPr>
              <w:t>PLGA</w:t>
            </w:r>
            <w:r w:rsidR="00E26838">
              <w:rPr>
                <w:sz w:val="18"/>
                <w:szCs w:val="18"/>
              </w:rPr>
              <w:t xml:space="preserve"> Partikel</w:t>
            </w:r>
            <w:r>
              <w:rPr>
                <w:sz w:val="18"/>
                <w:szCs w:val="18"/>
              </w:rPr>
              <w:t xml:space="preserve"> + hLF</w:t>
            </w:r>
            <w:r w:rsidR="00E8629C">
              <w:rPr>
                <w:sz w:val="18"/>
                <w:szCs w:val="18"/>
              </w:rPr>
              <w:t xml:space="preserve"> p.o.</w:t>
            </w:r>
          </w:p>
        </w:tc>
        <w:tc>
          <w:tcPr>
            <w:tcW w:w="1275" w:type="dxa"/>
            <w:vAlign w:val="center"/>
          </w:tcPr>
          <w:p w14:paraId="30BC1922" w14:textId="77777777" w:rsidR="001A1254" w:rsidRPr="00CD315B" w:rsidRDefault="001A1254" w:rsidP="0046272E">
            <w:pPr>
              <w:jc w:val="center"/>
              <w:rPr>
                <w:sz w:val="18"/>
                <w:szCs w:val="18"/>
              </w:rPr>
            </w:pPr>
            <w:r>
              <w:rPr>
                <w:sz w:val="18"/>
                <w:szCs w:val="18"/>
              </w:rPr>
              <w:t>15,0</w:t>
            </w:r>
          </w:p>
        </w:tc>
        <w:tc>
          <w:tcPr>
            <w:tcW w:w="1276" w:type="dxa"/>
            <w:vAlign w:val="center"/>
          </w:tcPr>
          <w:p w14:paraId="3B1CF31C" w14:textId="77777777" w:rsidR="001A1254" w:rsidRDefault="00E8629C" w:rsidP="0046272E">
            <w:pPr>
              <w:jc w:val="center"/>
              <w:rPr>
                <w:sz w:val="18"/>
                <w:szCs w:val="18"/>
              </w:rPr>
            </w:pPr>
            <w:r>
              <w:rPr>
                <w:sz w:val="18"/>
                <w:szCs w:val="18"/>
              </w:rPr>
              <w:t>0,5</w:t>
            </w:r>
          </w:p>
        </w:tc>
        <w:tc>
          <w:tcPr>
            <w:tcW w:w="1418" w:type="dxa"/>
            <w:vAlign w:val="center"/>
          </w:tcPr>
          <w:p w14:paraId="60A75721" w14:textId="77777777" w:rsidR="001A1254" w:rsidRPr="00CD315B" w:rsidRDefault="001A1254" w:rsidP="0046272E">
            <w:pPr>
              <w:jc w:val="center"/>
              <w:rPr>
                <w:sz w:val="18"/>
                <w:szCs w:val="18"/>
              </w:rPr>
            </w:pPr>
            <w:r>
              <w:rPr>
                <w:sz w:val="18"/>
                <w:szCs w:val="18"/>
              </w:rPr>
              <w:t>33</w:t>
            </w:r>
          </w:p>
        </w:tc>
        <w:tc>
          <w:tcPr>
            <w:tcW w:w="1559" w:type="dxa"/>
            <w:vAlign w:val="center"/>
          </w:tcPr>
          <w:p w14:paraId="0EC684A7" w14:textId="77777777" w:rsidR="001A1254" w:rsidRPr="00CD315B" w:rsidRDefault="00E8629C" w:rsidP="0046272E">
            <w:pPr>
              <w:jc w:val="center"/>
              <w:rPr>
                <w:sz w:val="18"/>
                <w:szCs w:val="18"/>
              </w:rPr>
            </w:pPr>
            <w:r>
              <w:rPr>
                <w:sz w:val="18"/>
                <w:szCs w:val="18"/>
              </w:rPr>
              <w:t>25</w:t>
            </w:r>
          </w:p>
        </w:tc>
        <w:tc>
          <w:tcPr>
            <w:tcW w:w="1525" w:type="dxa"/>
            <w:tcBorders>
              <w:right w:val="single" w:sz="8" w:space="0" w:color="auto"/>
            </w:tcBorders>
            <w:vAlign w:val="center"/>
          </w:tcPr>
          <w:p w14:paraId="70DBB137" w14:textId="77777777" w:rsidR="001A1254" w:rsidRPr="00CD315B" w:rsidRDefault="00E8629C" w:rsidP="0046272E">
            <w:pPr>
              <w:jc w:val="center"/>
              <w:rPr>
                <w:sz w:val="18"/>
                <w:szCs w:val="18"/>
              </w:rPr>
            </w:pPr>
            <w:r>
              <w:rPr>
                <w:sz w:val="18"/>
                <w:szCs w:val="18"/>
              </w:rPr>
              <w:t>0,11</w:t>
            </w:r>
          </w:p>
        </w:tc>
      </w:tr>
      <w:tr w:rsidR="001A1254" w14:paraId="29C97864" w14:textId="77777777" w:rsidTr="0046272E">
        <w:trPr>
          <w:trHeight w:val="340"/>
        </w:trPr>
        <w:tc>
          <w:tcPr>
            <w:tcW w:w="2235" w:type="dxa"/>
            <w:tcBorders>
              <w:left w:val="single" w:sz="8" w:space="0" w:color="auto"/>
              <w:bottom w:val="single" w:sz="8" w:space="0" w:color="auto"/>
            </w:tcBorders>
            <w:vAlign w:val="center"/>
          </w:tcPr>
          <w:p w14:paraId="71C38E84" w14:textId="77777777" w:rsidR="001A1254" w:rsidRDefault="001A1254" w:rsidP="0046272E">
            <w:pPr>
              <w:jc w:val="center"/>
              <w:rPr>
                <w:sz w:val="18"/>
                <w:szCs w:val="18"/>
              </w:rPr>
            </w:pPr>
            <w:r>
              <w:rPr>
                <w:sz w:val="18"/>
                <w:szCs w:val="18"/>
              </w:rPr>
              <w:t>Minirin</w:t>
            </w:r>
            <w:r w:rsidR="00D60D9F">
              <w:rPr>
                <w:sz w:val="18"/>
                <w:szCs w:val="18"/>
                <w:vertAlign w:val="superscript"/>
              </w:rPr>
              <w:t>®</w:t>
            </w:r>
            <w:r w:rsidR="00E8629C">
              <w:rPr>
                <w:sz w:val="18"/>
                <w:szCs w:val="18"/>
              </w:rPr>
              <w:t xml:space="preserve"> Lyophilisat p.o.</w:t>
            </w:r>
          </w:p>
        </w:tc>
        <w:tc>
          <w:tcPr>
            <w:tcW w:w="1275" w:type="dxa"/>
            <w:tcBorders>
              <w:bottom w:val="single" w:sz="8" w:space="0" w:color="auto"/>
            </w:tcBorders>
            <w:vAlign w:val="center"/>
          </w:tcPr>
          <w:p w14:paraId="763F4281" w14:textId="77777777" w:rsidR="001A1254" w:rsidRPr="00CD315B" w:rsidRDefault="001A1254" w:rsidP="0046272E">
            <w:pPr>
              <w:jc w:val="center"/>
              <w:rPr>
                <w:sz w:val="18"/>
                <w:szCs w:val="18"/>
              </w:rPr>
            </w:pPr>
            <w:r>
              <w:rPr>
                <w:sz w:val="18"/>
                <w:szCs w:val="18"/>
              </w:rPr>
              <w:t>20,0</w:t>
            </w:r>
          </w:p>
        </w:tc>
        <w:tc>
          <w:tcPr>
            <w:tcW w:w="1276" w:type="dxa"/>
            <w:tcBorders>
              <w:bottom w:val="single" w:sz="8" w:space="0" w:color="auto"/>
            </w:tcBorders>
            <w:vAlign w:val="center"/>
          </w:tcPr>
          <w:p w14:paraId="73E74612" w14:textId="77777777" w:rsidR="001A1254" w:rsidRDefault="00E8629C" w:rsidP="0046272E">
            <w:pPr>
              <w:jc w:val="center"/>
              <w:rPr>
                <w:sz w:val="18"/>
                <w:szCs w:val="18"/>
              </w:rPr>
            </w:pPr>
            <w:r>
              <w:rPr>
                <w:sz w:val="18"/>
                <w:szCs w:val="18"/>
              </w:rPr>
              <w:t>1</w:t>
            </w:r>
          </w:p>
        </w:tc>
        <w:tc>
          <w:tcPr>
            <w:tcW w:w="1418" w:type="dxa"/>
            <w:tcBorders>
              <w:bottom w:val="single" w:sz="8" w:space="0" w:color="auto"/>
            </w:tcBorders>
            <w:vAlign w:val="center"/>
          </w:tcPr>
          <w:p w14:paraId="0A782072" w14:textId="77777777" w:rsidR="001A1254" w:rsidRPr="00CD315B" w:rsidRDefault="001A1254" w:rsidP="0046272E">
            <w:pPr>
              <w:jc w:val="center"/>
              <w:rPr>
                <w:sz w:val="18"/>
                <w:szCs w:val="18"/>
              </w:rPr>
            </w:pPr>
            <w:r>
              <w:rPr>
                <w:sz w:val="18"/>
                <w:szCs w:val="18"/>
              </w:rPr>
              <w:t>234</w:t>
            </w:r>
          </w:p>
        </w:tc>
        <w:tc>
          <w:tcPr>
            <w:tcW w:w="1559" w:type="dxa"/>
            <w:tcBorders>
              <w:bottom w:val="single" w:sz="8" w:space="0" w:color="auto"/>
            </w:tcBorders>
            <w:vAlign w:val="center"/>
          </w:tcPr>
          <w:p w14:paraId="3D816B4A" w14:textId="77777777" w:rsidR="001A1254" w:rsidRPr="00CD315B" w:rsidRDefault="00E8629C" w:rsidP="0046272E">
            <w:pPr>
              <w:jc w:val="center"/>
              <w:rPr>
                <w:sz w:val="18"/>
                <w:szCs w:val="18"/>
              </w:rPr>
            </w:pPr>
            <w:r>
              <w:rPr>
                <w:sz w:val="18"/>
                <w:szCs w:val="18"/>
              </w:rPr>
              <w:t>366</w:t>
            </w:r>
          </w:p>
        </w:tc>
        <w:tc>
          <w:tcPr>
            <w:tcW w:w="1525" w:type="dxa"/>
            <w:tcBorders>
              <w:bottom w:val="single" w:sz="8" w:space="0" w:color="auto"/>
              <w:right w:val="single" w:sz="8" w:space="0" w:color="auto"/>
            </w:tcBorders>
            <w:vAlign w:val="center"/>
          </w:tcPr>
          <w:p w14:paraId="28FDC05D" w14:textId="77777777" w:rsidR="001A1254" w:rsidRPr="00CD315B" w:rsidRDefault="00E8629C" w:rsidP="0046272E">
            <w:pPr>
              <w:jc w:val="center"/>
              <w:rPr>
                <w:sz w:val="18"/>
                <w:szCs w:val="18"/>
              </w:rPr>
            </w:pPr>
            <w:r>
              <w:rPr>
                <w:sz w:val="18"/>
                <w:szCs w:val="18"/>
              </w:rPr>
              <w:t>1,24</w:t>
            </w:r>
          </w:p>
        </w:tc>
      </w:tr>
    </w:tbl>
    <w:p w14:paraId="311C6E8B" w14:textId="77777777" w:rsidR="00CD315B" w:rsidRDefault="00CD315B" w:rsidP="00CD315B"/>
    <w:p w14:paraId="2AC998A6" w14:textId="77777777" w:rsidR="00467557" w:rsidRDefault="001C138D" w:rsidP="00CD315B">
      <w:r>
        <w:t>Definitionsgemäß beträgt die Bioverfügbarkeit der intravenös applizierten Desmopressin Lösung 100%. Die Bioverfügbarkeit der peroral ap</w:t>
      </w:r>
      <w:r w:rsidR="008D5357">
        <w:t>plizierten Formulierungen wurde</w:t>
      </w:r>
      <w:r>
        <w:t xml:space="preserve"> zu diesem Wert entsprechend </w:t>
      </w:r>
      <w:r w:rsidR="00D16240">
        <w:fldChar w:fldCharType="begin"/>
      </w:r>
      <w:r>
        <w:instrText xml:space="preserve"> REF _Ref282370336 \h </w:instrText>
      </w:r>
      <w:r w:rsidR="00D16240">
        <w:fldChar w:fldCharType="separate"/>
      </w:r>
      <w:r w:rsidR="00711AB8" w:rsidRPr="00CD315B">
        <w:t xml:space="preserve">Formel </w:t>
      </w:r>
      <w:r w:rsidR="00711AB8">
        <w:rPr>
          <w:noProof/>
        </w:rPr>
        <w:t>6</w:t>
      </w:r>
      <w:r w:rsidR="00D16240">
        <w:fldChar w:fldCharType="end"/>
      </w:r>
      <w:r>
        <w:t xml:space="preserve"> ins Verhältnis gesetzt, um die absolute Bioverfügbarkeit </w:t>
      </w:r>
      <w:r w:rsidRPr="00CD680C">
        <w:rPr>
          <w:i/>
        </w:rPr>
        <w:t>F</w:t>
      </w:r>
      <w:r w:rsidRPr="00CD680C">
        <w:rPr>
          <w:i/>
          <w:vertAlign w:val="subscript"/>
        </w:rPr>
        <w:t>abs</w:t>
      </w:r>
      <w:r w:rsidR="00B72BA3">
        <w:t xml:space="preserve"> zu berechnen</w:t>
      </w:r>
      <w:r>
        <w:t>.</w:t>
      </w:r>
    </w:p>
    <w:p w14:paraId="12F1DD18" w14:textId="77777777" w:rsidR="001C138D" w:rsidRDefault="001C138D" w:rsidP="00CD315B">
      <w:r>
        <w:lastRenderedPageBreak/>
        <w:t xml:space="preserve">Die Partikelformulierung von Desmopressin mit PEA Cystein Polymer </w:t>
      </w:r>
      <w:r w:rsidR="009D63FE">
        <w:t xml:space="preserve">besitzt mit 5,51% </w:t>
      </w:r>
      <w:r w:rsidR="00C1638A">
        <w:t>die höchste abs</w:t>
      </w:r>
      <w:r w:rsidR="0046272E">
        <w:t>olute orale Bioverfügbarkeit unter allen</w:t>
      </w:r>
      <w:r w:rsidR="00C1638A">
        <w:t xml:space="preserve"> getesteten Formulierungen. Die relative Bioverfügbarkeit bezogen auf die Referenzformulierung Minirin</w:t>
      </w:r>
      <w:r w:rsidR="00C1638A" w:rsidRPr="00C1638A">
        <w:rPr>
          <w:vertAlign w:val="superscript"/>
        </w:rPr>
        <w:sym w:font="Symbol" w:char="F0D2"/>
      </w:r>
      <w:r w:rsidR="00C1638A">
        <w:t xml:space="preserve"> </w:t>
      </w:r>
      <w:r w:rsidR="00184E2A">
        <w:t xml:space="preserve">Lyophilisat </w:t>
      </w:r>
      <w:r w:rsidR="00C1638A">
        <w:t>beträgt</w:t>
      </w:r>
      <w:r w:rsidR="000D3514">
        <w:t xml:space="preserve"> 443,7%. Dies entspricht</w:t>
      </w:r>
      <w:r w:rsidR="00C1638A">
        <w:t xml:space="preserve"> eine</w:t>
      </w:r>
      <w:r w:rsidR="000D3514">
        <w:t>r</w:t>
      </w:r>
      <w:r w:rsidR="00C1638A">
        <w:t xml:space="preserve"> </w:t>
      </w:r>
      <w:r w:rsidR="00184E2A">
        <w:t xml:space="preserve">rund </w:t>
      </w:r>
      <w:r w:rsidR="00C1638A">
        <w:t>4,4fache</w:t>
      </w:r>
      <w:r w:rsidR="000D3514">
        <w:t>n</w:t>
      </w:r>
      <w:r w:rsidR="00C1638A">
        <w:t xml:space="preserve"> Steigerung</w:t>
      </w:r>
      <w:r w:rsidR="000D3514">
        <w:t xml:space="preserve"> der oralen Bioverfügbarkeit</w:t>
      </w:r>
      <w:r w:rsidR="00C1638A">
        <w:t xml:space="preserve"> gegenüber der handelsüblichen Referenzformulierung. Legt man die Ergebnisse einer kl</w:t>
      </w:r>
      <w:r w:rsidR="00184E2A">
        <w:t>inischen Humanstudie</w:t>
      </w:r>
      <w:r w:rsidR="00C1638A">
        <w:t xml:space="preserve"> von Vilhard</w:t>
      </w:r>
      <w:r w:rsidR="0046272E">
        <w:t>t</w:t>
      </w:r>
      <w:r w:rsidR="00C1638A">
        <w:t xml:space="preserve"> et al. zugrunde, </w:t>
      </w:r>
      <w:r w:rsidR="00184E2A">
        <w:t>die die orale Bioverfügbarkeit von Desmopressin auf rund 0,9% bezifferte</w:t>
      </w:r>
      <w:r w:rsidR="00D16240">
        <w:fldChar w:fldCharType="begin"/>
      </w:r>
      <w:r w:rsidR="006901F1">
        <w:instrText xml:space="preserve"> NOTEREF _Ref284436375 \f \h </w:instrText>
      </w:r>
      <w:r w:rsidR="00D16240">
        <w:fldChar w:fldCharType="separate"/>
      </w:r>
      <w:r w:rsidR="00711AB8" w:rsidRPr="00711AB8">
        <w:rPr>
          <w:rStyle w:val="Endnotenzeichen"/>
        </w:rPr>
        <w:t>109</w:t>
      </w:r>
      <w:r w:rsidR="00D16240">
        <w:fldChar w:fldCharType="end"/>
      </w:r>
      <w:r w:rsidR="00184E2A">
        <w:t>, so wurde mit der Partikelformulierung aus PEA Cystein eine mehr als 6fache Steigerung der oralen Bioverfügbarkeit erzielt.</w:t>
      </w:r>
    </w:p>
    <w:p w14:paraId="63BB8B74" w14:textId="77777777" w:rsidR="00184E2A" w:rsidRDefault="00184E2A" w:rsidP="00CD315B">
      <w:r>
        <w:t>Die Formulierung mit unbeschichteten PLGA Partikeln erzielte ebenfalls eine Steigerung der oralen Bioverfügbarkeit des Modellpeptids gegenüber der Referenzformulierung, wenn auch etwas geringer ausfallend als bei der PEA Formulierung. Die absolute orale Bioverfügbarkeit von Desmop</w:t>
      </w:r>
      <w:r w:rsidR="000D3514">
        <w:t>ressin betrug hier 2,61%. Damit wird bezüglich Minirin</w:t>
      </w:r>
      <w:r w:rsidR="000D3514" w:rsidRPr="000D3514">
        <w:rPr>
          <w:vertAlign w:val="superscript"/>
        </w:rPr>
        <w:sym w:font="Symbol" w:char="F0D2"/>
      </w:r>
      <w:r w:rsidR="000D3514">
        <w:t xml:space="preserve"> Lyophilisat eine relative Biov</w:t>
      </w:r>
      <w:r w:rsidR="0046272E">
        <w:t>erfügbarkeit von 210,6% erzielt.</w:t>
      </w:r>
      <w:r w:rsidR="000D3514">
        <w:t xml:space="preserve"> </w:t>
      </w:r>
      <w:r w:rsidR="0046272E">
        <w:t>Dies entspricht</w:t>
      </w:r>
      <w:r w:rsidR="000D3514">
        <w:t xml:space="preserve"> einer</w:t>
      </w:r>
      <w:r w:rsidR="0046272E">
        <w:t xml:space="preserve"> rund</w:t>
      </w:r>
      <w:r w:rsidR="000D3514">
        <w:t xml:space="preserve"> 2,1fachen Erhöhung.</w:t>
      </w:r>
    </w:p>
    <w:p w14:paraId="2CE1C1A6" w14:textId="77777777" w:rsidR="000D3514" w:rsidRPr="000D3514" w:rsidRDefault="000D3514" w:rsidP="00CD315B">
      <w:r>
        <w:t>Mit</w:t>
      </w:r>
      <w:r w:rsidR="000A6444">
        <w:t xml:space="preserve">hilfe der </w:t>
      </w:r>
      <w:r>
        <w:t>hLF bes</w:t>
      </w:r>
      <w:r w:rsidR="000A6444">
        <w:t>chichteten PLGA Partikel</w:t>
      </w:r>
      <w:r>
        <w:t xml:space="preserve"> wurde unter allen getesteten Formulierungen die niedrigste Bioverfügbarkeit des Modellpeptids erzielt. Sie betrug lediglich 0,11%. Die relative Bioverfügbarkeit </w:t>
      </w:r>
      <w:r w:rsidR="002304F3">
        <w:t xml:space="preserve">der hLF beschichteten Partikel </w:t>
      </w:r>
      <w:r>
        <w:t>gegenüber der Referenzformulierung</w:t>
      </w:r>
      <w:r w:rsidR="002304F3">
        <w:t xml:space="preserve"> Minirin</w:t>
      </w:r>
      <w:r w:rsidR="002304F3" w:rsidRPr="002304F3">
        <w:rPr>
          <w:vertAlign w:val="superscript"/>
        </w:rPr>
        <w:t>®</w:t>
      </w:r>
      <w:r w:rsidR="000A6444">
        <w:t xml:space="preserve"> Lyophilisat betrug 9,11%. Dies entspricht</w:t>
      </w:r>
      <w:r>
        <w:t xml:space="preserve"> einer mehr als 11fachen Verringerung der or</w:t>
      </w:r>
      <w:r w:rsidR="000A6444">
        <w:t>alen Bioverfügbarkeit</w:t>
      </w:r>
      <w:r>
        <w:t>.</w:t>
      </w:r>
    </w:p>
    <w:p w14:paraId="6BCED558" w14:textId="77777777" w:rsidR="001C138D" w:rsidRPr="001C138D" w:rsidRDefault="001C138D" w:rsidP="00C579F7">
      <w:pPr>
        <w:spacing w:after="0"/>
      </w:pPr>
    </w:p>
    <w:p w14:paraId="78DB7B37" w14:textId="77777777" w:rsidR="00F40A26" w:rsidRDefault="00F40A26" w:rsidP="00C579F7">
      <w:pPr>
        <w:pStyle w:val="berschrift5"/>
        <w:spacing w:after="240"/>
        <w:rPr>
          <w:color w:val="auto"/>
        </w:rPr>
      </w:pPr>
      <w:bookmarkStart w:id="332" w:name="_Toc294380292"/>
      <w:r w:rsidRPr="00F40A26">
        <w:rPr>
          <w:color w:val="auto"/>
        </w:rPr>
        <w:t>Untersuchung der rektale</w:t>
      </w:r>
      <w:r>
        <w:rPr>
          <w:color w:val="auto"/>
        </w:rPr>
        <w:t>n Bioverfügbarkeit der Partikelf</w:t>
      </w:r>
      <w:r w:rsidRPr="00F40A26">
        <w:rPr>
          <w:color w:val="auto"/>
        </w:rPr>
        <w:t>ormulierungen</w:t>
      </w:r>
      <w:bookmarkEnd w:id="332"/>
    </w:p>
    <w:p w14:paraId="1712DCB4" w14:textId="77777777" w:rsidR="00C579F7" w:rsidRDefault="008D06A5" w:rsidP="00C579F7">
      <w:r>
        <w:t xml:space="preserve">Zusätzlich zur Untersuchung der oralen Bioverfügbarkeit von Desmopressin sollte die Bioverfügbarkeit des Modellwirkstoffes nach rektaler Gabe der Partikelformulierungen an die Versuchstiere untersucht werden. Die Tests wurden wie in Kapitel </w:t>
      </w:r>
      <w:r w:rsidR="00D16240">
        <w:fldChar w:fldCharType="begin"/>
      </w:r>
      <w:r>
        <w:instrText xml:space="preserve"> REF _Ref273305458 \n \h </w:instrText>
      </w:r>
      <w:r w:rsidR="00D16240">
        <w:fldChar w:fldCharType="separate"/>
      </w:r>
      <w:r w:rsidR="00711AB8">
        <w:t>4.1.7</w:t>
      </w:r>
      <w:r w:rsidR="00D16240">
        <w:fldChar w:fldCharType="end"/>
      </w:r>
      <w:r>
        <w:t xml:space="preserve"> auf Seite </w:t>
      </w:r>
      <w:r w:rsidR="00D16240">
        <w:fldChar w:fldCharType="begin"/>
      </w:r>
      <w:r>
        <w:instrText xml:space="preserve"> PAGEREF _Ref273305458 \h </w:instrText>
      </w:r>
      <w:r w:rsidR="00D16240">
        <w:fldChar w:fldCharType="separate"/>
      </w:r>
      <w:r w:rsidR="00711AB8">
        <w:rPr>
          <w:noProof/>
        </w:rPr>
        <w:t>65</w:t>
      </w:r>
      <w:r w:rsidR="00D16240">
        <w:fldChar w:fldCharType="end"/>
      </w:r>
      <w:r>
        <w:t xml:space="preserve"> beschrieben durchgeführt.</w:t>
      </w:r>
    </w:p>
    <w:p w14:paraId="49A99246" w14:textId="77777777" w:rsidR="008D06A5" w:rsidRDefault="008D06A5" w:rsidP="00C579F7">
      <w:r>
        <w:t>Die rektale Gabe der in Wasser dispergierten Formulierungen mithilfe der Knopfkanüle erwies si</w:t>
      </w:r>
      <w:r w:rsidR="00EC7752">
        <w:t>ch</w:t>
      </w:r>
      <w:r w:rsidR="00BF5DDF">
        <w:t xml:space="preserve"> als problematisch. Nicht in allen Fällen konnte das</w:t>
      </w:r>
      <w:r>
        <w:t xml:space="preserve"> gesamte Volumen der Partikeldispersionen ohne Verluste in das Versuchstier eingebracht werden. Teilweise wurden erhebliche Men</w:t>
      </w:r>
      <w:r w:rsidR="0045339E">
        <w:t>gen der Partikelsuspension</w:t>
      </w:r>
      <w:r>
        <w:t xml:space="preserve"> von den Tieren wieder ausgeschieden. Aufgrund dieser Schwierigkeit bei der Applikation der Proben war bereits zu erwarten, dass starke interindividuelle Schwankungen zwischen den</w:t>
      </w:r>
      <w:r w:rsidR="003E09F7">
        <w:t xml:space="preserve"> Versuchstieren auftreten würden.</w:t>
      </w:r>
    </w:p>
    <w:p w14:paraId="095D59B4" w14:textId="77777777" w:rsidR="00BF5DDF" w:rsidRDefault="00BF5DDF" w:rsidP="00C579F7">
      <w:r>
        <w:t xml:space="preserve">Das Ergebnis der Plasmakonzentrationsbestimmung zu den unterschiedlichen Messzeitpunkten ist in </w:t>
      </w:r>
      <w:r w:rsidR="00D16240">
        <w:fldChar w:fldCharType="begin"/>
      </w:r>
      <w:r>
        <w:instrText xml:space="preserve"> REF _Ref282383171 \h </w:instrText>
      </w:r>
      <w:r w:rsidR="00D16240">
        <w:fldChar w:fldCharType="separate"/>
      </w:r>
      <w:r w:rsidR="00711AB8" w:rsidRPr="008F6E72">
        <w:t xml:space="preserve">Abbildung </w:t>
      </w:r>
      <w:r w:rsidR="00711AB8">
        <w:rPr>
          <w:noProof/>
        </w:rPr>
        <w:t>61</w:t>
      </w:r>
      <w:r w:rsidR="00D16240">
        <w:fldChar w:fldCharType="end"/>
      </w:r>
      <w:r>
        <w:t xml:space="preserve"> dargestellt.</w:t>
      </w:r>
    </w:p>
    <w:p w14:paraId="5D4712CC" w14:textId="77777777" w:rsidR="00920140" w:rsidRPr="00C579F7" w:rsidRDefault="00920140" w:rsidP="00C579F7"/>
    <w:p w14:paraId="0AA91619" w14:textId="77777777" w:rsidR="00A04A4A" w:rsidRDefault="00A04A4A" w:rsidP="00AE3515">
      <w:pPr>
        <w:jc w:val="center"/>
      </w:pPr>
      <w:r>
        <w:rPr>
          <w:noProof/>
          <w:lang w:eastAsia="de-DE"/>
        </w:rPr>
        <w:lastRenderedPageBreak/>
        <w:drawing>
          <wp:inline distT="0" distB="0" distL="0" distR="0" wp14:anchorId="111AD1F8" wp14:editId="4CF5CE3E">
            <wp:extent cx="5760720" cy="3232520"/>
            <wp:effectExtent l="0" t="0" r="5080" b="0"/>
            <wp:docPr id="17533" name="Diagramm 175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13C16579" w14:textId="77777777" w:rsidR="00385618" w:rsidRDefault="00AE3515" w:rsidP="00FF28A1">
      <w:pPr>
        <w:pStyle w:val="Beschriftung"/>
        <w:spacing w:after="120"/>
        <w:ind w:firstLine="0"/>
        <w:rPr>
          <w:b w:val="0"/>
        </w:rPr>
      </w:pPr>
      <w:bookmarkStart w:id="333" w:name="_Ref282383171"/>
      <w:r w:rsidRPr="008F6E72">
        <w:t xml:space="preserve">Abbildung </w:t>
      </w:r>
      <w:fldSimple w:instr=" SEQ Abbildung \* ARABIC ">
        <w:r w:rsidR="00711AB8">
          <w:rPr>
            <w:noProof/>
          </w:rPr>
          <w:t>61</w:t>
        </w:r>
      </w:fldSimple>
      <w:bookmarkEnd w:id="333"/>
      <w:r w:rsidR="008F6E72">
        <w:rPr>
          <w:b w:val="0"/>
        </w:rPr>
        <w:t xml:space="preserve"> Plasmaspiegelkurven von Desmopressin nach rektaler Gabe der </w:t>
      </w:r>
      <w:r w:rsidR="00C579F7">
        <w:rPr>
          <w:b w:val="0"/>
        </w:rPr>
        <w:t>Partikelf</w:t>
      </w:r>
      <w:r w:rsidR="008F6E72">
        <w:rPr>
          <w:b w:val="0"/>
        </w:rPr>
        <w:t>ormulierungen an Mäuse</w:t>
      </w:r>
      <w:r w:rsidR="00BF5DDF">
        <w:rPr>
          <w:b w:val="0"/>
        </w:rPr>
        <w:t>; n=3.</w:t>
      </w:r>
    </w:p>
    <w:p w14:paraId="7D5E82C2" w14:textId="77777777" w:rsidR="002C6C38" w:rsidRPr="002C6C38" w:rsidRDefault="002C6C38" w:rsidP="002C6C38">
      <w:pPr>
        <w:spacing w:after="0"/>
      </w:pPr>
    </w:p>
    <w:p w14:paraId="2DCB4856" w14:textId="77777777" w:rsidR="00BF5DDF" w:rsidRDefault="00BF5DDF" w:rsidP="00985AD0">
      <w:r>
        <w:t>Wie bei der</w:t>
      </w:r>
      <w:r w:rsidR="00A60C8D">
        <w:t xml:space="preserve"> </w:t>
      </w:r>
      <w:r w:rsidR="00A60C8D" w:rsidRPr="00A60C8D">
        <w:rPr>
          <w:i/>
        </w:rPr>
        <w:t>in vivo</w:t>
      </w:r>
      <w:r w:rsidR="0033213F">
        <w:t>-</w:t>
      </w:r>
      <w:r w:rsidR="00A60C8D">
        <w:t xml:space="preserve">Untersuchung der </w:t>
      </w:r>
      <w:r>
        <w:t>oralen Bioverfügbarkeit wurden für jeden Messzeitpunkt</w:t>
      </w:r>
      <w:r w:rsidR="00A60C8D">
        <w:t xml:space="preserve"> jeweils</w:t>
      </w:r>
      <w:r>
        <w:t xml:space="preserve"> drei Versuchstiere verwendet. Die geme</w:t>
      </w:r>
      <w:r w:rsidR="00A60C8D">
        <w:t>ssenen Plasmakonzentrationen wi</w:t>
      </w:r>
      <w:r w:rsidR="0010329F">
        <w:t>chen</w:t>
      </w:r>
      <w:r w:rsidR="00A60C8D">
        <w:t xml:space="preserve"> häufig so stark voneinander ab, dass mit drei Versuchstieren keine zuverlässigen und statistisch belastbaren Aussagen zur rektalen Bioverfügbarkeit der Formulierungen getroffen werden konnten. Wie in </w:t>
      </w:r>
      <w:r w:rsidR="00D16240">
        <w:fldChar w:fldCharType="begin"/>
      </w:r>
      <w:r w:rsidR="00A60C8D">
        <w:instrText xml:space="preserve"> REF _Ref282383171 \h </w:instrText>
      </w:r>
      <w:r w:rsidR="00D16240">
        <w:fldChar w:fldCharType="separate"/>
      </w:r>
      <w:r w:rsidR="00711AB8" w:rsidRPr="008F6E72">
        <w:t xml:space="preserve">Abbildung </w:t>
      </w:r>
      <w:r w:rsidR="00711AB8">
        <w:rPr>
          <w:noProof/>
        </w:rPr>
        <w:t>61</w:t>
      </w:r>
      <w:r w:rsidR="00D16240">
        <w:fldChar w:fldCharType="end"/>
      </w:r>
      <w:r w:rsidR="00A60C8D">
        <w:t xml:space="preserve"> ersichtlich ist, überschneiden sich die Standardabweichungen der Formulierungen zu großen Teilen vollständig. Die dargestellten Unterschiede zwischen den rektalen Plasmaspiegelverläufen der Partikelformulierungen sind somit </w:t>
      </w:r>
      <w:r w:rsidR="009C681F">
        <w:t xml:space="preserve">möglicherweise </w:t>
      </w:r>
      <w:r w:rsidR="00A60C8D">
        <w:t>nicht signifikant. Aus diesem Grund wurde von einer weiteren Auswertung dieser Daten zunächst abgesehen.</w:t>
      </w:r>
    </w:p>
    <w:p w14:paraId="6AA2C875" w14:textId="77777777" w:rsidR="00BA3FBD" w:rsidRDefault="0045339E" w:rsidP="00985AD0">
      <w:r>
        <w:t>Die bisherigen Daten sollten durch weitere Versuche ergänzt werden, um die statistische Belastbarkeit zu erhöhen. Gleichzeitig sollte die Methode zur Applikation der Proben verbessert werden. Dem Wiederausscheiden der applizierten Partikelsuspensionen könnte beispielsweise durch eine Erhöhung de</w:t>
      </w:r>
      <w:r w:rsidR="00B96FB0">
        <w:t>r Viskosität der Probe entgegen</w:t>
      </w:r>
      <w:r>
        <w:t>gewirkt werden. Hilfreich könnte beispielsweise eine Immobilisierung der Probe nach der Applikation durch eine Gelbildung sein.</w:t>
      </w:r>
    </w:p>
    <w:p w14:paraId="01F119B5" w14:textId="77777777" w:rsidR="00BA3FBD" w:rsidRDefault="003F164B" w:rsidP="003F164B">
      <w:pPr>
        <w:pStyle w:val="berschrift4"/>
      </w:pPr>
      <w:bookmarkStart w:id="334" w:name="_Toc294380293"/>
      <w:r>
        <w:t>Anmerkung</w:t>
      </w:r>
      <w:r w:rsidR="00BA3FBD" w:rsidRPr="00BA3FBD">
        <w:t xml:space="preserve"> zur in vivo</w:t>
      </w:r>
      <w:r w:rsidR="00D77884">
        <w:t>-</w:t>
      </w:r>
      <w:r w:rsidR="00BA3FBD" w:rsidRPr="00BA3FBD">
        <w:t>Toxizität der Partikelformulierungen</w:t>
      </w:r>
      <w:bookmarkEnd w:id="334"/>
    </w:p>
    <w:p w14:paraId="1973E922" w14:textId="77777777" w:rsidR="004B1DA0" w:rsidRDefault="00BA3FBD" w:rsidP="00BA3FBD">
      <w:r>
        <w:t xml:space="preserve">Auch wenn die durchgeführten </w:t>
      </w:r>
      <w:r w:rsidRPr="00BA3FBD">
        <w:rPr>
          <w:i/>
        </w:rPr>
        <w:t>in vivo</w:t>
      </w:r>
      <w:r>
        <w:rPr>
          <w:i/>
        </w:rPr>
        <w:t>-</w:t>
      </w:r>
      <w:r>
        <w:t xml:space="preserve">Studien nicht </w:t>
      </w:r>
      <w:r w:rsidR="007D518B">
        <w:t xml:space="preserve">speziell </w:t>
      </w:r>
      <w:r>
        <w:t xml:space="preserve">auf die Untersuchung der Toxizität der Partikelformulierungen ausgerichtet waren, </w:t>
      </w:r>
      <w:r w:rsidR="004B1DA0">
        <w:t>können dennoch einige Aussagen zur</w:t>
      </w:r>
      <w:r w:rsidR="007D518B">
        <w:t xml:space="preserve"> aku</w:t>
      </w:r>
      <w:r w:rsidR="002304F3">
        <w:t>ten Toxizität getroffen werden.</w:t>
      </w:r>
    </w:p>
    <w:p w14:paraId="0EC36F8F" w14:textId="77777777" w:rsidR="004B1DA0" w:rsidRDefault="004B1DA0" w:rsidP="00BA3FBD">
      <w:r>
        <w:lastRenderedPageBreak/>
        <w:t>Um mit den Partikelformulierungen jeweils eine</w:t>
      </w:r>
      <w:r w:rsidR="000C44B6">
        <w:t xml:space="preserve"> </w:t>
      </w:r>
      <w:r>
        <w:t>Wirkstoffdosis</w:t>
      </w:r>
      <w:r w:rsidR="000C44B6">
        <w:t xml:space="preserve"> </w:t>
      </w:r>
      <w:r w:rsidR="000406CC">
        <w:t>von 15 µg zu applizieren</w:t>
      </w:r>
      <w:r w:rsidR="000C44B6">
        <w:t>, wurden jedem Tier zwischen 4</w:t>
      </w:r>
      <w:r w:rsidR="000406CC">
        <w:t> mg</w:t>
      </w:r>
      <w:r w:rsidR="000C44B6">
        <w:t xml:space="preserve"> und 6 mg Polymer in Fo</w:t>
      </w:r>
      <w:r w:rsidR="000406CC">
        <w:t>rm von Nanopartikeln verabreicht</w:t>
      </w:r>
      <w:r w:rsidR="000C44B6">
        <w:t>. Bei einem durchschnittlichen Körpergewicht einer Maus von ca. 30</w:t>
      </w:r>
      <w:r>
        <w:t> </w:t>
      </w:r>
      <w:r w:rsidR="000C44B6">
        <w:t xml:space="preserve">g entspricht </w:t>
      </w:r>
      <w:r w:rsidR="00260E13">
        <w:t>dies einer Dosis zwischen 0,13 g und 0,2 </w:t>
      </w:r>
      <w:r w:rsidR="000C44B6">
        <w:t xml:space="preserve">g Polymernanopartikel pro </w:t>
      </w:r>
      <w:r w:rsidR="00260E13">
        <w:t>Kilog</w:t>
      </w:r>
      <w:r w:rsidR="000C44B6">
        <w:t>ramm Körpergewicht</w:t>
      </w:r>
      <w:r w:rsidR="00D16240">
        <w:fldChar w:fldCharType="begin"/>
      </w:r>
      <w:r w:rsidR="00260E13">
        <w:instrText xml:space="preserve"> NOTEREF _Ref282388325 \f \h </w:instrText>
      </w:r>
      <w:r w:rsidR="00D16240">
        <w:fldChar w:fldCharType="separate"/>
      </w:r>
      <w:r w:rsidR="00711AB8" w:rsidRPr="00711AB8">
        <w:rPr>
          <w:rStyle w:val="Endnotenzeichen"/>
        </w:rPr>
        <w:t>170</w:t>
      </w:r>
      <w:r w:rsidR="00D16240">
        <w:fldChar w:fldCharType="end"/>
      </w:r>
      <w:r w:rsidR="000C44B6">
        <w:t xml:space="preserve">. </w:t>
      </w:r>
      <w:r>
        <w:t>Selbst bei dieser vergleichsweise hohen Dosis an verabreichten Polymernanopartikeln sind keine Versuchstiere innerhalb des maximalen Versuchszeitr</w:t>
      </w:r>
      <w:r w:rsidR="00260E13">
        <w:t>aumes von 24 Stunden verstorben. Auch konnten keine</w:t>
      </w:r>
      <w:r w:rsidR="00707469">
        <w:t xml:space="preserve"> klinischen</w:t>
      </w:r>
      <w:r w:rsidR="00260E13">
        <w:t xml:space="preserve"> Symptome</w:t>
      </w:r>
      <w:r w:rsidR="00707469">
        <w:t xml:space="preserve"> wie beispielsweise Bewusstlosigkeit oder Lähmungserscheinungen</w:t>
      </w:r>
      <w:r w:rsidR="00260E13">
        <w:t>, die auf eine akut toxische Wirkung der Formulierungen hinweisen würden, beobachtet werden</w:t>
      </w:r>
      <w:r w:rsidR="00FB3436">
        <w:rPr>
          <w:rStyle w:val="Endnotenzeichen"/>
        </w:rPr>
        <w:endnoteReference w:id="175"/>
      </w:r>
      <w:r w:rsidR="00260E13">
        <w:t>.</w:t>
      </w:r>
    </w:p>
    <w:p w14:paraId="7A9B7FE3" w14:textId="77777777" w:rsidR="00BA3FBD" w:rsidRDefault="000C44B6" w:rsidP="00BA3FBD">
      <w:r>
        <w:t>Unter der Annahme eines durchschnittlichen Körpergewichtes eines erwachsenen Menschen von 70 kg enspräche dies einer Gabe zwischen 9 und 14 g Polymernanopartikel</w:t>
      </w:r>
      <w:r w:rsidR="000406CC">
        <w:t xml:space="preserve"> pro Einzeldosis</w:t>
      </w:r>
      <w:r>
        <w:t xml:space="preserve">. Zur Gabe einer üblichen therapeutischen peroralen </w:t>
      </w:r>
      <w:r w:rsidR="000406CC">
        <w:t>D</w:t>
      </w:r>
      <w:r>
        <w:t>osis von 200 µg Desmopressin</w:t>
      </w:r>
      <w:r w:rsidR="000934AE">
        <w:rPr>
          <w:rStyle w:val="Endnotenzeichen"/>
        </w:rPr>
        <w:endnoteReference w:id="176"/>
      </w:r>
      <w:r>
        <w:t xml:space="preserve"> </w:t>
      </w:r>
      <w:r w:rsidR="004B1DA0">
        <w:t xml:space="preserve">müssten allerdings lediglich ca. 70 mg der </w:t>
      </w:r>
      <w:r w:rsidR="000406CC">
        <w:t xml:space="preserve">wirkstoffbeladenen </w:t>
      </w:r>
      <w:r w:rsidR="004B1DA0">
        <w:t>Polymerpartikel verabreicht werden.</w:t>
      </w:r>
      <w:r w:rsidR="00260E13">
        <w:t xml:space="preserve"> </w:t>
      </w:r>
      <w:r w:rsidR="000934AE">
        <w:t xml:space="preserve">Dies entspricht einer Partikeldosis von 1 mg pro Kilogramm Körpergewicht. </w:t>
      </w:r>
      <w:r w:rsidR="0020306C">
        <w:t xml:space="preserve">Der Grund für die Verabreichung dieser stark erhöhten Dosis </w:t>
      </w:r>
      <w:r w:rsidR="00753A79">
        <w:t>war die</w:t>
      </w:r>
      <w:r w:rsidR="00AB0477">
        <w:t xml:space="preserve"> Sensibilität</w:t>
      </w:r>
      <w:r w:rsidR="00753A79">
        <w:t xml:space="preserve"> der analytischen Methode zur Gehaltsbestimmung </w:t>
      </w:r>
      <w:r w:rsidR="00C105E3">
        <w:t>von Desmopressin in Serumproben</w:t>
      </w:r>
      <w:r w:rsidR="00753A79">
        <w:t xml:space="preserve">. Bei der Gabe einer üblichen therapeutischen Dosis wären keine </w:t>
      </w:r>
      <w:r w:rsidR="00C105E3">
        <w:t>Serumkonzentrationen</w:t>
      </w:r>
      <w:r w:rsidR="00753A79">
        <w:t xml:space="preserve"> oberhalb der Nachweisgrenze von 2 ng/ml zu erwarten gewesen.</w:t>
      </w:r>
      <w:r w:rsidR="00C105E3">
        <w:t xml:space="preserve"> Die verabreichte Dosis orientierte sich an den Vorgaben der analytischen Methode und musste daher gegenüber einer üblichen therapeutischen Dosis entsprechend stark erhöht werden.</w:t>
      </w:r>
    </w:p>
    <w:p w14:paraId="3A86177C" w14:textId="77777777" w:rsidR="009000BE" w:rsidRPr="00BA3FBD" w:rsidRDefault="00C105E3" w:rsidP="00BA3FBD">
      <w:r>
        <w:t>Bei Mäusen hat allerdings selbst die perorale Gabe des</w:t>
      </w:r>
      <w:r w:rsidR="005B4B5C">
        <w:t xml:space="preserve"> 200fachen der therapeutischen</w:t>
      </w:r>
      <w:r>
        <w:t xml:space="preserve"> Dosis der nanopartikulären Formulierung keine akut toxischen Effekte gezeigt. </w:t>
      </w:r>
      <w:r w:rsidR="00052B7D">
        <w:t>In Ergänzung zu</w:t>
      </w:r>
      <w:r w:rsidR="00D50003">
        <w:t xml:space="preserve"> den</w:t>
      </w:r>
      <w:r w:rsidR="00052B7D">
        <w:t xml:space="preserve"> Ergebnissen der</w:t>
      </w:r>
      <w:r w:rsidR="00D50003">
        <w:t xml:space="preserve"> </w:t>
      </w:r>
      <w:r w:rsidR="00D50003" w:rsidRPr="00D50003">
        <w:rPr>
          <w:i/>
        </w:rPr>
        <w:t>in vitro</w:t>
      </w:r>
      <w:r w:rsidR="00052B7D">
        <w:t>-</w:t>
      </w:r>
      <w:r w:rsidR="00D50003">
        <w:t>Zytotoxizitätstests ist dies ein weiteres Indiz für die toxikologische Unbedenklichkeit de</w:t>
      </w:r>
      <w:r w:rsidR="00630E96">
        <w:t>r Desmopressin-</w:t>
      </w:r>
      <w:r w:rsidR="00D77884">
        <w:t>beladenen polymeren Nanopartikel.</w:t>
      </w:r>
    </w:p>
    <w:p w14:paraId="453FB8CD" w14:textId="77777777" w:rsidR="00DC7462" w:rsidRDefault="00782BA5" w:rsidP="009337E8">
      <w:pPr>
        <w:pStyle w:val="berschrift3"/>
      </w:pPr>
      <w:bookmarkStart w:id="335" w:name="_Toc294380294"/>
      <w:r w:rsidRPr="0033213F">
        <w:rPr>
          <w:i/>
        </w:rPr>
        <w:t>I</w:t>
      </w:r>
      <w:r w:rsidR="00DC7462" w:rsidRPr="0033213F">
        <w:rPr>
          <w:i/>
        </w:rPr>
        <w:t>n vitro</w:t>
      </w:r>
      <w:r w:rsidR="00DC7462">
        <w:t>-</w:t>
      </w:r>
      <w:r w:rsidR="00D77884">
        <w:t xml:space="preserve"> </w:t>
      </w:r>
      <w:r w:rsidR="00DC7462" w:rsidRPr="0033213F">
        <w:rPr>
          <w:i/>
        </w:rPr>
        <w:t>in vivo</w:t>
      </w:r>
      <w:r w:rsidR="00DC7462">
        <w:t>-Korrelation</w:t>
      </w:r>
      <w:bookmarkEnd w:id="335"/>
    </w:p>
    <w:p w14:paraId="38A178A0" w14:textId="77777777" w:rsidR="008C0672" w:rsidRDefault="00DD5C40" w:rsidP="00B96FB0">
      <w:r>
        <w:t>Die Untersuchung der Partikelaufn</w:t>
      </w:r>
      <w:r w:rsidR="00E11D6B">
        <w:t>ahme in kultivierte HeLa und Cac</w:t>
      </w:r>
      <w:r>
        <w:t xml:space="preserve">o-2 Zellen zeigte für die beiden Zelltypen jeweils sehr </w:t>
      </w:r>
      <w:r w:rsidR="00242CDF">
        <w:t xml:space="preserve">unterschiedliche Ergebnisse. </w:t>
      </w:r>
      <w:r w:rsidR="006C35C7">
        <w:t xml:space="preserve">Diese Daten müssen daher getrennt voneinander betrachtet werden. </w:t>
      </w:r>
      <w:r w:rsidR="008C0672">
        <w:t>Da die Partikelaufnahmetests nur bedingt reproduzierbar waren und die gezeigten Beobachtungen</w:t>
      </w:r>
      <w:r w:rsidR="00410DBE">
        <w:t xml:space="preserve"> und daraus abgeleiteten Schlussfolgerungen</w:t>
      </w:r>
      <w:r w:rsidR="008C0672">
        <w:t xml:space="preserve"> zum Teil nur auf einzelnen Proben beruhen, sollten diese Daten weniger als </w:t>
      </w:r>
      <w:r w:rsidR="008C1ACB">
        <w:t>gesicherte Erkenntnis</w:t>
      </w:r>
      <w:r w:rsidR="008C0672">
        <w:t>, sondern vielmehr als Hinweise gewertet werden.</w:t>
      </w:r>
    </w:p>
    <w:p w14:paraId="259D5809" w14:textId="77777777" w:rsidR="00160386" w:rsidRDefault="00242CDF" w:rsidP="00B96FB0">
      <w:r>
        <w:t>Die stärkste Aufnahme von Pa</w:t>
      </w:r>
      <w:r w:rsidR="00381AF8">
        <w:t>rtikeln in HeLa Zellen wurde bei</w:t>
      </w:r>
      <w:r>
        <w:t xml:space="preserve"> den hLF beschichteten PLGA Partikeln beobachtet, wäh</w:t>
      </w:r>
      <w:r w:rsidR="00381AF8">
        <w:t>rend bei</w:t>
      </w:r>
      <w:r>
        <w:t xml:space="preserve"> den unbeschichteten PLGA Partikeln keine und</w:t>
      </w:r>
      <w:r w:rsidR="0033213F">
        <w:t xml:space="preserve"> bei</w:t>
      </w:r>
      <w:r>
        <w:t xml:space="preserve"> den PEA Cystein Partikeln eine geringe Aufnahme zu erkennen war.</w:t>
      </w:r>
      <w:r w:rsidR="00C3681B">
        <w:t xml:space="preserve"> Auf Basis der aktuellen Datenlage tragen diese Ergebnisse nicht zur Interpretation der </w:t>
      </w:r>
      <w:r w:rsidR="00C3681B" w:rsidRPr="00C3681B">
        <w:rPr>
          <w:i/>
        </w:rPr>
        <w:t>in vivo</w:t>
      </w:r>
      <w:r w:rsidR="00FB30E8">
        <w:t>-</w:t>
      </w:r>
      <w:r w:rsidR="00C3681B">
        <w:t xml:space="preserve">Daten bei, da kein </w:t>
      </w:r>
      <w:r w:rsidR="00C3681B">
        <w:lastRenderedPageBreak/>
        <w:t>konsistenter Zusammenhang zwischen der Partikelaufnahme in der Zellkultur und den Bioverfügbarkeiten zu erkennen war.</w:t>
      </w:r>
    </w:p>
    <w:p w14:paraId="204716CE" w14:textId="77777777" w:rsidR="000406CC" w:rsidRDefault="00381AF8" w:rsidP="00B96FB0">
      <w:r>
        <w:t>D</w:t>
      </w:r>
      <w:r w:rsidR="00E11D6B">
        <w:t>ie Partikelaufnahmetests mit Cac</w:t>
      </w:r>
      <w:r>
        <w:t>o-2 Z</w:t>
      </w:r>
      <w:r w:rsidR="00160386">
        <w:t>ellen ließen</w:t>
      </w:r>
      <w:r>
        <w:t xml:space="preserve"> deutlich eine Aufnahme von PEA Cystein P</w:t>
      </w:r>
      <w:r w:rsidR="00160386">
        <w:t>artikeln in das Zellinnere erkennen. Auch für die unbeschichteten PLGA Partikel konnte gezeigt werden, dass eine wenn auch etwas geringere Aufnahme erfolgt</w:t>
      </w:r>
      <w:r w:rsidR="001E034E">
        <w:t>e</w:t>
      </w:r>
      <w:r w:rsidR="00160386">
        <w:t xml:space="preserve">. </w:t>
      </w:r>
      <w:r w:rsidR="008C1ACB">
        <w:t>Eine Aufnahme h</w:t>
      </w:r>
      <w:r w:rsidR="00E11D6B">
        <w:t>LF beschichteter Partikel in Cac</w:t>
      </w:r>
      <w:r w:rsidR="008C1ACB">
        <w:t xml:space="preserve">o-2 Zellen konnte nicht gezeigt werden. </w:t>
      </w:r>
      <w:r w:rsidR="00160386">
        <w:t>Diese Ergebnisse korrelieren sehr gut mit den ermittelten</w:t>
      </w:r>
      <w:r w:rsidR="001E034E">
        <w:t xml:space="preserve"> absoluten</w:t>
      </w:r>
      <w:r w:rsidR="00160386">
        <w:t xml:space="preserve"> Bioverfügbarkeiten</w:t>
      </w:r>
      <w:r w:rsidR="001E034E">
        <w:t xml:space="preserve"> der Formulierungen</w:t>
      </w:r>
      <w:r w:rsidR="00160386">
        <w:t>. Die PEA Cystein</w:t>
      </w:r>
      <w:r w:rsidR="001E034E">
        <w:t xml:space="preserve"> Partikelformulierung hatte die höchste orale</w:t>
      </w:r>
      <w:r w:rsidR="00160386">
        <w:t xml:space="preserve"> Bioverfügbarkeit</w:t>
      </w:r>
      <w:r w:rsidR="001E034E">
        <w:t xml:space="preserve"> und die PEA Cystein Partikel wurden</w:t>
      </w:r>
      <w:r w:rsidR="00160386">
        <w:t xml:space="preserve"> </w:t>
      </w:r>
      <w:r w:rsidR="001E034E">
        <w:t xml:space="preserve">auch </w:t>
      </w:r>
      <w:r w:rsidR="00AF10E7">
        <w:t>am effektivsten</w:t>
      </w:r>
      <w:r w:rsidR="00E11D6B">
        <w:t xml:space="preserve"> in Cac</w:t>
      </w:r>
      <w:r w:rsidR="00160386">
        <w:t>o-2 Zellen aufgenommen. Die PLGA Partikel</w:t>
      </w:r>
      <w:r w:rsidR="001E034E">
        <w:t>formulierung ohne hLF hatte</w:t>
      </w:r>
      <w:r w:rsidR="00AF10E7">
        <w:t xml:space="preserve"> unter den getesteten Formulierungen</w:t>
      </w:r>
      <w:r w:rsidR="001E034E">
        <w:t xml:space="preserve"> die</w:t>
      </w:r>
      <w:r w:rsidR="00160386">
        <w:t xml:space="preserve"> zweithöchste Bioverfügbarkeit</w:t>
      </w:r>
      <w:r w:rsidR="001E034E">
        <w:t xml:space="preserve"> </w:t>
      </w:r>
      <w:r w:rsidR="00160386">
        <w:t xml:space="preserve">und </w:t>
      </w:r>
      <w:r w:rsidR="001E034E">
        <w:t xml:space="preserve">es konnte </w:t>
      </w:r>
      <w:r w:rsidR="00E11D6B">
        <w:t>nur eine geringe Aufnahme in Cac</w:t>
      </w:r>
      <w:r w:rsidR="001E034E">
        <w:t>o-2 Zellen beobachtet werden. Die hLF beschichteten PLGA Partikel hatten die geringste orale Bioverfügbarkeit und wurden</w:t>
      </w:r>
      <w:r w:rsidR="00E11D6B">
        <w:t xml:space="preserve"> auch nicht in Cac</w:t>
      </w:r>
      <w:r w:rsidR="001E034E">
        <w:t>o-2 Zellen aufgenommen.</w:t>
      </w:r>
    </w:p>
    <w:p w14:paraId="6242A5E4" w14:textId="77777777" w:rsidR="006C35C7" w:rsidRDefault="006C35C7" w:rsidP="00B96FB0">
      <w:r>
        <w:t>HeLa Zellen sind menschliche Epithelzellen eines Ze</w:t>
      </w:r>
      <w:r w:rsidR="00E11D6B">
        <w:t>rvixkarzinoms. Cac</w:t>
      </w:r>
      <w:r w:rsidR="00030E18">
        <w:t>o-2 Zellen sind zwar ebenfalls menschliche Epithelzellen, sie entstammen jedoch einem</w:t>
      </w:r>
      <w:r w:rsidR="00AF10E7">
        <w:t xml:space="preserve"> Kolonkarzinom. Aus diesem Gru</w:t>
      </w:r>
      <w:r w:rsidR="00E11D6B">
        <w:t>nd entspricht das Modell mit Cac</w:t>
      </w:r>
      <w:r w:rsidR="00AF10E7">
        <w:t>o-2 Zellen verglichen mit HeLa Zellen besser der Physiologie der epithelialen Darmbarriere</w:t>
      </w:r>
      <w:r w:rsidR="00030E18">
        <w:t xml:space="preserve">. Dies könnte ein Grund dafür sein, dass die </w:t>
      </w:r>
      <w:r w:rsidR="00030E18" w:rsidRPr="00030E18">
        <w:rPr>
          <w:i/>
        </w:rPr>
        <w:t>in vitro</w:t>
      </w:r>
      <w:r w:rsidR="00E11D6B">
        <w:t xml:space="preserve"> Daten mit Cac</w:t>
      </w:r>
      <w:r w:rsidR="00030E18">
        <w:t xml:space="preserve">o-2 Zellen besser mit den </w:t>
      </w:r>
      <w:r w:rsidR="00030E18" w:rsidRPr="00030E18">
        <w:rPr>
          <w:i/>
        </w:rPr>
        <w:t>in vivo</w:t>
      </w:r>
      <w:r w:rsidR="00030E18">
        <w:t xml:space="preserve"> Ergebnissen korrelieren</w:t>
      </w:r>
      <w:r w:rsidR="00FA5D58">
        <w:t xml:space="preserve"> als die</w:t>
      </w:r>
      <w:r w:rsidR="00AF10E7">
        <w:t xml:space="preserve"> </w:t>
      </w:r>
      <w:r w:rsidR="00FA5D58">
        <w:t xml:space="preserve">Daten, die </w:t>
      </w:r>
      <w:r w:rsidR="00AF10E7">
        <w:t>mit HeLa Zellen</w:t>
      </w:r>
      <w:r w:rsidR="00FA5D58">
        <w:t xml:space="preserve"> generiert wurden.</w:t>
      </w:r>
    </w:p>
    <w:p w14:paraId="31E2F97D" w14:textId="77777777" w:rsidR="00AF10E7" w:rsidRDefault="00F76075" w:rsidP="00B96FB0">
      <w:r>
        <w:t xml:space="preserve">Im Zuge der </w:t>
      </w:r>
      <w:r w:rsidRPr="00F76075">
        <w:rPr>
          <w:i/>
        </w:rPr>
        <w:t>in vitro</w:t>
      </w:r>
      <w:r>
        <w:t>-Transportstudien konnte kein Tran</w:t>
      </w:r>
      <w:r w:rsidR="00E11D6B">
        <w:t>sport von Partikeln über den Cac</w:t>
      </w:r>
      <w:r>
        <w:t>o-2 Zelllayer nachgewiesen werden.</w:t>
      </w:r>
      <w:r w:rsidRPr="00F76075">
        <w:t xml:space="preserve"> </w:t>
      </w:r>
      <w:r>
        <w:t>Die untere Nachweisgrenze von 1% wurde nicht überschritten. Die Sensibilität der fluorimetrischen Messung ist nicht ausreichend, um geringere Meng</w:t>
      </w:r>
      <w:r w:rsidR="00FA5D58">
        <w:t>en an Partikeln z</w:t>
      </w:r>
      <w:r w:rsidR="00387D05">
        <w:t xml:space="preserve">u detektieren. Im Zusammenhang mit </w:t>
      </w:r>
      <w:r w:rsidR="00EA5306">
        <w:t xml:space="preserve">einer </w:t>
      </w:r>
      <w:r w:rsidR="00387D05">
        <w:t>Bi</w:t>
      </w:r>
      <w:r w:rsidR="00EA5306">
        <w:t>overfügbarkeitsuntersuchung ist die Information, dass weniger als 1% der Pa</w:t>
      </w:r>
      <w:r w:rsidR="00D3528B">
        <w:t xml:space="preserve">rtikel die Membran passierten, </w:t>
      </w:r>
      <w:r w:rsidR="00EA5306">
        <w:t>allerdings auch ausreichend. Eine Verringerung der Nachweisgrenze durch Auswahl einer anderen analytischen Methode beispielsweise erschien daher nicht erstrebenswert.</w:t>
      </w:r>
    </w:p>
    <w:p w14:paraId="6B8A0C32" w14:textId="77777777" w:rsidR="009000BE" w:rsidRDefault="009000BE" w:rsidP="00B96FB0">
      <w:r>
        <w:t xml:space="preserve">Die Korrelation der Ergebnisse der </w:t>
      </w:r>
      <w:r w:rsidRPr="00B96FB0">
        <w:rPr>
          <w:i/>
        </w:rPr>
        <w:t>in vivo</w:t>
      </w:r>
      <w:r>
        <w:t>-Untersuchungen mit den</w:t>
      </w:r>
      <w:r w:rsidRPr="005559C3">
        <w:rPr>
          <w:i/>
        </w:rPr>
        <w:t xml:space="preserve"> </w:t>
      </w:r>
      <w:r w:rsidRPr="00B96FB0">
        <w:rPr>
          <w:i/>
        </w:rPr>
        <w:t>in vitro</w:t>
      </w:r>
      <w:r>
        <w:t xml:space="preserve">-Freisetzungsdaten der Partikelformulierungen erfolgte bereits im voranstehenden Kapitel </w:t>
      </w:r>
      <w:r w:rsidR="00D16240">
        <w:fldChar w:fldCharType="begin"/>
      </w:r>
      <w:r>
        <w:instrText xml:space="preserve"> REF _Ref278822163 \n \h </w:instrText>
      </w:r>
      <w:r w:rsidR="00D16240">
        <w:fldChar w:fldCharType="separate"/>
      </w:r>
      <w:r w:rsidR="00711AB8">
        <w:t>4.7.2</w:t>
      </w:r>
      <w:r w:rsidR="00D16240">
        <w:fldChar w:fldCharType="end"/>
      </w:r>
      <w:r>
        <w:t>.</w:t>
      </w:r>
    </w:p>
    <w:p w14:paraId="2A02C790" w14:textId="77777777" w:rsidR="00FA5D58" w:rsidRDefault="00FA5D58" w:rsidP="00B96FB0">
      <w:r>
        <w:t xml:space="preserve">Zusammenfassend betrachtet liegt der Schluss nahe, </w:t>
      </w:r>
      <w:r w:rsidR="000B1A5B">
        <w:t>dass die Verbesserung der Bi</w:t>
      </w:r>
      <w:r w:rsidR="00EC7752">
        <w:t>overfügbarkeit des Modellpeptid</w:t>
      </w:r>
      <w:r w:rsidR="000B1A5B">
        <w:t xml:space="preserve">s durch die Partikelformulierungen unter anderem dadurch zustande kam, </w:t>
      </w:r>
      <w:r>
        <w:t>dass die mit Wirkstoff beladenen Nanopartikel in Darm</w:t>
      </w:r>
      <w:r w:rsidR="000B1A5B">
        <w:t>epithelzellen aufgenommen wurden</w:t>
      </w:r>
      <w:r>
        <w:t xml:space="preserve"> und</w:t>
      </w:r>
      <w:r w:rsidR="000B1A5B">
        <w:t xml:space="preserve"> erst</w:t>
      </w:r>
      <w:r>
        <w:t xml:space="preserve"> dort den Wirkstoff Desmopressin freisetz</w:t>
      </w:r>
      <w:r w:rsidR="000B1A5B">
        <w:t>t</w:t>
      </w:r>
      <w:r>
        <w:t>en</w:t>
      </w:r>
      <w:r w:rsidR="000B1A5B">
        <w:t xml:space="preserve">. </w:t>
      </w:r>
      <w:r w:rsidR="00E40CA1">
        <w:t xml:space="preserve">Von einer Aufnahme der Partikel ins Blut ist aufgrund der Ergebnisse der </w:t>
      </w:r>
      <w:r w:rsidR="00E40CA1" w:rsidRPr="00410DBE">
        <w:rPr>
          <w:i/>
        </w:rPr>
        <w:t>in vitro</w:t>
      </w:r>
      <w:r w:rsidR="0033213F">
        <w:t>-</w:t>
      </w:r>
      <w:r w:rsidR="00E40CA1">
        <w:t xml:space="preserve">Transporttests nicht </w:t>
      </w:r>
      <w:r w:rsidR="00E40CA1">
        <w:lastRenderedPageBreak/>
        <w:t xml:space="preserve">auszugehen. </w:t>
      </w:r>
      <w:r w:rsidR="00410DBE">
        <w:t>Es wird angenommen, dass d</w:t>
      </w:r>
      <w:r w:rsidR="000B1A5B">
        <w:t>a</w:t>
      </w:r>
      <w:r w:rsidR="009000BE">
        <w:t>s Peptid durch den polymeren Arzneistoffträger</w:t>
      </w:r>
      <w:r w:rsidR="000B1A5B">
        <w:t xml:space="preserve"> vor ei</w:t>
      </w:r>
      <w:r w:rsidR="00E40CA1">
        <w:t>nem Abbau</w:t>
      </w:r>
      <w:r w:rsidR="000B1A5B">
        <w:t xml:space="preserve"> im Darmlumen geschützt</w:t>
      </w:r>
      <w:r w:rsidR="00410DBE">
        <w:t xml:space="preserve"> werden konnte</w:t>
      </w:r>
      <w:r w:rsidR="000B1A5B">
        <w:t xml:space="preserve"> und erst nach der Überwindung der bedeutendsten intestinalen Resorptionsbarrieren, der Magensäure, den Verdauungsenzymen, dem Mukus und der apikalen Enterozytenm</w:t>
      </w:r>
      <w:r w:rsidR="009000BE">
        <w:t>enbran,</w:t>
      </w:r>
      <w:r w:rsidR="000B1A5B">
        <w:t xml:space="preserve"> </w:t>
      </w:r>
      <w:r w:rsidR="009000BE">
        <w:t xml:space="preserve">aus den Partikeln </w:t>
      </w:r>
      <w:r w:rsidR="000B1A5B">
        <w:t>freigesetzt</w:t>
      </w:r>
      <w:r w:rsidR="00410DBE">
        <w:t xml:space="preserve"> wurde</w:t>
      </w:r>
      <w:r w:rsidR="000B1A5B">
        <w:t xml:space="preserve">. Für PEA Cystein fiel dieser Effekt größer aus als für PLGA, da die </w:t>
      </w:r>
      <w:r w:rsidR="00E40CA1">
        <w:t xml:space="preserve">PEA </w:t>
      </w:r>
      <w:r w:rsidR="000B1A5B">
        <w:t>Partikel offensich</w:t>
      </w:r>
      <w:r w:rsidR="00E40CA1">
        <w:t>tlich effizienter aufgenommen wu</w:t>
      </w:r>
      <w:r w:rsidR="000B1A5B">
        <w:t>rden</w:t>
      </w:r>
      <w:r w:rsidR="00E40CA1">
        <w:t xml:space="preserve"> und da sie einen höheren Wirkstoffbeladungsgrad hatten</w:t>
      </w:r>
      <w:r w:rsidR="000B1A5B">
        <w:t xml:space="preserve">. Zudem wurde bereits darauf hingewiesen, dass für PEA Cystein </w:t>
      </w:r>
      <w:r w:rsidR="00E40CA1">
        <w:t xml:space="preserve">zusätzlich </w:t>
      </w:r>
      <w:r w:rsidR="000B1A5B">
        <w:t>eine spezifische mukoadhäsive Wirkung zu erwarten ist. Sicher ist jedoch, dass die PEA Cystein Partikel gegenüber den PLGA Partikeln bereits aufgrund des deutlich höheren Beladungsgrades und d</w:t>
      </w:r>
      <w:r w:rsidR="00E40CA1">
        <w:t>es geeigneteren</w:t>
      </w:r>
      <w:r w:rsidR="000B1A5B">
        <w:t xml:space="preserve"> Freisetzungsprofiles </w:t>
      </w:r>
      <w:r w:rsidR="00E40CA1">
        <w:t>entscheidende Vorteile hinsichtlich einer Verwendung als Arzneistoffträger für die perorale Applikation von Peptidarzneistoffen besitzen.</w:t>
      </w:r>
    </w:p>
    <w:p w14:paraId="47AE9A48" w14:textId="77777777" w:rsidR="00D74034" w:rsidRPr="00030E18" w:rsidRDefault="00D74034" w:rsidP="00B96FB0">
      <w:r>
        <w:t>Weshalb sich die Beschichtung der PLGA Partikel mit hLF offensichtlich n</w:t>
      </w:r>
      <w:r w:rsidR="00E11D6B">
        <w:t>egativ auf deren Aufnahme in Cac</w:t>
      </w:r>
      <w:r>
        <w:t>o-2 Zellen und die Bioverfügbarkeit der Formulierung auswirkte, kann mit dem aktuellen Wissensstand nicht plausibel erklärt werden. Mögliche Interaktionen von hLF mit Epithelzellen oder dem Wirkstoff Desmopressin müssen in weiteren Arbeiten detailliert untersucht werden, um die Wirkungsweise des hLF Peptides näher aufzuklären.</w:t>
      </w:r>
    </w:p>
    <w:p w14:paraId="10619420" w14:textId="77777777" w:rsidR="003B37C5" w:rsidRDefault="00DC7462" w:rsidP="009337E8">
      <w:pPr>
        <w:pStyle w:val="berschrift3"/>
      </w:pPr>
      <w:bookmarkStart w:id="336" w:name="_Toc294380295"/>
      <w:r>
        <w:t>Zusammenfassende Diskussion</w:t>
      </w:r>
      <w:bookmarkEnd w:id="336"/>
    </w:p>
    <w:p w14:paraId="0A7C4C8C" w14:textId="77777777" w:rsidR="00336EEF" w:rsidRPr="00D74034" w:rsidRDefault="006C0446" w:rsidP="002F69E4">
      <w:r>
        <w:t>Aus der</w:t>
      </w:r>
      <w:r w:rsidR="00336EEF">
        <w:t xml:space="preserve"> </w:t>
      </w:r>
      <w:r w:rsidR="00336EEF" w:rsidRPr="00336EEF">
        <w:rPr>
          <w:i/>
        </w:rPr>
        <w:t>in vivo</w:t>
      </w:r>
      <w:r w:rsidR="00F45505">
        <w:t>-</w:t>
      </w:r>
      <w:r>
        <w:t>Bioverfügbarkeitsuntersuchung</w:t>
      </w:r>
      <w:r w:rsidR="00F45505">
        <w:t xml:space="preserve"> der Formulierungen</w:t>
      </w:r>
      <w:r w:rsidR="00A149F8">
        <w:t xml:space="preserve"> am Mausmodell</w:t>
      </w:r>
      <w:r w:rsidR="00F45505">
        <w:t xml:space="preserve"> geht</w:t>
      </w:r>
      <w:r w:rsidR="00C74BB8">
        <w:t xml:space="preserve"> klar</w:t>
      </w:r>
      <w:r w:rsidR="00336EEF">
        <w:t xml:space="preserve"> herv</w:t>
      </w:r>
      <w:r w:rsidR="008215A9">
        <w:t>or, dass durch die Formulierung</w:t>
      </w:r>
      <w:r>
        <w:t xml:space="preserve"> </w:t>
      </w:r>
      <w:r w:rsidR="00336EEF">
        <w:t>nanopartikulärer Arzneisto</w:t>
      </w:r>
      <w:r w:rsidR="00F45505">
        <w:t>ffträger</w:t>
      </w:r>
      <w:r w:rsidR="00336EEF">
        <w:t xml:space="preserve"> die</w:t>
      </w:r>
      <w:r>
        <w:t xml:space="preserve"> orale</w:t>
      </w:r>
      <w:r w:rsidR="00336EEF">
        <w:t xml:space="preserve"> Bioverfügbarkeit des Modellpepti</w:t>
      </w:r>
      <w:r w:rsidR="00C74BB8">
        <w:t>ds Desmopressin verbessert werden konnte</w:t>
      </w:r>
      <w:r w:rsidR="00336EEF">
        <w:t xml:space="preserve">. </w:t>
      </w:r>
      <w:r w:rsidR="004B12D9">
        <w:t>Gegenüber Minirin</w:t>
      </w:r>
      <w:r w:rsidR="00276636" w:rsidRPr="00276636">
        <w:rPr>
          <w:b/>
          <w:vertAlign w:val="superscript"/>
        </w:rPr>
        <w:t>®</w:t>
      </w:r>
      <w:r w:rsidR="004B12D9">
        <w:t xml:space="preserve"> Lyophilisat, einer im gleichen Testsystem mitgeführten Referenzformulierung, konnte </w:t>
      </w:r>
      <w:r w:rsidR="00F45505">
        <w:t xml:space="preserve">mithilfe der Partikelformulierung mit PEA Cystein </w:t>
      </w:r>
      <w:r w:rsidR="004B12D9">
        <w:t xml:space="preserve">eine 4,4fache Steigerung der absoluten Bioverfügbarkeit erzielt werden. Verglichen mit Literaturangaben aus Humanstudien kann die </w:t>
      </w:r>
      <w:r w:rsidR="00F45505">
        <w:t xml:space="preserve">erzielte </w:t>
      </w:r>
      <w:r w:rsidR="004B12D9">
        <w:t>Steigerung auf ein 6faches beziffert werden</w:t>
      </w:r>
      <w:r w:rsidR="00D16240">
        <w:fldChar w:fldCharType="begin"/>
      </w:r>
      <w:r w:rsidR="00D74034">
        <w:instrText xml:space="preserve"> NOTEREF _Ref284436375 \f \h </w:instrText>
      </w:r>
      <w:r w:rsidR="00D16240">
        <w:fldChar w:fldCharType="separate"/>
      </w:r>
      <w:r w:rsidR="00711AB8" w:rsidRPr="00711AB8">
        <w:rPr>
          <w:rStyle w:val="Endnotenzeichen"/>
        </w:rPr>
        <w:t>109</w:t>
      </w:r>
      <w:r w:rsidR="00D16240">
        <w:fldChar w:fldCharType="end"/>
      </w:r>
      <w:r w:rsidR="004B12D9">
        <w:t>.</w:t>
      </w:r>
      <w:r w:rsidR="00C74BB8">
        <w:t xml:space="preserve"> Legt man</w:t>
      </w:r>
      <w:r w:rsidR="00D74034">
        <w:t xml:space="preserve"> Angaben Ferrings</w:t>
      </w:r>
      <w:r w:rsidR="001B5EA6">
        <w:t xml:space="preserve"> zugrunde</w:t>
      </w:r>
      <w:r w:rsidR="00D74034">
        <w:t>, dem Hersteller von Minirin</w:t>
      </w:r>
      <w:r w:rsidR="00276636" w:rsidRPr="00276636">
        <w:rPr>
          <w:b/>
          <w:vertAlign w:val="superscript"/>
        </w:rPr>
        <w:t>®</w:t>
      </w:r>
      <w:r w:rsidR="001B5EA6">
        <w:t>,</w:t>
      </w:r>
      <w:r w:rsidR="00D74034">
        <w:t xml:space="preserve"> so wurde gegenüber der handelsüblichen </w:t>
      </w:r>
      <w:r w:rsidR="001B5EA6">
        <w:t>monolithischen Darreichungsform</w:t>
      </w:r>
      <w:r w:rsidR="00EC7752">
        <w:t xml:space="preserve"> (Minirin</w:t>
      </w:r>
      <w:r w:rsidR="00EC7752" w:rsidRPr="00EC7752">
        <w:rPr>
          <w:vertAlign w:val="superscript"/>
        </w:rPr>
        <w:t>®</w:t>
      </w:r>
      <w:r w:rsidR="00EC7752">
        <w:t xml:space="preserve"> Tabletten)</w:t>
      </w:r>
      <w:r w:rsidR="001B5EA6">
        <w:t xml:space="preserve"> von Desmopressin sogar eine</w:t>
      </w:r>
      <w:r w:rsidR="00276636">
        <w:t xml:space="preserve"> mindestens</w:t>
      </w:r>
      <w:r w:rsidR="001B5EA6">
        <w:t xml:space="preserve"> 34fache Erhöhung der absoluten Bioverfügbarkeit erzielt</w:t>
      </w:r>
      <w:r w:rsidR="00D16240">
        <w:fldChar w:fldCharType="begin"/>
      </w:r>
      <w:r w:rsidR="00276636">
        <w:instrText xml:space="preserve"> NOTEREF _Ref286268447 \f \h </w:instrText>
      </w:r>
      <w:r w:rsidR="00D16240">
        <w:fldChar w:fldCharType="separate"/>
      </w:r>
      <w:r w:rsidR="00711AB8" w:rsidRPr="00711AB8">
        <w:rPr>
          <w:rStyle w:val="Endnotenzeichen"/>
        </w:rPr>
        <w:t>10</w:t>
      </w:r>
      <w:r w:rsidR="00D16240">
        <w:fldChar w:fldCharType="end"/>
      </w:r>
      <w:r w:rsidR="001B5EA6">
        <w:t>.</w:t>
      </w:r>
    </w:p>
    <w:p w14:paraId="5D913DD2" w14:textId="77777777" w:rsidR="004B12D9" w:rsidRDefault="004B12D9" w:rsidP="002F69E4">
      <w:pPr>
        <w:rPr>
          <w:rFonts w:eastAsiaTheme="majorEastAsia" w:cs="Times New Roman"/>
          <w:bCs/>
        </w:rPr>
      </w:pPr>
      <w:r>
        <w:rPr>
          <w:rFonts w:eastAsiaTheme="majorEastAsia" w:cs="Times New Roman"/>
          <w:bCs/>
        </w:rPr>
        <w:t>Auch wenn die Ergebnisse der Untersuchungen am Tier nicht unmittelbar auf den menschlichen Organismus übertragen werden können, so liefern diese Daten dennoch b</w:t>
      </w:r>
      <w:r w:rsidR="006C0446">
        <w:rPr>
          <w:rFonts w:eastAsiaTheme="majorEastAsia" w:cs="Times New Roman"/>
          <w:bCs/>
        </w:rPr>
        <w:t>ereits wichtige erste</w:t>
      </w:r>
      <w:r>
        <w:rPr>
          <w:rFonts w:eastAsiaTheme="majorEastAsia" w:cs="Times New Roman"/>
          <w:bCs/>
        </w:rPr>
        <w:t xml:space="preserve"> Hinweise zur Beurteilung der</w:t>
      </w:r>
      <w:r w:rsidR="00EC7752">
        <w:rPr>
          <w:rFonts w:eastAsiaTheme="majorEastAsia" w:cs="Times New Roman"/>
          <w:bCs/>
        </w:rPr>
        <w:t xml:space="preserve"> Formulierungen hinsichtlich ihres Potentials zur Verbesserung der oralen Bioverfügbarkeit.</w:t>
      </w:r>
    </w:p>
    <w:p w14:paraId="27FD8C83" w14:textId="77777777" w:rsidR="00746491" w:rsidRDefault="006C0446" w:rsidP="002F69E4">
      <w:pPr>
        <w:rPr>
          <w:rFonts w:eastAsiaTheme="majorEastAsia" w:cs="Times New Roman"/>
          <w:bCs/>
        </w:rPr>
      </w:pPr>
      <w:r>
        <w:rPr>
          <w:rFonts w:eastAsiaTheme="majorEastAsia" w:cs="Times New Roman"/>
          <w:bCs/>
        </w:rPr>
        <w:t>Die Ergebnisse der</w:t>
      </w:r>
      <w:r w:rsidR="004B12D9">
        <w:rPr>
          <w:rFonts w:eastAsiaTheme="majorEastAsia" w:cs="Times New Roman"/>
          <w:bCs/>
        </w:rPr>
        <w:t xml:space="preserve"> </w:t>
      </w:r>
      <w:r w:rsidR="004B12D9" w:rsidRPr="004B12D9">
        <w:rPr>
          <w:rFonts w:eastAsiaTheme="majorEastAsia" w:cs="Times New Roman"/>
          <w:bCs/>
          <w:i/>
        </w:rPr>
        <w:t>in vitro</w:t>
      </w:r>
      <w:r>
        <w:rPr>
          <w:rFonts w:eastAsiaTheme="majorEastAsia" w:cs="Times New Roman"/>
          <w:bCs/>
        </w:rPr>
        <w:t xml:space="preserve">-Untersuchungen tragen teilweise zu einer Aufklärung der Mechanismen bei, liefern jedoch keine vollständige Erklärung der </w:t>
      </w:r>
      <w:r w:rsidR="00C3681B">
        <w:rPr>
          <w:rFonts w:eastAsiaTheme="majorEastAsia" w:cs="Times New Roman"/>
          <w:bCs/>
        </w:rPr>
        <w:t>Phän</w:t>
      </w:r>
      <w:r>
        <w:rPr>
          <w:rFonts w:eastAsiaTheme="majorEastAsia" w:cs="Times New Roman"/>
          <w:bCs/>
        </w:rPr>
        <w:t>omene</w:t>
      </w:r>
      <w:r w:rsidR="006F525A">
        <w:rPr>
          <w:rFonts w:eastAsiaTheme="majorEastAsia" w:cs="Times New Roman"/>
          <w:bCs/>
        </w:rPr>
        <w:t xml:space="preserve"> und sind nicht in allen Punkten konsistent</w:t>
      </w:r>
      <w:r>
        <w:rPr>
          <w:rFonts w:eastAsiaTheme="majorEastAsia" w:cs="Times New Roman"/>
          <w:bCs/>
        </w:rPr>
        <w:t>.</w:t>
      </w:r>
      <w:r w:rsidR="00746491">
        <w:rPr>
          <w:rFonts w:eastAsiaTheme="majorEastAsia" w:cs="Times New Roman"/>
          <w:bCs/>
        </w:rPr>
        <w:t xml:space="preserve"> </w:t>
      </w:r>
      <w:r w:rsidR="00746491" w:rsidRPr="002F69E4">
        <w:t>Der unerwartet hohe Trans</w:t>
      </w:r>
      <w:r w:rsidR="00746491">
        <w:t xml:space="preserve">port des nicht formulierten </w:t>
      </w:r>
      <w:r w:rsidR="00E11D6B">
        <w:lastRenderedPageBreak/>
        <w:t>Desmopressins über den Cac</w:t>
      </w:r>
      <w:r w:rsidR="00746491">
        <w:t>o-2 Layer</w:t>
      </w:r>
      <w:r w:rsidR="00EC7752">
        <w:t xml:space="preserve"> lässt sich dadurch erklären</w:t>
      </w:r>
      <w:r w:rsidR="00746491" w:rsidRPr="002F69E4">
        <w:t>, dass</w:t>
      </w:r>
      <w:r w:rsidR="00EC7752">
        <w:t xml:space="preserve"> während der Untersuchung</w:t>
      </w:r>
      <w:r w:rsidR="00746491" w:rsidRPr="002F69E4">
        <w:t xml:space="preserve"> der Zellzusammenhalt nicht lückenlos gegeben war.</w:t>
      </w:r>
      <w:r w:rsidR="00746491">
        <w:t xml:space="preserve"> </w:t>
      </w:r>
      <w:r w:rsidR="00EC7752">
        <w:t xml:space="preserve">Dies wurde durch entsprechende Tests auch belegt. </w:t>
      </w:r>
      <w:r w:rsidR="00746491">
        <w:t xml:space="preserve">Zumal die Daten auch nicht mit den Ergebnissen der </w:t>
      </w:r>
      <w:r w:rsidR="00746491" w:rsidRPr="00CF65E0">
        <w:rPr>
          <w:i/>
        </w:rPr>
        <w:t>in vivo</w:t>
      </w:r>
      <w:r w:rsidR="00746491">
        <w:t xml:space="preserve">-Untersuchungen der </w:t>
      </w:r>
      <w:r w:rsidR="00EC7752">
        <w:t>Partikelf</w:t>
      </w:r>
      <w:r w:rsidR="0010329F">
        <w:t>ormulierungen korrelieren, wurde</w:t>
      </w:r>
      <w:r w:rsidR="00746491">
        <w:t xml:space="preserve"> eine weitergehende Interpretation dieser Ergebnisse nicht als</w:t>
      </w:r>
      <w:r w:rsidR="006F525A">
        <w:t xml:space="preserve"> sinnvoll erachtet.</w:t>
      </w:r>
    </w:p>
    <w:p w14:paraId="450454A8" w14:textId="77777777" w:rsidR="00746491" w:rsidRDefault="006C0446" w:rsidP="002F69E4">
      <w:pPr>
        <w:rPr>
          <w:rFonts w:eastAsiaTheme="majorEastAsia" w:cs="Times New Roman"/>
          <w:bCs/>
        </w:rPr>
      </w:pPr>
      <w:r>
        <w:rPr>
          <w:rFonts w:eastAsiaTheme="majorEastAsia" w:cs="Times New Roman"/>
          <w:bCs/>
        </w:rPr>
        <w:t xml:space="preserve">Eine Untersuchung der Korrelation der </w:t>
      </w:r>
      <w:r w:rsidRPr="006C0446">
        <w:rPr>
          <w:rFonts w:eastAsiaTheme="majorEastAsia" w:cs="Times New Roman"/>
          <w:bCs/>
          <w:i/>
        </w:rPr>
        <w:t>in vivo</w:t>
      </w:r>
      <w:r>
        <w:rPr>
          <w:rFonts w:eastAsiaTheme="majorEastAsia" w:cs="Times New Roman"/>
          <w:bCs/>
        </w:rPr>
        <w:t>-Daten mit den</w:t>
      </w:r>
      <w:r w:rsidR="00746491">
        <w:rPr>
          <w:rFonts w:eastAsiaTheme="majorEastAsia" w:cs="Times New Roman"/>
          <w:bCs/>
        </w:rPr>
        <w:t xml:space="preserve"> Ergebnissen der</w:t>
      </w:r>
      <w:r>
        <w:rPr>
          <w:rFonts w:eastAsiaTheme="majorEastAsia" w:cs="Times New Roman"/>
          <w:bCs/>
        </w:rPr>
        <w:t xml:space="preserve"> </w:t>
      </w:r>
      <w:r w:rsidRPr="006C0446">
        <w:rPr>
          <w:rFonts w:eastAsiaTheme="majorEastAsia" w:cs="Times New Roman"/>
          <w:bCs/>
          <w:i/>
        </w:rPr>
        <w:t>in vitro</w:t>
      </w:r>
      <w:r w:rsidR="00746491">
        <w:rPr>
          <w:rFonts w:eastAsiaTheme="majorEastAsia" w:cs="Times New Roman"/>
          <w:bCs/>
        </w:rPr>
        <w:t>-Partikelaufnahmetests</w:t>
      </w:r>
      <w:r w:rsidR="00F45505">
        <w:rPr>
          <w:rFonts w:eastAsiaTheme="majorEastAsia" w:cs="Times New Roman"/>
          <w:bCs/>
        </w:rPr>
        <w:t xml:space="preserve"> führt zu der Annahme</w:t>
      </w:r>
      <w:r>
        <w:rPr>
          <w:rFonts w:eastAsiaTheme="majorEastAsia" w:cs="Times New Roman"/>
          <w:bCs/>
        </w:rPr>
        <w:t>, dass die Desmopressin-beladenen PEA Cystein Partikel und</w:t>
      </w:r>
      <w:r w:rsidR="00F45505">
        <w:rPr>
          <w:rFonts w:eastAsiaTheme="majorEastAsia" w:cs="Times New Roman"/>
          <w:bCs/>
        </w:rPr>
        <w:t xml:space="preserve"> die PLGA Partikel ohne hLF</w:t>
      </w:r>
      <w:r>
        <w:rPr>
          <w:rFonts w:eastAsiaTheme="majorEastAsia" w:cs="Times New Roman"/>
          <w:bCs/>
        </w:rPr>
        <w:t xml:space="preserve"> nicht durch das Darmepithel hindurch bis ins</w:t>
      </w:r>
      <w:r w:rsidR="00041AA7">
        <w:rPr>
          <w:rFonts w:eastAsiaTheme="majorEastAsia" w:cs="Times New Roman"/>
          <w:bCs/>
        </w:rPr>
        <w:t xml:space="preserve"> Blut transportiert </w:t>
      </w:r>
      <w:r w:rsidR="0046018A">
        <w:rPr>
          <w:rFonts w:eastAsiaTheme="majorEastAsia" w:cs="Times New Roman"/>
          <w:bCs/>
        </w:rPr>
        <w:t>wu</w:t>
      </w:r>
      <w:r w:rsidR="00F45505">
        <w:rPr>
          <w:rFonts w:eastAsiaTheme="majorEastAsia" w:cs="Times New Roman"/>
          <w:bCs/>
        </w:rPr>
        <w:t>rden, sondern lediglich</w:t>
      </w:r>
      <w:r>
        <w:rPr>
          <w:rFonts w:eastAsiaTheme="majorEastAsia" w:cs="Times New Roman"/>
          <w:bCs/>
        </w:rPr>
        <w:t xml:space="preserve"> vo</w:t>
      </w:r>
      <w:r w:rsidR="0046018A">
        <w:rPr>
          <w:rFonts w:eastAsiaTheme="majorEastAsia" w:cs="Times New Roman"/>
          <w:bCs/>
        </w:rPr>
        <w:t>n den Enterozyten aufgenommen wu</w:t>
      </w:r>
      <w:r>
        <w:rPr>
          <w:rFonts w:eastAsiaTheme="majorEastAsia" w:cs="Times New Roman"/>
          <w:bCs/>
        </w:rPr>
        <w:t>rden und dor</w:t>
      </w:r>
      <w:r w:rsidR="00041AA7">
        <w:rPr>
          <w:rFonts w:eastAsiaTheme="majorEastAsia" w:cs="Times New Roman"/>
          <w:bCs/>
        </w:rPr>
        <w:t>t den Wirkstoff freisetz</w:t>
      </w:r>
      <w:r w:rsidR="0046018A">
        <w:rPr>
          <w:rFonts w:eastAsiaTheme="majorEastAsia" w:cs="Times New Roman"/>
          <w:bCs/>
        </w:rPr>
        <w:t>t</w:t>
      </w:r>
      <w:r w:rsidR="00041AA7">
        <w:rPr>
          <w:rFonts w:eastAsiaTheme="majorEastAsia" w:cs="Times New Roman"/>
          <w:bCs/>
        </w:rPr>
        <w:t xml:space="preserve">en. </w:t>
      </w:r>
      <w:r w:rsidR="00387D05">
        <w:rPr>
          <w:rFonts w:eastAsiaTheme="majorEastAsia" w:cs="Times New Roman"/>
          <w:bCs/>
        </w:rPr>
        <w:t>Basierend auf dieser Annahme kann die</w:t>
      </w:r>
      <w:r w:rsidR="0046018A">
        <w:rPr>
          <w:rFonts w:eastAsiaTheme="majorEastAsia" w:cs="Times New Roman"/>
          <w:bCs/>
        </w:rPr>
        <w:t xml:space="preserve"> Verbesserung </w:t>
      </w:r>
      <w:r w:rsidR="00387D05">
        <w:rPr>
          <w:rFonts w:eastAsiaTheme="majorEastAsia" w:cs="Times New Roman"/>
          <w:bCs/>
        </w:rPr>
        <w:t>der oralen Bioverfügbarkeit</w:t>
      </w:r>
      <w:r w:rsidR="0046018A">
        <w:rPr>
          <w:rFonts w:eastAsiaTheme="majorEastAsia" w:cs="Times New Roman"/>
          <w:bCs/>
        </w:rPr>
        <w:t xml:space="preserve"> schließlich darauf zurückgeführt werden, dass der Wirkstoff</w:t>
      </w:r>
      <w:r w:rsidR="00041AA7">
        <w:rPr>
          <w:rFonts w:eastAsiaTheme="majorEastAsia" w:cs="Times New Roman"/>
          <w:bCs/>
        </w:rPr>
        <w:t xml:space="preserve"> </w:t>
      </w:r>
      <w:r w:rsidR="0046018A">
        <w:rPr>
          <w:rFonts w:eastAsiaTheme="majorEastAsia" w:cs="Times New Roman"/>
          <w:bCs/>
        </w:rPr>
        <w:t xml:space="preserve">im Trägerpolymer </w:t>
      </w:r>
      <w:r w:rsidR="00041AA7">
        <w:rPr>
          <w:rFonts w:eastAsiaTheme="majorEastAsia" w:cs="Times New Roman"/>
          <w:bCs/>
        </w:rPr>
        <w:t>vor einem Abbau durch i</w:t>
      </w:r>
      <w:r w:rsidR="00F45505">
        <w:rPr>
          <w:rFonts w:eastAsiaTheme="majorEastAsia" w:cs="Times New Roman"/>
          <w:bCs/>
        </w:rPr>
        <w:t>ntestinale Enzyme geschützt wurde</w:t>
      </w:r>
      <w:r w:rsidR="00041AA7">
        <w:rPr>
          <w:rFonts w:eastAsiaTheme="majorEastAsia" w:cs="Times New Roman"/>
          <w:bCs/>
        </w:rPr>
        <w:t xml:space="preserve"> und </w:t>
      </w:r>
      <w:r w:rsidR="00F45505">
        <w:rPr>
          <w:rFonts w:eastAsiaTheme="majorEastAsia" w:cs="Times New Roman"/>
          <w:bCs/>
        </w:rPr>
        <w:t xml:space="preserve">dass </w:t>
      </w:r>
      <w:r w:rsidR="0046018A">
        <w:rPr>
          <w:rFonts w:eastAsiaTheme="majorEastAsia" w:cs="Times New Roman"/>
          <w:bCs/>
        </w:rPr>
        <w:t xml:space="preserve">durch </w:t>
      </w:r>
      <w:r w:rsidR="00041AA7">
        <w:rPr>
          <w:rFonts w:eastAsiaTheme="majorEastAsia" w:cs="Times New Roman"/>
          <w:bCs/>
        </w:rPr>
        <w:t>ein</w:t>
      </w:r>
      <w:r w:rsidR="0046018A">
        <w:rPr>
          <w:rFonts w:eastAsiaTheme="majorEastAsia" w:cs="Times New Roman"/>
          <w:bCs/>
        </w:rPr>
        <w:t>e Freisetzung</w:t>
      </w:r>
      <w:r w:rsidR="00746491">
        <w:rPr>
          <w:rFonts w:eastAsiaTheme="majorEastAsia" w:cs="Times New Roman"/>
          <w:bCs/>
        </w:rPr>
        <w:t xml:space="preserve"> im Inneren der</w:t>
      </w:r>
      <w:r w:rsidR="00F45505">
        <w:rPr>
          <w:rFonts w:eastAsiaTheme="majorEastAsia" w:cs="Times New Roman"/>
          <w:bCs/>
        </w:rPr>
        <w:t xml:space="preserve"> resorbierenden Epithelzellen der</w:t>
      </w:r>
      <w:r w:rsidR="00041AA7">
        <w:rPr>
          <w:rFonts w:eastAsiaTheme="majorEastAsia" w:cs="Times New Roman"/>
          <w:bCs/>
        </w:rPr>
        <w:t xml:space="preserve"> für hydrophile Arzneistoffe sonst </w:t>
      </w:r>
      <w:r w:rsidR="0046018A">
        <w:rPr>
          <w:rFonts w:eastAsiaTheme="majorEastAsia" w:cs="Times New Roman"/>
          <w:bCs/>
        </w:rPr>
        <w:t xml:space="preserve">sehr </w:t>
      </w:r>
      <w:r w:rsidR="00041AA7">
        <w:rPr>
          <w:rFonts w:eastAsiaTheme="majorEastAsia" w:cs="Times New Roman"/>
          <w:bCs/>
        </w:rPr>
        <w:t>u</w:t>
      </w:r>
      <w:r w:rsidR="00F45505">
        <w:rPr>
          <w:rFonts w:eastAsiaTheme="majorEastAsia" w:cs="Times New Roman"/>
          <w:bCs/>
        </w:rPr>
        <w:t>nwahrscheinliche transzelluläre</w:t>
      </w:r>
      <w:r w:rsidR="00041AA7">
        <w:rPr>
          <w:rFonts w:eastAsiaTheme="majorEastAsia" w:cs="Times New Roman"/>
          <w:bCs/>
        </w:rPr>
        <w:t xml:space="preserve"> Transportweg verstärkt</w:t>
      </w:r>
      <w:r w:rsidR="00F45505">
        <w:rPr>
          <w:rFonts w:eastAsiaTheme="majorEastAsia" w:cs="Times New Roman"/>
          <w:bCs/>
        </w:rPr>
        <w:t xml:space="preserve"> wurde</w:t>
      </w:r>
      <w:r w:rsidR="0046018A">
        <w:rPr>
          <w:rFonts w:eastAsiaTheme="majorEastAsia" w:cs="Times New Roman"/>
          <w:bCs/>
        </w:rPr>
        <w:t xml:space="preserve">. </w:t>
      </w:r>
      <w:r w:rsidR="006F525A">
        <w:rPr>
          <w:rFonts w:eastAsiaTheme="majorEastAsia" w:cs="Times New Roman"/>
          <w:bCs/>
        </w:rPr>
        <w:t xml:space="preserve">Die Ergebnisse der </w:t>
      </w:r>
      <w:r w:rsidR="006F525A" w:rsidRPr="006F525A">
        <w:rPr>
          <w:rFonts w:eastAsiaTheme="majorEastAsia" w:cs="Times New Roman"/>
          <w:bCs/>
          <w:i/>
        </w:rPr>
        <w:t>in vitro</w:t>
      </w:r>
      <w:r w:rsidR="006F525A">
        <w:rPr>
          <w:rFonts w:eastAsiaTheme="majorEastAsia" w:cs="Times New Roman"/>
          <w:bCs/>
        </w:rPr>
        <w:t xml:space="preserve">-Freisetzungsuntersuchungen der Formulierungen korrelieren an dieser Stelle sehr gut mit den </w:t>
      </w:r>
      <w:r w:rsidR="006F525A" w:rsidRPr="006F525A">
        <w:rPr>
          <w:rFonts w:eastAsiaTheme="majorEastAsia" w:cs="Times New Roman"/>
          <w:bCs/>
          <w:i/>
        </w:rPr>
        <w:t>in vivo</w:t>
      </w:r>
      <w:r w:rsidR="00F45505">
        <w:rPr>
          <w:rFonts w:eastAsiaTheme="majorEastAsia" w:cs="Times New Roman"/>
          <w:bCs/>
        </w:rPr>
        <w:t>-Plasmaspiegelverläufen</w:t>
      </w:r>
      <w:r w:rsidR="006F525A">
        <w:rPr>
          <w:rFonts w:eastAsiaTheme="majorEastAsia" w:cs="Times New Roman"/>
          <w:bCs/>
        </w:rPr>
        <w:t xml:space="preserve">. </w:t>
      </w:r>
      <w:r w:rsidR="0046018A" w:rsidRPr="006F525A">
        <w:rPr>
          <w:rFonts w:eastAsiaTheme="majorEastAsia" w:cs="Times New Roman"/>
          <w:bCs/>
        </w:rPr>
        <w:t>Bei</w:t>
      </w:r>
      <w:r w:rsidR="00041AA7">
        <w:rPr>
          <w:rFonts w:eastAsiaTheme="majorEastAsia" w:cs="Times New Roman"/>
          <w:bCs/>
        </w:rPr>
        <w:t xml:space="preserve"> Verwendung von PLGA fällt der Effekt der Bioverfügbarkeitsverbesserung deutlich geringer aus als mit PEA Cystein. </w:t>
      </w:r>
      <w:r w:rsidR="00671A8D">
        <w:rPr>
          <w:rFonts w:eastAsiaTheme="majorEastAsia" w:cs="Times New Roman"/>
          <w:bCs/>
        </w:rPr>
        <w:t>Durch</w:t>
      </w:r>
      <w:r w:rsidR="0046018A">
        <w:rPr>
          <w:rFonts w:eastAsiaTheme="majorEastAsia" w:cs="Times New Roman"/>
          <w:bCs/>
        </w:rPr>
        <w:t xml:space="preserve"> nicht-kovalente Funkt</w:t>
      </w:r>
      <w:r w:rsidR="00B22941">
        <w:rPr>
          <w:rFonts w:eastAsiaTheme="majorEastAsia" w:cs="Times New Roman"/>
          <w:bCs/>
        </w:rPr>
        <w:t>ionalisierung von PLGA mit dem</w:t>
      </w:r>
      <w:r w:rsidR="00746491">
        <w:rPr>
          <w:rFonts w:eastAsiaTheme="majorEastAsia" w:cs="Times New Roman"/>
          <w:bCs/>
        </w:rPr>
        <w:t xml:space="preserve"> zellpenetrierende</w:t>
      </w:r>
      <w:r w:rsidR="00B22941">
        <w:rPr>
          <w:rFonts w:eastAsiaTheme="majorEastAsia" w:cs="Times New Roman"/>
          <w:bCs/>
        </w:rPr>
        <w:t>n</w:t>
      </w:r>
      <w:r w:rsidR="00746491">
        <w:rPr>
          <w:rFonts w:eastAsiaTheme="majorEastAsia" w:cs="Times New Roman"/>
          <w:bCs/>
        </w:rPr>
        <w:t xml:space="preserve"> hLF Peptid</w:t>
      </w:r>
      <w:r w:rsidR="00B22941">
        <w:rPr>
          <w:rFonts w:eastAsiaTheme="majorEastAsia" w:cs="Times New Roman"/>
          <w:bCs/>
        </w:rPr>
        <w:t>fragment</w:t>
      </w:r>
      <w:r w:rsidR="00671A8D">
        <w:rPr>
          <w:rFonts w:eastAsiaTheme="majorEastAsia" w:cs="Times New Roman"/>
          <w:bCs/>
        </w:rPr>
        <w:t xml:space="preserve"> konnte die orale Bioverfügbarkeit </w:t>
      </w:r>
      <w:r w:rsidR="00671A8D" w:rsidRPr="00671A8D">
        <w:rPr>
          <w:rFonts w:eastAsiaTheme="majorEastAsia" w:cs="Times New Roman"/>
          <w:bCs/>
          <w:i/>
        </w:rPr>
        <w:t>in vivo</w:t>
      </w:r>
      <w:r w:rsidR="00671A8D">
        <w:rPr>
          <w:rFonts w:eastAsiaTheme="majorEastAsia" w:cs="Times New Roman"/>
          <w:bCs/>
        </w:rPr>
        <w:t xml:space="preserve"> nicht erhöht werden</w:t>
      </w:r>
      <w:r w:rsidR="0046018A">
        <w:rPr>
          <w:rFonts w:eastAsiaTheme="majorEastAsia" w:cs="Times New Roman"/>
          <w:bCs/>
        </w:rPr>
        <w:t>.</w:t>
      </w:r>
      <w:r w:rsidR="00FB30E8">
        <w:rPr>
          <w:rFonts w:eastAsiaTheme="majorEastAsia" w:cs="Times New Roman"/>
          <w:bCs/>
        </w:rPr>
        <w:t xml:space="preserve"> Eine plausible Erklärung für dieses unerwa</w:t>
      </w:r>
      <w:r w:rsidR="005B4B5C">
        <w:rPr>
          <w:rFonts w:eastAsiaTheme="majorEastAsia" w:cs="Times New Roman"/>
          <w:bCs/>
        </w:rPr>
        <w:t>rtete Ergebnis konnte mit dem aktuellen Wissensstand</w:t>
      </w:r>
      <w:r w:rsidR="00FB30E8">
        <w:rPr>
          <w:rFonts w:eastAsiaTheme="majorEastAsia" w:cs="Times New Roman"/>
          <w:bCs/>
        </w:rPr>
        <w:t xml:space="preserve"> nicht gefunden werden.</w:t>
      </w:r>
    </w:p>
    <w:p w14:paraId="52308D6B" w14:textId="77777777" w:rsidR="000C1175" w:rsidRPr="002F69E4" w:rsidRDefault="0046018A" w:rsidP="002F69E4">
      <w:r>
        <w:rPr>
          <w:rFonts w:eastAsiaTheme="majorEastAsia" w:cs="Times New Roman"/>
          <w:bCs/>
        </w:rPr>
        <w:t>Somit ist d</w:t>
      </w:r>
      <w:r w:rsidR="00041AA7">
        <w:rPr>
          <w:rFonts w:eastAsiaTheme="majorEastAsia" w:cs="Times New Roman"/>
          <w:bCs/>
        </w:rPr>
        <w:t>as neue</w:t>
      </w:r>
      <w:r>
        <w:rPr>
          <w:rFonts w:eastAsiaTheme="majorEastAsia" w:cs="Times New Roman"/>
          <w:bCs/>
        </w:rPr>
        <w:t xml:space="preserve"> PEA Cystein Polymer</w:t>
      </w:r>
      <w:r w:rsidR="00746491">
        <w:rPr>
          <w:rFonts w:eastAsiaTheme="majorEastAsia" w:cs="Times New Roman"/>
          <w:bCs/>
        </w:rPr>
        <w:t xml:space="preserve"> </w:t>
      </w:r>
      <w:r w:rsidR="00041AA7">
        <w:rPr>
          <w:rFonts w:eastAsiaTheme="majorEastAsia" w:cs="Times New Roman"/>
          <w:bCs/>
        </w:rPr>
        <w:t>d</w:t>
      </w:r>
      <w:r w:rsidR="00746491">
        <w:rPr>
          <w:rFonts w:eastAsiaTheme="majorEastAsia" w:cs="Times New Roman"/>
          <w:bCs/>
        </w:rPr>
        <w:t>en handelsüblichen Biopolymeren</w:t>
      </w:r>
      <w:r>
        <w:rPr>
          <w:rFonts w:eastAsiaTheme="majorEastAsia" w:cs="Times New Roman"/>
          <w:bCs/>
        </w:rPr>
        <w:t xml:space="preserve">, selbst wenn diese </w:t>
      </w:r>
      <w:r w:rsidR="006F525A">
        <w:rPr>
          <w:rFonts w:eastAsiaTheme="majorEastAsia" w:cs="Times New Roman"/>
          <w:bCs/>
        </w:rPr>
        <w:t xml:space="preserve">auf </w:t>
      </w:r>
      <w:r>
        <w:rPr>
          <w:rFonts w:eastAsiaTheme="majorEastAsia" w:cs="Times New Roman"/>
          <w:bCs/>
        </w:rPr>
        <w:t>nicht-kovalent</w:t>
      </w:r>
      <w:r w:rsidR="00C74BB8">
        <w:rPr>
          <w:rFonts w:eastAsiaTheme="majorEastAsia" w:cs="Times New Roman"/>
          <w:bCs/>
        </w:rPr>
        <w:t>e Weise mit einem</w:t>
      </w:r>
      <w:r w:rsidR="006F525A">
        <w:rPr>
          <w:rFonts w:eastAsiaTheme="majorEastAsia" w:cs="Times New Roman"/>
          <w:bCs/>
        </w:rPr>
        <w:t xml:space="preserve"> zellpenetrierenden</w:t>
      </w:r>
      <w:r w:rsidR="00C74BB8">
        <w:rPr>
          <w:rFonts w:eastAsiaTheme="majorEastAsia" w:cs="Times New Roman"/>
          <w:bCs/>
        </w:rPr>
        <w:t xml:space="preserve"> hLF</w:t>
      </w:r>
      <w:r w:rsidR="006F525A">
        <w:rPr>
          <w:rFonts w:eastAsiaTheme="majorEastAsia" w:cs="Times New Roman"/>
          <w:bCs/>
        </w:rPr>
        <w:t xml:space="preserve"> Peptid</w:t>
      </w:r>
      <w:r w:rsidR="00C74BB8">
        <w:rPr>
          <w:rFonts w:eastAsiaTheme="majorEastAsia" w:cs="Times New Roman"/>
          <w:bCs/>
        </w:rPr>
        <w:t>fragment</w:t>
      </w:r>
      <w:r>
        <w:rPr>
          <w:rFonts w:eastAsiaTheme="majorEastAsia" w:cs="Times New Roman"/>
          <w:bCs/>
        </w:rPr>
        <w:t xml:space="preserve"> funktionalisiert wurden,</w:t>
      </w:r>
      <w:r w:rsidR="00746491">
        <w:rPr>
          <w:rFonts w:eastAsiaTheme="majorEastAsia" w:cs="Times New Roman"/>
          <w:bCs/>
        </w:rPr>
        <w:t xml:space="preserve"> </w:t>
      </w:r>
      <w:r w:rsidR="00041AA7">
        <w:rPr>
          <w:rFonts w:eastAsiaTheme="majorEastAsia" w:cs="Times New Roman"/>
          <w:bCs/>
        </w:rPr>
        <w:t>hinsichtlich einer Verwendung zur Verbesserung der oralen Bioverfügbarkeit von Peptidarzneistoffen</w:t>
      </w:r>
      <w:r w:rsidR="00746491">
        <w:rPr>
          <w:rFonts w:eastAsiaTheme="majorEastAsia" w:cs="Times New Roman"/>
          <w:bCs/>
        </w:rPr>
        <w:t xml:space="preserve"> klar</w:t>
      </w:r>
      <w:r>
        <w:rPr>
          <w:rFonts w:eastAsiaTheme="majorEastAsia" w:cs="Times New Roman"/>
          <w:bCs/>
        </w:rPr>
        <w:t xml:space="preserve"> überlegen.</w:t>
      </w:r>
    </w:p>
    <w:p w14:paraId="2BAE1A4A" w14:textId="77777777" w:rsidR="00252861" w:rsidRPr="003B37C5" w:rsidRDefault="00252861" w:rsidP="00B90911">
      <w:pPr>
        <w:pStyle w:val="berschrift1"/>
      </w:pPr>
      <w:bookmarkStart w:id="337" w:name="_Toc294380296"/>
      <w:r w:rsidRPr="003B37C5">
        <w:t>Zusammenfassung der Arbeit und Ausblick</w:t>
      </w:r>
      <w:bookmarkEnd w:id="337"/>
    </w:p>
    <w:p w14:paraId="5133493F" w14:textId="77777777" w:rsidR="00252861" w:rsidRDefault="00252861" w:rsidP="00CD680C">
      <w:pPr>
        <w:pStyle w:val="berschrift2"/>
        <w:spacing w:before="240"/>
        <w:ind w:left="578" w:hanging="578"/>
      </w:pPr>
      <w:r w:rsidRPr="00501895">
        <w:tab/>
      </w:r>
      <w:bookmarkStart w:id="338" w:name="_Toc294380297"/>
      <w:r w:rsidRPr="00501895">
        <w:t>Zusammenfassung</w:t>
      </w:r>
      <w:r w:rsidR="006111E2">
        <w:t>en</w:t>
      </w:r>
      <w:bookmarkEnd w:id="338"/>
    </w:p>
    <w:p w14:paraId="378DD0DA" w14:textId="77777777" w:rsidR="003F5F69" w:rsidRDefault="003F5F69" w:rsidP="00CD680C">
      <w:pPr>
        <w:pStyle w:val="berschrift3"/>
        <w:spacing w:before="240"/>
      </w:pPr>
      <w:bookmarkStart w:id="339" w:name="_Toc294380298"/>
      <w:r>
        <w:t>Deutsche Zusammenfassung</w:t>
      </w:r>
      <w:bookmarkEnd w:id="339"/>
    </w:p>
    <w:p w14:paraId="5692024D" w14:textId="77777777" w:rsidR="009000BE" w:rsidRPr="009000BE" w:rsidRDefault="009000BE" w:rsidP="009000BE">
      <w:r>
        <w:t>Diese Dissertation wurde mit dem Ziel angefertigt</w:t>
      </w:r>
      <w:r w:rsidR="006F6996">
        <w:t>,</w:t>
      </w:r>
      <w:r>
        <w:t xml:space="preserve"> mithilfe </w:t>
      </w:r>
      <w:r w:rsidR="00D64D68">
        <w:t>spezieller</w:t>
      </w:r>
      <w:r w:rsidR="00C10CF9">
        <w:t xml:space="preserve"> Formulierungen die orale Bioverfügbarkeit von Peptid- und Proteinwirkstoffen zu erhöhen. D</w:t>
      </w:r>
      <w:r w:rsidR="00CB5BC4">
        <w:t>azu wurden nanoskalige, mit dem</w:t>
      </w:r>
      <w:r w:rsidR="00C10CF9">
        <w:t xml:space="preserve"> Modellpeptid</w:t>
      </w:r>
      <w:r w:rsidR="00CB5BC4">
        <w:t xml:space="preserve"> Desmopressin</w:t>
      </w:r>
      <w:r w:rsidR="00FF28A1">
        <w:t xml:space="preserve"> </w:t>
      </w:r>
      <w:r w:rsidR="00C10CF9">
        <w:t xml:space="preserve">beladene Arzneistoffträger zunächst aus handelsüblichen bioabbaubaren PLGA Polymeren und anschließend aus </w:t>
      </w:r>
      <w:r w:rsidR="00487DD6">
        <w:t>unterschiedlichen neuen</w:t>
      </w:r>
      <w:r w:rsidR="00C10CF9">
        <w:t xml:space="preserve"> Polyesteramid Polymeren</w:t>
      </w:r>
      <w:r w:rsidR="00487DD6">
        <w:t xml:space="preserve"> (PEA) </w:t>
      </w:r>
      <w:r w:rsidR="00C10CF9">
        <w:t>hergestellt.</w:t>
      </w:r>
      <w:r w:rsidR="00487DD6">
        <w:t xml:space="preserve"> Unter anderem wurde ein kontinuierliches Herstellungsverfahren von PLGA Nanopartikeln entwickelt. </w:t>
      </w:r>
      <w:r w:rsidR="00CB5BC4">
        <w:t xml:space="preserve">Mithilfe der neuen Polymere </w:t>
      </w:r>
      <w:r w:rsidR="00CB5BC4">
        <w:lastRenderedPageBreak/>
        <w:t>konnte die Verkapselungseffizienz für Desmopressin</w:t>
      </w:r>
      <w:r w:rsidR="006059D9">
        <w:t xml:space="preserve"> gegenüber PLGA </w:t>
      </w:r>
      <w:r w:rsidR="00D64D68">
        <w:t>von</w:t>
      </w:r>
      <w:r w:rsidR="00BF2068">
        <w:t xml:space="preserve"> 7,5</w:t>
      </w:r>
      <w:r w:rsidR="006F6996">
        <w:t>%</w:t>
      </w:r>
      <w:r w:rsidR="00487DD6">
        <w:t xml:space="preserve"> auf </w:t>
      </w:r>
      <w:r w:rsidR="00185AF7">
        <w:t>28% gesteigert werden.</w:t>
      </w:r>
      <w:r w:rsidR="00DD0369">
        <w:t xml:space="preserve"> Zudem waren die Freisetzungs</w:t>
      </w:r>
      <w:r w:rsidR="00D64D68">
        <w:t xml:space="preserve">profile der PEA Polymere </w:t>
      </w:r>
      <w:r w:rsidR="00DD0369">
        <w:t>für eine perorale Applikation</w:t>
      </w:r>
      <w:r w:rsidR="00B917C9">
        <w:t xml:space="preserve"> besser</w:t>
      </w:r>
      <w:r w:rsidR="00DD0369">
        <w:t xml:space="preserve"> geeignet</w:t>
      </w:r>
      <w:r w:rsidR="00B917C9">
        <w:t xml:space="preserve"> als die der PLGA Polymere</w:t>
      </w:r>
      <w:r w:rsidR="00DD0369">
        <w:t xml:space="preserve">. </w:t>
      </w:r>
      <w:r w:rsidR="00B2079F">
        <w:t>Je nach verwendetem PEA-</w:t>
      </w:r>
      <w:r w:rsidR="00487DD6">
        <w:t>Typ wurde eine p</w:t>
      </w:r>
      <w:r w:rsidR="00416145">
        <w:t xml:space="preserve">H-Wert kontrollierte </w:t>
      </w:r>
      <w:r w:rsidR="00487DD6">
        <w:t>oder eine retardierte Freisetzung des Wirkstoffs ermöglicht</w:t>
      </w:r>
      <w:r w:rsidR="00DD0369">
        <w:t>.</w:t>
      </w:r>
      <w:r w:rsidR="00416145">
        <w:t xml:space="preserve"> </w:t>
      </w:r>
      <w:r w:rsidR="006F6996">
        <w:t>D</w:t>
      </w:r>
      <w:r w:rsidR="00E11D6B">
        <w:t>ie Aufnahme von Partikeln in Cac</w:t>
      </w:r>
      <w:r w:rsidR="006F6996">
        <w:t>o-2 Zellen wurde vor allem für PEA Cystein bestätigt</w:t>
      </w:r>
      <w:r w:rsidR="00DD0369">
        <w:t xml:space="preserve">. Ein Transport </w:t>
      </w:r>
      <w:r w:rsidR="00F610EC">
        <w:t>der Partikel durch die epitheliale Barriere hindurch</w:t>
      </w:r>
      <w:r w:rsidR="00DD0369">
        <w:t xml:space="preserve"> konnte</w:t>
      </w:r>
      <w:r w:rsidR="00F610EC">
        <w:t xml:space="preserve"> im </w:t>
      </w:r>
      <w:r w:rsidR="00F610EC" w:rsidRPr="00F610EC">
        <w:rPr>
          <w:i/>
        </w:rPr>
        <w:t>in vitro</w:t>
      </w:r>
      <w:r w:rsidR="00F610EC">
        <w:t xml:space="preserve">-Resorptionsmodell nicht nachgewiesen werden. </w:t>
      </w:r>
      <w:r w:rsidR="006F6996">
        <w:t>Die</w:t>
      </w:r>
      <w:r w:rsidR="00F610EC">
        <w:t xml:space="preserve"> </w:t>
      </w:r>
      <w:r w:rsidR="00F610EC" w:rsidRPr="00F610EC">
        <w:rPr>
          <w:i/>
        </w:rPr>
        <w:t>in vivo</w:t>
      </w:r>
      <w:r w:rsidR="00F610EC">
        <w:t xml:space="preserve">-Bioverfügbarkeitsuntersuchungen der Formulierungen </w:t>
      </w:r>
      <w:r w:rsidR="00487DD6">
        <w:t xml:space="preserve">ergaben </w:t>
      </w:r>
      <w:r w:rsidR="00F610EC">
        <w:t>eine Verbesserung der absoluten Biove</w:t>
      </w:r>
      <w:r w:rsidR="00487DD6">
        <w:t>rfügbarkeit von Desmopressin mit</w:t>
      </w:r>
      <w:r w:rsidR="00F610EC">
        <w:t xml:space="preserve"> PEA Cystein (F</w:t>
      </w:r>
      <w:r w:rsidR="00F610EC">
        <w:rPr>
          <w:vertAlign w:val="subscript"/>
        </w:rPr>
        <w:t>abs</w:t>
      </w:r>
      <w:r w:rsidR="00F610EC">
        <w:t>= 5,5%) und</w:t>
      </w:r>
      <w:r w:rsidR="00487DD6">
        <w:t xml:space="preserve"> mit</w:t>
      </w:r>
      <w:r w:rsidR="00F610EC">
        <w:t xml:space="preserve"> PL</w:t>
      </w:r>
      <w:r w:rsidR="00487DD6">
        <w:t>GA</w:t>
      </w:r>
      <w:r w:rsidR="00F610EC">
        <w:t xml:space="preserve"> (F</w:t>
      </w:r>
      <w:r w:rsidR="00F610EC">
        <w:rPr>
          <w:vertAlign w:val="subscript"/>
        </w:rPr>
        <w:t>abs</w:t>
      </w:r>
      <w:r w:rsidR="00F610EC">
        <w:t>= 2,6%).</w:t>
      </w:r>
      <w:r w:rsidR="00487DD6">
        <w:t xml:space="preserve"> Damit wurde das Ziel der Bioverfügbarkeitsverbesserung</w:t>
      </w:r>
      <w:r w:rsidR="00416145">
        <w:t xml:space="preserve"> erreicht</w:t>
      </w:r>
      <w:r w:rsidR="00C3681B">
        <w:t>. D</w:t>
      </w:r>
      <w:r w:rsidR="006F6996">
        <w:t>ie Neu- und Weiterentwicklung</w:t>
      </w:r>
      <w:r w:rsidR="00416145">
        <w:t xml:space="preserve"> diverser Methoden</w:t>
      </w:r>
      <w:r w:rsidR="003C637E">
        <w:t xml:space="preserve"> leistete zudem einen</w:t>
      </w:r>
      <w:r w:rsidR="00416145">
        <w:t xml:space="preserve"> wissenschaftlich</w:t>
      </w:r>
      <w:r w:rsidR="003C637E">
        <w:t>en Beitrag im Hinblick auf die</w:t>
      </w:r>
      <w:r w:rsidR="00416145">
        <w:t xml:space="preserve"> </w:t>
      </w:r>
      <w:r w:rsidR="006F6996">
        <w:t xml:space="preserve">Anwendung </w:t>
      </w:r>
      <w:r w:rsidR="00416145">
        <w:t>der Nanotechn</w:t>
      </w:r>
      <w:r w:rsidR="003C637E">
        <w:t>ologie in der Medizin</w:t>
      </w:r>
      <w:r w:rsidR="00A5387E">
        <w:t>.</w:t>
      </w:r>
    </w:p>
    <w:p w14:paraId="3A6F2C46" w14:textId="77777777" w:rsidR="003F5F69" w:rsidRDefault="003F5F69" w:rsidP="003F5F69">
      <w:pPr>
        <w:pStyle w:val="berschrift3"/>
      </w:pPr>
      <w:bookmarkStart w:id="340" w:name="_Toc294380299"/>
      <w:r>
        <w:t>Englische Zusammenfassung</w:t>
      </w:r>
      <w:bookmarkEnd w:id="340"/>
    </w:p>
    <w:p w14:paraId="56024D46" w14:textId="77777777" w:rsidR="00DC432E" w:rsidRPr="00DB0243" w:rsidRDefault="00DC432E" w:rsidP="00DC432E">
      <w:pPr>
        <w:rPr>
          <w:lang w:val="en-US"/>
        </w:rPr>
      </w:pPr>
      <w:r w:rsidRPr="00DB0243">
        <w:rPr>
          <w:lang w:val="en-US"/>
        </w:rPr>
        <w:t>The aim of this work was to increase the oral bioavailability of peptide and protein drugs</w:t>
      </w:r>
      <w:r w:rsidR="00731562" w:rsidRPr="00DB0243">
        <w:rPr>
          <w:lang w:val="en-US"/>
        </w:rPr>
        <w:t xml:space="preserve"> by the use of</w:t>
      </w:r>
      <w:r w:rsidR="008F7DFF" w:rsidRPr="00DB0243">
        <w:rPr>
          <w:lang w:val="en-US"/>
        </w:rPr>
        <w:t xml:space="preserve"> advanced formulations.</w:t>
      </w:r>
      <w:r w:rsidR="00724BF6" w:rsidRPr="00DB0243">
        <w:rPr>
          <w:lang w:val="en-US"/>
        </w:rPr>
        <w:t xml:space="preserve"> For that purpose nanoscaled polymeric drug carrie</w:t>
      </w:r>
      <w:r w:rsidR="00731562" w:rsidRPr="00DB0243">
        <w:rPr>
          <w:lang w:val="en-US"/>
        </w:rPr>
        <w:t>rs were first prepared from</w:t>
      </w:r>
      <w:r w:rsidR="00724BF6" w:rsidRPr="00DB0243">
        <w:rPr>
          <w:lang w:val="en-US"/>
        </w:rPr>
        <w:t xml:space="preserve"> commercially</w:t>
      </w:r>
      <w:r w:rsidR="00731562" w:rsidRPr="00DB0243">
        <w:rPr>
          <w:lang w:val="en-US"/>
        </w:rPr>
        <w:t xml:space="preserve"> available</w:t>
      </w:r>
      <w:r w:rsidR="00724BF6" w:rsidRPr="00DB0243">
        <w:rPr>
          <w:lang w:val="en-US"/>
        </w:rPr>
        <w:t xml:space="preserve"> biodagradable</w:t>
      </w:r>
      <w:r w:rsidR="00731562" w:rsidRPr="00DB0243">
        <w:rPr>
          <w:lang w:val="en-US"/>
        </w:rPr>
        <w:t xml:space="preserve"> PLGA</w:t>
      </w:r>
      <w:r w:rsidR="00724BF6" w:rsidRPr="00DB0243">
        <w:rPr>
          <w:lang w:val="en-US"/>
        </w:rPr>
        <w:t xml:space="preserve"> polymers</w:t>
      </w:r>
      <w:r w:rsidR="00731562" w:rsidRPr="00DB0243">
        <w:rPr>
          <w:lang w:val="en-US"/>
        </w:rPr>
        <w:t xml:space="preserve"> and subsequently from different new polyester amide polymers (PEA).</w:t>
      </w:r>
      <w:r w:rsidR="00F3622C" w:rsidRPr="00DB0243">
        <w:rPr>
          <w:lang w:val="en-US"/>
        </w:rPr>
        <w:t xml:space="preserve"> Inter alia, a continuous manufacturing method for PLGA nanoparticles was developed. By the use of the new polymers instead of PLGA, the encapsulation efficiency of De</w:t>
      </w:r>
      <w:r w:rsidR="00BF2068">
        <w:rPr>
          <w:lang w:val="en-US"/>
        </w:rPr>
        <w:t>smopressin was increased from 7.5</w:t>
      </w:r>
      <w:r w:rsidR="00F3622C" w:rsidRPr="00DB0243">
        <w:rPr>
          <w:lang w:val="en-US"/>
        </w:rPr>
        <w:t xml:space="preserve">% to 28%. In addition, the release profiles of the PEA </w:t>
      </w:r>
      <w:r w:rsidR="008C46AC" w:rsidRPr="00DB0243">
        <w:rPr>
          <w:lang w:val="en-US"/>
        </w:rPr>
        <w:t>particles were suitable for oral delivery unlike the PLGA particles. Depending on the PEA type, either a pH-controlled or a sustained releas</w:t>
      </w:r>
      <w:r w:rsidR="00063FDA" w:rsidRPr="00DB0243">
        <w:rPr>
          <w:lang w:val="en-US"/>
        </w:rPr>
        <w:t xml:space="preserve">e of Desmopressin </w:t>
      </w:r>
      <w:r w:rsidR="00E11D6B" w:rsidRPr="00DB0243">
        <w:rPr>
          <w:lang w:val="en-US"/>
        </w:rPr>
        <w:t>was achieved. An uptake into Cac</w:t>
      </w:r>
      <w:r w:rsidR="00063FDA" w:rsidRPr="00DB0243">
        <w:rPr>
          <w:lang w:val="en-US"/>
        </w:rPr>
        <w:t>o-</w:t>
      </w:r>
      <w:r w:rsidR="001B197D" w:rsidRPr="00DB0243">
        <w:rPr>
          <w:lang w:val="en-US"/>
        </w:rPr>
        <w:t xml:space="preserve">2 cells was confirmed particularly </w:t>
      </w:r>
      <w:r w:rsidR="00063FDA" w:rsidRPr="00DB0243">
        <w:rPr>
          <w:lang w:val="en-US"/>
        </w:rPr>
        <w:t>for the PEA cysteine particles.</w:t>
      </w:r>
      <w:r w:rsidR="001B197D" w:rsidRPr="00DB0243">
        <w:rPr>
          <w:lang w:val="en-US"/>
        </w:rPr>
        <w:t xml:space="preserve"> There was no transport of particles thr</w:t>
      </w:r>
      <w:r w:rsidR="00E11D6B" w:rsidRPr="00DB0243">
        <w:rPr>
          <w:lang w:val="en-US"/>
        </w:rPr>
        <w:t>ough a conflent monolayer of Cac</w:t>
      </w:r>
      <w:r w:rsidR="001B197D" w:rsidRPr="00DB0243">
        <w:rPr>
          <w:lang w:val="en-US"/>
        </w:rPr>
        <w:t xml:space="preserve">o-2 cells </w:t>
      </w:r>
      <w:r w:rsidR="001B197D" w:rsidRPr="00DB0243">
        <w:rPr>
          <w:i/>
          <w:lang w:val="en-US"/>
        </w:rPr>
        <w:t>in vitro</w:t>
      </w:r>
      <w:r w:rsidR="001B197D" w:rsidRPr="00DB0243">
        <w:rPr>
          <w:lang w:val="en-US"/>
        </w:rPr>
        <w:t xml:space="preserve">. </w:t>
      </w:r>
      <w:r w:rsidR="001B197D" w:rsidRPr="00DB0243">
        <w:rPr>
          <w:i/>
          <w:lang w:val="en-US"/>
        </w:rPr>
        <w:t>In vivo</w:t>
      </w:r>
      <w:r w:rsidR="001B197D" w:rsidRPr="00DB0243">
        <w:rPr>
          <w:lang w:val="en-US"/>
        </w:rPr>
        <w:t xml:space="preserve"> bioavailability studies with mice showed an improvement of the absolute oral bioavailability of Desmopressin </w:t>
      </w:r>
      <w:r w:rsidR="00436106" w:rsidRPr="00DB0243">
        <w:rPr>
          <w:lang w:val="en-US"/>
        </w:rPr>
        <w:t>using PEA cysteine (F</w:t>
      </w:r>
      <w:r w:rsidR="00436106" w:rsidRPr="00DB0243">
        <w:rPr>
          <w:vertAlign w:val="subscript"/>
          <w:lang w:val="en-US"/>
        </w:rPr>
        <w:t>abs</w:t>
      </w:r>
      <w:r w:rsidR="00436106" w:rsidRPr="00DB0243">
        <w:rPr>
          <w:lang w:val="en-US"/>
        </w:rPr>
        <w:t>= 5,5%) or PLGA particles (F</w:t>
      </w:r>
      <w:r w:rsidR="00436106" w:rsidRPr="00DB0243">
        <w:rPr>
          <w:vertAlign w:val="subscript"/>
          <w:lang w:val="en-US"/>
        </w:rPr>
        <w:t>abs</w:t>
      </w:r>
      <w:r w:rsidR="00294084" w:rsidRPr="00DB0243">
        <w:rPr>
          <w:lang w:val="en-US"/>
        </w:rPr>
        <w:t>= 2,6%). Thus, the main objective</w:t>
      </w:r>
      <w:r w:rsidR="00392B1E" w:rsidRPr="00DB0243">
        <w:rPr>
          <w:lang w:val="en-US"/>
        </w:rPr>
        <w:t xml:space="preserve"> of this work</w:t>
      </w:r>
      <w:r w:rsidR="00294084" w:rsidRPr="00DB0243">
        <w:rPr>
          <w:lang w:val="en-US"/>
        </w:rPr>
        <w:t xml:space="preserve"> has been accomplished. </w:t>
      </w:r>
      <w:r w:rsidR="009C2C68" w:rsidRPr="00DB0243">
        <w:rPr>
          <w:lang w:val="en-US"/>
        </w:rPr>
        <w:t xml:space="preserve">The development </w:t>
      </w:r>
      <w:r w:rsidR="00CF047B" w:rsidRPr="00DB0243">
        <w:rPr>
          <w:lang w:val="en-US"/>
        </w:rPr>
        <w:t xml:space="preserve">of </w:t>
      </w:r>
      <w:r w:rsidR="009C2C68" w:rsidRPr="00DB0243">
        <w:rPr>
          <w:lang w:val="en-US"/>
        </w:rPr>
        <w:t xml:space="preserve">new </w:t>
      </w:r>
      <w:r w:rsidR="00CF047B" w:rsidRPr="00DB0243">
        <w:rPr>
          <w:lang w:val="en-US"/>
        </w:rPr>
        <w:t>methods</w:t>
      </w:r>
      <w:r w:rsidR="009C2C68" w:rsidRPr="00DB0243">
        <w:rPr>
          <w:lang w:val="en-US"/>
        </w:rPr>
        <w:t xml:space="preserve"> and improvement of known processes</w:t>
      </w:r>
      <w:r w:rsidR="00CF047B" w:rsidRPr="00DB0243">
        <w:rPr>
          <w:lang w:val="en-US"/>
        </w:rPr>
        <w:t xml:space="preserve"> </w:t>
      </w:r>
      <w:r w:rsidR="009C2C68" w:rsidRPr="00DB0243">
        <w:rPr>
          <w:lang w:val="en-US"/>
        </w:rPr>
        <w:t>made a scientific contribution in the field of nano medicines.</w:t>
      </w:r>
    </w:p>
    <w:p w14:paraId="315B5A16" w14:textId="77777777" w:rsidR="00FA4469" w:rsidRDefault="00FA4469" w:rsidP="00FA4469">
      <w:pPr>
        <w:pStyle w:val="berschrift2"/>
      </w:pPr>
      <w:r w:rsidRPr="00DB0243">
        <w:rPr>
          <w:lang w:val="en-US"/>
        </w:rPr>
        <w:t xml:space="preserve">     </w:t>
      </w:r>
      <w:bookmarkStart w:id="341" w:name="_Toc294380300"/>
      <w:r w:rsidR="00252861" w:rsidRPr="00501895">
        <w:t>Ausblick</w:t>
      </w:r>
      <w:bookmarkEnd w:id="341"/>
    </w:p>
    <w:p w14:paraId="189BC7CD" w14:textId="77777777" w:rsidR="0006270E" w:rsidRDefault="0081711C" w:rsidP="0006270E">
      <w:r>
        <w:t xml:space="preserve">Für das </w:t>
      </w:r>
      <w:r w:rsidR="00062BDD">
        <w:t xml:space="preserve">Modellpeptid Desmopressin wurde </w:t>
      </w:r>
      <w:r w:rsidR="00CE3CFC">
        <w:t>am</w:t>
      </w:r>
      <w:r w:rsidR="00B917C9">
        <w:t xml:space="preserve"> Tiermodell </w:t>
      </w:r>
      <w:r w:rsidR="00062BDD">
        <w:t>gezeigt</w:t>
      </w:r>
      <w:r>
        <w:t>, dass die orale Bioverfügbarkeit durch die Formulierung nanoskaliger polymerer Arzneistof</w:t>
      </w:r>
      <w:r w:rsidR="00062BDD">
        <w:t>fträger verbessert werden kann. Dies gelan</w:t>
      </w:r>
      <w:r w:rsidR="00B917C9">
        <w:t>g vor allem mithilfe der neu entwickelten</w:t>
      </w:r>
      <w:r w:rsidR="00062BDD">
        <w:t xml:space="preserve"> </w:t>
      </w:r>
      <w:r w:rsidR="00041CF0">
        <w:t>Polyesteramid Polymere. Bei Verwendung handelsüblicher bioabbaubarer Polyester zur Formulierung der Partikel fiel</w:t>
      </w:r>
      <w:r w:rsidR="00B917C9">
        <w:t xml:space="preserve"> dieser Ef</w:t>
      </w:r>
      <w:r w:rsidR="00072586">
        <w:t>f</w:t>
      </w:r>
      <w:r w:rsidR="00B917C9">
        <w:t>ekt</w:t>
      </w:r>
      <w:r w:rsidR="00041CF0">
        <w:t xml:space="preserve"> </w:t>
      </w:r>
      <w:r w:rsidR="00B917C9">
        <w:t xml:space="preserve">geringer aus. Im Zuge der Herstellung der Formulierungen mit den neuen </w:t>
      </w:r>
      <w:r w:rsidR="00B917C9">
        <w:lastRenderedPageBreak/>
        <w:t>Polymeren</w:t>
      </w:r>
      <w:r w:rsidR="003C637E">
        <w:t xml:space="preserve"> f</w:t>
      </w:r>
      <w:r w:rsidR="00041CF0">
        <w:t xml:space="preserve">iel auf, dass bei Verwendung einer neuen Charge des gleichen Polymers </w:t>
      </w:r>
      <w:r w:rsidR="00B917C9">
        <w:t>häufig eine Anpassung der Methode nötig war. Eine wichtige Voraussetzung zur Standardisierung der</w:t>
      </w:r>
      <w:r w:rsidR="00041CF0">
        <w:t xml:space="preserve"> Herstellungsverfahren </w:t>
      </w:r>
      <w:r w:rsidR="00B917C9">
        <w:t>wäre die Sicherstellung einer weitg</w:t>
      </w:r>
      <w:r w:rsidR="00CE3CFC">
        <w:t>ehenden Chargengleichheit. Um di</w:t>
      </w:r>
      <w:r w:rsidR="005B4B5C">
        <w:t>es gewährleisten zu können, ist</w:t>
      </w:r>
      <w:r w:rsidR="00B917C9">
        <w:t xml:space="preserve"> </w:t>
      </w:r>
      <w:r w:rsidR="00521E50">
        <w:t xml:space="preserve">zunächst </w:t>
      </w:r>
      <w:r w:rsidR="00B917C9">
        <w:t>eine Optimier</w:t>
      </w:r>
      <w:r w:rsidR="00521E50">
        <w:t xml:space="preserve">ung der Polymersyntheseprozesse </w:t>
      </w:r>
      <w:r w:rsidR="00B917C9">
        <w:t>notwendig.</w:t>
      </w:r>
    </w:p>
    <w:p w14:paraId="2B4CB3BA" w14:textId="77777777" w:rsidR="0006270E" w:rsidRDefault="00521E50" w:rsidP="0006270E">
      <w:r>
        <w:t>Bislang wurde die Bioverfügbarkeit der Formulierungen lediglich an Mäusen getestet. Nac</w:t>
      </w:r>
      <w:r w:rsidR="00C74BB8">
        <w:t>hteilig hierbei ist allerdings</w:t>
      </w:r>
      <w:r>
        <w:t>, dass pro Tier die Plasmakonzentration lediglich zu einem Zeitpunkt bestimmt werden kann. Eine vollständige pharmakokinetische Charakterisierung</w:t>
      </w:r>
      <w:r w:rsidR="00F813BF">
        <w:t xml:space="preserve"> innerhalb eines Individuums war</w:t>
      </w:r>
      <w:r>
        <w:t xml:space="preserve"> somit nicht möglich. </w:t>
      </w:r>
      <w:r w:rsidR="003C637E">
        <w:t xml:space="preserve">Im Hinblick auf eine bessere Übertragbarkeit der Ergebnisse auf den menschlichen Organismus müssen die </w:t>
      </w:r>
      <w:r>
        <w:t>Bioverfügbarkeitsuntersuc</w:t>
      </w:r>
      <w:r w:rsidR="003C637E">
        <w:t>hungen mit größeren Tieren durchgeführt werden.</w:t>
      </w:r>
    </w:p>
    <w:p w14:paraId="3897BF83" w14:textId="77777777" w:rsidR="00521E50" w:rsidRDefault="008C0983" w:rsidP="0006270E">
      <w:r>
        <w:t>Bislang wurde lediglich die Zytotoxizität der Formulierungen und Polymere mit kultivierten Zellen getestet (</w:t>
      </w:r>
      <w:r w:rsidRPr="008C0983">
        <w:rPr>
          <w:i/>
        </w:rPr>
        <w:t>in vitro</w:t>
      </w:r>
      <w:r>
        <w:t xml:space="preserve">). </w:t>
      </w:r>
      <w:r w:rsidR="00FC060F">
        <w:t>Auch wenn in diesen Vortests keine toxischen Effekte zu beobachten waren, würde d</w:t>
      </w:r>
      <w:r w:rsidR="00F813BF">
        <w:t>ie</w:t>
      </w:r>
      <w:r w:rsidR="00CE3CFC">
        <w:t xml:space="preserve"> Testung</w:t>
      </w:r>
      <w:r>
        <w:t xml:space="preserve"> der neuen Polymere und Par</w:t>
      </w:r>
      <w:r w:rsidR="00F813BF">
        <w:t>tikel</w:t>
      </w:r>
      <w:r w:rsidR="00FC060F">
        <w:t>formulierungen am Menschen</w:t>
      </w:r>
      <w:r>
        <w:t xml:space="preserve"> zunächst eine umfassende toxikologische Unters</w:t>
      </w:r>
      <w:r w:rsidR="00F813BF">
        <w:t>uchung der Materialien voraussetzen</w:t>
      </w:r>
      <w:r>
        <w:t>.</w:t>
      </w:r>
    </w:p>
    <w:p w14:paraId="309ACF5F" w14:textId="77777777" w:rsidR="00072586" w:rsidRDefault="00CE3CFC" w:rsidP="0006270E">
      <w:r>
        <w:t>Zur weiteren Aufklärung des Me</w:t>
      </w:r>
      <w:r w:rsidR="003C637E">
        <w:t>chanismus der Bioverfügbarkeitsv</w:t>
      </w:r>
      <w:r>
        <w:t>erbesserung durch die Formulier</w:t>
      </w:r>
      <w:r w:rsidR="003C637E">
        <w:t>ung mit PEA Cystein muss</w:t>
      </w:r>
      <w:r>
        <w:t xml:space="preserve"> eine Untersuchung der Mukoadhä</w:t>
      </w:r>
      <w:r w:rsidR="00F813BF">
        <w:t>sivität und Mukuspenetration der</w:t>
      </w:r>
      <w:r>
        <w:t xml:space="preserve"> Partikel erfolgen.</w:t>
      </w:r>
    </w:p>
    <w:p w14:paraId="3E122DA1" w14:textId="77777777" w:rsidR="00072586" w:rsidRPr="008C0983" w:rsidRDefault="00072586" w:rsidP="0006270E">
      <w:r>
        <w:t>Konkrete Vorschläge, wie das semi-kontinuierliche Partikelherstellungsverfahren mittels RESS in einen vollkontinuierlichen</w:t>
      </w:r>
      <w:r w:rsidR="00D93C1B">
        <w:t xml:space="preserve"> Prozess überführt werden könnte, erfolgten</w:t>
      </w:r>
      <w:r>
        <w:t xml:space="preserve"> bereits an entsprechender</w:t>
      </w:r>
      <w:r w:rsidR="00D93C1B">
        <w:t xml:space="preserve"> Stelle in dieser Arbeit</w:t>
      </w:r>
      <w:r>
        <w:t>. Ob diese Vorschläge t</w:t>
      </w:r>
      <w:r w:rsidR="00D93C1B">
        <w:t>atsächlich zielführend sind</w:t>
      </w:r>
      <w:r w:rsidR="00EC4621">
        <w:t>, muss</w:t>
      </w:r>
      <w:r>
        <w:t xml:space="preserve"> durch weitere Versuche </w:t>
      </w:r>
      <w:r w:rsidR="00D93C1B">
        <w:t xml:space="preserve">nach einer entsprechenden Erweiterung der Versuchsanlage </w:t>
      </w:r>
      <w:r w:rsidR="00EC4621">
        <w:t>zunächst noch überprüft werden</w:t>
      </w:r>
      <w:r>
        <w:t>. Zudem sollten die Ver</w:t>
      </w:r>
      <w:r w:rsidR="00D93C1B">
        <w:t>kapselungsversuche von pharmazeu</w:t>
      </w:r>
      <w:r>
        <w:t xml:space="preserve">tischen Wirkstoffen </w:t>
      </w:r>
      <w:r w:rsidR="00EC4621">
        <w:t>mit solchen Subsanzen durchgeführt</w:t>
      </w:r>
      <w:r>
        <w:t xml:space="preserve"> werden, die eine hohe Löslichkeit im überkritischen Medium besitzen.</w:t>
      </w:r>
    </w:p>
    <w:p w14:paraId="5A6D4337" w14:textId="77777777" w:rsidR="00072586" w:rsidRDefault="00FC060F" w:rsidP="0006270E">
      <w:r>
        <w:t>In dieser Dissertation wurde besonderen Wert auf eine Übertragbarkeit</w:t>
      </w:r>
      <w:r w:rsidR="00F813BF">
        <w:t xml:space="preserve"> </w:t>
      </w:r>
      <w:r>
        <w:t xml:space="preserve">der Konzepte auf </w:t>
      </w:r>
      <w:r w:rsidR="00F813BF">
        <w:t>ander</w:t>
      </w:r>
      <w:r>
        <w:t>e Peptid- und Proteinwirkstoffe gelegt. Um dies zu bestätigen</w:t>
      </w:r>
      <w:r w:rsidR="00072586">
        <w:t>,</w:t>
      </w:r>
      <w:r w:rsidR="00C74BB8">
        <w:t xml:space="preserve"> müss</w:t>
      </w:r>
      <w:r w:rsidR="005B6F52">
        <w:t>en zunächst</w:t>
      </w:r>
      <w:r>
        <w:t xml:space="preserve"> weitere Versuche mit zusä</w:t>
      </w:r>
      <w:r w:rsidR="005B6F52">
        <w:t>tzlichen Wirkstoffen durchgeführt werden</w:t>
      </w:r>
      <w:r w:rsidR="00072586">
        <w:t>.</w:t>
      </w:r>
    </w:p>
    <w:p w14:paraId="2CB88AFE" w14:textId="77777777" w:rsidR="00DB37A2" w:rsidRDefault="00DB37A2" w:rsidP="00385618">
      <w:pPr>
        <w:pStyle w:val="berschrift2"/>
      </w:pPr>
      <w:r>
        <w:t xml:space="preserve">     </w:t>
      </w:r>
      <w:bookmarkStart w:id="342" w:name="_Toc294380301"/>
      <w:r>
        <w:t>Schlussbemerkung</w:t>
      </w:r>
      <w:bookmarkEnd w:id="342"/>
    </w:p>
    <w:p w14:paraId="3EB90F56" w14:textId="77777777" w:rsidR="00DB37A2" w:rsidRDefault="00DB37A2">
      <w:r>
        <w:t xml:space="preserve">Diese Arbeit wurde im Rahmen eines staatlich geförderten </w:t>
      </w:r>
      <w:r w:rsidR="005B6F52">
        <w:t>Verbund</w:t>
      </w:r>
      <w:r w:rsidR="00E10FA7">
        <w:t>projektes mit Partnern aus dem</w:t>
      </w:r>
      <w:r w:rsidR="00F534F9">
        <w:t xml:space="preserve"> universitären und</w:t>
      </w:r>
      <w:r w:rsidR="00303B4A">
        <w:t xml:space="preserve"> dem</w:t>
      </w:r>
      <w:r w:rsidR="00E10FA7">
        <w:t xml:space="preserve"> industriellen Sektor angefertigt. </w:t>
      </w:r>
      <w:r w:rsidR="00303B4A">
        <w:t>Dadurch</w:t>
      </w:r>
      <w:r w:rsidR="00E10FA7">
        <w:t xml:space="preserve"> wurde ein sehr inovatives und interdisziplinäres Arbeitsumfeld zur Diskussion de</w:t>
      </w:r>
      <w:r w:rsidR="00303B4A">
        <w:t>r Lösungsansätze</w:t>
      </w:r>
      <w:r w:rsidR="00E10FA7">
        <w:t xml:space="preserve"> und der </w:t>
      </w:r>
      <w:r w:rsidR="00E10FA7">
        <w:lastRenderedPageBreak/>
        <w:t>erzielten Ergebnisse geschaffen.</w:t>
      </w:r>
      <w:r w:rsidR="00303B4A">
        <w:t xml:space="preserve"> Fachleute aus diver</w:t>
      </w:r>
      <w:r w:rsidR="00FA1E57">
        <w:t>sen relevanten Disziplinen wurden</w:t>
      </w:r>
      <w:r w:rsidR="00303B4A">
        <w:t xml:space="preserve"> in allen Entwicklungsstufen beginnend bei der Synthese neuer Hilfsstoffe bis</w:t>
      </w:r>
      <w:r w:rsidR="005B6F52">
        <w:t xml:space="preserve"> hin</w:t>
      </w:r>
      <w:r w:rsidR="00303B4A">
        <w:t xml:space="preserve"> zur Charakterisierung fertiger Arzneiformulierungen im Tiermodell einbezogen. </w:t>
      </w:r>
      <w:r w:rsidR="00146DD9">
        <w:t>Somit konnte gewährleistet werden, dass alle wesentlichen Aspekte</w:t>
      </w:r>
      <w:r w:rsidR="001B5EA6">
        <w:t xml:space="preserve"> zu jedem Zeitpunkt</w:t>
      </w:r>
      <w:r w:rsidR="00146DD9">
        <w:t xml:space="preserve"> </w:t>
      </w:r>
      <w:r w:rsidR="005B6F52">
        <w:t>Berücksichtigung fa</w:t>
      </w:r>
      <w:r w:rsidR="00FA1E57">
        <w:t>nden.</w:t>
      </w:r>
    </w:p>
    <w:p w14:paraId="5C8E20A5" w14:textId="77777777" w:rsidR="00FA1E57" w:rsidRDefault="00F534F9" w:rsidP="00E10FA7">
      <w:r>
        <w:t>Dieses fruchtbare und interdisziplinäre Arbeitsumfeld hat in hohem Maße dazu beigetragen, dass die wesentlichen Ziele dieser Arbeit erreicht werden konnten.</w:t>
      </w:r>
    </w:p>
    <w:p w14:paraId="538741F1" w14:textId="77777777" w:rsidR="0006270E" w:rsidRDefault="00F534F9" w:rsidP="0006270E">
      <w:r>
        <w:t>Eine intensive Zusammenarbeit von Industrie und Forschungsinstituten</w:t>
      </w:r>
      <w:r w:rsidR="00E10FA7">
        <w:t xml:space="preserve"> </w:t>
      </w:r>
      <w:r>
        <w:t xml:space="preserve">sollte daher </w:t>
      </w:r>
      <w:r w:rsidR="00E10FA7">
        <w:t>mehr gefördert werden als es gegenwärtig der Fall ist. Bedingung für einen Erfolg ist, dass beide Partner, die Industrie und die Forschung, trotz teilweise konträrer Interessen mehr aufeinander zu gehen. Dabei ist es auch dringend an der Zeit, dass sich die Pharmaunternehmen mehr für innovative Forschungsansätze öffnen und sich stärker bei der Verfolgung neuer vielversprechender Konzepte engagieren.</w:t>
      </w:r>
    </w:p>
    <w:p w14:paraId="06F998E4" w14:textId="77777777" w:rsidR="005B6F52" w:rsidRDefault="005B6F52" w:rsidP="0006270E"/>
    <w:p w14:paraId="306B0A3E" w14:textId="77777777" w:rsidR="003375F3" w:rsidRDefault="003375F3" w:rsidP="0006270E"/>
    <w:p w14:paraId="1574B4D5" w14:textId="77777777" w:rsidR="00EA15A0" w:rsidRDefault="00EA15A0" w:rsidP="0006270E"/>
    <w:p w14:paraId="394A0DB8" w14:textId="77777777" w:rsidR="00EA15A0" w:rsidRDefault="00EA15A0" w:rsidP="0006270E"/>
    <w:p w14:paraId="68FD2A7A" w14:textId="77777777" w:rsidR="00EA15A0" w:rsidRDefault="00EA15A0" w:rsidP="0006270E"/>
    <w:p w14:paraId="535373F8" w14:textId="77777777" w:rsidR="007440F2" w:rsidRDefault="007440F2" w:rsidP="0006270E"/>
    <w:p w14:paraId="4394CF47" w14:textId="77777777" w:rsidR="007440F2" w:rsidRDefault="007440F2" w:rsidP="0006270E"/>
    <w:p w14:paraId="3EE0BCFF" w14:textId="77777777" w:rsidR="007440F2" w:rsidRDefault="007440F2" w:rsidP="0006270E"/>
    <w:p w14:paraId="4EBF532F" w14:textId="77777777" w:rsidR="007440F2" w:rsidRDefault="007440F2" w:rsidP="0006270E"/>
    <w:p w14:paraId="1CE71608" w14:textId="77777777" w:rsidR="007440F2" w:rsidRDefault="007440F2" w:rsidP="0006270E"/>
    <w:p w14:paraId="6844F038" w14:textId="77777777" w:rsidR="007440F2" w:rsidRDefault="007440F2" w:rsidP="0006270E"/>
    <w:p w14:paraId="37C080D7" w14:textId="77777777" w:rsidR="007440F2" w:rsidRDefault="007440F2" w:rsidP="0006270E"/>
    <w:p w14:paraId="6F1B928B" w14:textId="77777777" w:rsidR="007440F2" w:rsidRDefault="007440F2" w:rsidP="0006270E"/>
    <w:p w14:paraId="0FD1C18E" w14:textId="77777777" w:rsidR="00EA15A0" w:rsidRDefault="00EA15A0" w:rsidP="0006270E"/>
    <w:p w14:paraId="7CFB1D27" w14:textId="77777777" w:rsidR="00EA15A0" w:rsidRDefault="00EA15A0" w:rsidP="0006270E"/>
    <w:p w14:paraId="489A66B1" w14:textId="77777777" w:rsidR="00827C68" w:rsidRPr="00827C68" w:rsidRDefault="00252861" w:rsidP="00B90911">
      <w:pPr>
        <w:pStyle w:val="berschrift1"/>
      </w:pPr>
      <w:bookmarkStart w:id="343" w:name="_Toc294380302"/>
      <w:r w:rsidRPr="003B37C5">
        <w:lastRenderedPageBreak/>
        <w:t>Literaturverzeichnis</w:t>
      </w:r>
      <w:bookmarkEnd w:id="343"/>
    </w:p>
    <w:sectPr w:rsidR="00827C68" w:rsidRPr="00827C68" w:rsidSect="00241B2A">
      <w:headerReference w:type="default" r:id="rId118"/>
      <w:headerReference w:type="first" r:id="rId119"/>
      <w:endnotePr>
        <w:numFmt w:val="decimal"/>
      </w:endnotePr>
      <w:pgSz w:w="11906" w:h="16838"/>
      <w:pgMar w:top="1276" w:right="1417" w:bottom="1276" w:left="1417" w:header="708" w:footer="708"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3A7A8496" w14:textId="77777777" w:rsidR="00DD7FD7" w:rsidRDefault="00DD7FD7" w:rsidP="00831E75">
      <w:pPr>
        <w:spacing w:after="0" w:line="240" w:lineRule="auto"/>
      </w:pPr>
      <w:r>
        <w:separator/>
      </w:r>
    </w:p>
  </w:endnote>
  <w:endnote w:type="continuationSeparator" w:id="0">
    <w:p w14:paraId="0C9CF29E" w14:textId="77777777" w:rsidR="00DD7FD7" w:rsidRDefault="00DD7FD7" w:rsidP="00831E75">
      <w:pPr>
        <w:spacing w:after="0" w:line="240" w:lineRule="auto"/>
      </w:pPr>
      <w:r>
        <w:continuationSeparator/>
      </w:r>
    </w:p>
  </w:endnote>
  <w:endnote w:id="1">
    <w:p w14:paraId="1DEA13D9" w14:textId="77777777" w:rsidR="00DD7FD7" w:rsidRDefault="00DD7FD7">
      <w:pPr>
        <w:pStyle w:val="Endnotentext"/>
      </w:pPr>
      <w:r>
        <w:rPr>
          <w:rStyle w:val="Endnotenzeichen"/>
        </w:rPr>
        <w:endnoteRef/>
      </w:r>
      <w:r>
        <w:t xml:space="preserve"> Bundesministerium für Bildung und Forschung (BMBF), „nano.DE-Report 2013 – Status quo der Nanotechnologie in Deutschland“, 05/2014.</w:t>
      </w:r>
    </w:p>
  </w:endnote>
  <w:endnote w:id="2">
    <w:p w14:paraId="38083317" w14:textId="77777777" w:rsidR="00DD7FD7" w:rsidRDefault="00DD7FD7" w:rsidP="005A1762">
      <w:pPr>
        <w:pStyle w:val="Endnotentext"/>
      </w:pPr>
      <w:r>
        <w:rPr>
          <w:rStyle w:val="Endnotenzeichen"/>
        </w:rPr>
        <w:endnoteRef/>
      </w:r>
      <w:r>
        <w:t xml:space="preserve"> G.-F. Böl, A. Epp, R. Hertel (Hrsg.), „Wahrnehmung der Nanotechnologie in internetgestützten Diskussionen - Ergebnisse einer Onlinediskursanalyse zu Risiken und Chancen von Nanotechnologie und Nanoprodukten“, Bundesinstitut für Risikobewertung Berlin,</w:t>
      </w:r>
      <w:r w:rsidRPr="005A1762">
        <w:t xml:space="preserve"> ISBN 3-938163-57-7</w:t>
      </w:r>
      <w:r>
        <w:t xml:space="preserve">, </w:t>
      </w:r>
      <w:r w:rsidRPr="005A1762">
        <w:rPr>
          <w:i/>
        </w:rPr>
        <w:t>BfR-Wissenschaft</w:t>
      </w:r>
      <w:r>
        <w:t xml:space="preserve"> 04, 2010.</w:t>
      </w:r>
    </w:p>
  </w:endnote>
  <w:endnote w:id="3">
    <w:p w14:paraId="2D9CC93B" w14:textId="77777777" w:rsidR="00DD7FD7" w:rsidRDefault="00DD7FD7" w:rsidP="0055782D">
      <w:pPr>
        <w:pStyle w:val="Endnotentext"/>
      </w:pPr>
      <w:r>
        <w:rPr>
          <w:rStyle w:val="Endnotenzeichen"/>
        </w:rPr>
        <w:endnoteRef/>
      </w:r>
      <w:r>
        <w:t xml:space="preserve"> R. Zimmer, R. Hertel, G.-F. Böl (Hrsg.), „Wahrnehmung der Nanotechnologie in der</w:t>
      </w:r>
    </w:p>
    <w:p w14:paraId="72E0A809" w14:textId="77777777" w:rsidR="00DD7FD7" w:rsidRPr="0055782D" w:rsidRDefault="00DD7FD7" w:rsidP="0055782D">
      <w:pPr>
        <w:pStyle w:val="Endnotentext"/>
      </w:pPr>
      <w:r>
        <w:t xml:space="preserve">Bevölkerung - Repräsentativerhebung und morphologisch-psychologische Grundlagenstudie“, Bundesinstitut für Risikobewertung Berlin, </w:t>
      </w:r>
      <w:r>
        <w:rPr>
          <w:rFonts w:eastAsia="Times New Roman" w:cs="Times New Roman"/>
        </w:rPr>
        <w:t xml:space="preserve">ISBN 3-938163-35-6, </w:t>
      </w:r>
      <w:r>
        <w:rPr>
          <w:rFonts w:eastAsia="Times New Roman" w:cs="Times New Roman"/>
          <w:i/>
        </w:rPr>
        <w:t>BfR-Wissenschaft</w:t>
      </w:r>
      <w:r>
        <w:rPr>
          <w:rFonts w:eastAsia="Times New Roman" w:cs="Times New Roman"/>
        </w:rPr>
        <w:t xml:space="preserve"> 05, 2008.</w:t>
      </w:r>
    </w:p>
  </w:endnote>
  <w:endnote w:id="4">
    <w:p w14:paraId="2F9B45AD" w14:textId="77777777" w:rsidR="00DD7FD7" w:rsidRPr="00DB0243" w:rsidRDefault="00DD7FD7">
      <w:pPr>
        <w:pStyle w:val="Endnotentext"/>
        <w:rPr>
          <w:lang w:val="en-US"/>
        </w:rPr>
      </w:pPr>
      <w:r>
        <w:rPr>
          <w:rStyle w:val="Endnotenzeichen"/>
        </w:rPr>
        <w:endnoteRef/>
      </w:r>
      <w:r w:rsidRPr="00DB0243">
        <w:rPr>
          <w:lang w:val="en-US"/>
        </w:rPr>
        <w:t xml:space="preserve"> C. Adessi, C. Sotto, „Converting a peptide into a drug: Strategies to improve stability and bioavailability“, </w:t>
      </w:r>
      <w:r w:rsidRPr="00DB0243">
        <w:rPr>
          <w:i/>
          <w:lang w:val="en-US"/>
        </w:rPr>
        <w:t>Curr Med Chem.</w:t>
      </w:r>
      <w:r w:rsidRPr="00DB0243">
        <w:rPr>
          <w:lang w:val="en-US"/>
        </w:rPr>
        <w:t xml:space="preserve"> 9: 963–978, 2002.</w:t>
      </w:r>
    </w:p>
  </w:endnote>
  <w:endnote w:id="5">
    <w:p w14:paraId="72CCC09B" w14:textId="77777777" w:rsidR="00DD7FD7" w:rsidRPr="00726FEB" w:rsidRDefault="00DD7FD7">
      <w:pPr>
        <w:pStyle w:val="Endnotentext"/>
        <w:rPr>
          <w:lang w:val="en-US"/>
        </w:rPr>
      </w:pPr>
      <w:r>
        <w:rPr>
          <w:rStyle w:val="Endnotenzeichen"/>
        </w:rPr>
        <w:endnoteRef/>
      </w:r>
      <w:r w:rsidRPr="00726FEB">
        <w:rPr>
          <w:lang w:val="en-US"/>
        </w:rPr>
        <w:t xml:space="preserve"> C. Johnson-Leger, C. A. Power, G. Shomade, J. P. Shaw, E. I. Proudfood, „Protein therapeutics – lessons learned and a view of the future.“, </w:t>
      </w:r>
      <w:r w:rsidRPr="00472C1E">
        <w:rPr>
          <w:i/>
          <w:lang w:val="en-US"/>
        </w:rPr>
        <w:t>Exp. Opin. Biol. Ther.</w:t>
      </w:r>
      <w:r w:rsidRPr="00726FEB">
        <w:rPr>
          <w:lang w:val="en-US"/>
        </w:rPr>
        <w:t xml:space="preserve"> 6(1)</w:t>
      </w:r>
      <w:r>
        <w:rPr>
          <w:lang w:val="en-US"/>
        </w:rPr>
        <w:t>:</w:t>
      </w:r>
      <w:r w:rsidRPr="00726FEB">
        <w:rPr>
          <w:lang w:val="en-US"/>
        </w:rPr>
        <w:t xml:space="preserve"> 1-7, 2006</w:t>
      </w:r>
      <w:r>
        <w:rPr>
          <w:lang w:val="en-US"/>
        </w:rPr>
        <w:t>.</w:t>
      </w:r>
    </w:p>
  </w:endnote>
  <w:endnote w:id="6">
    <w:p w14:paraId="3405F471" w14:textId="77777777" w:rsidR="00DD7FD7" w:rsidRPr="00726FEB" w:rsidRDefault="00DD7FD7">
      <w:pPr>
        <w:pStyle w:val="Endnotentext"/>
        <w:rPr>
          <w:lang w:val="en-US"/>
        </w:rPr>
      </w:pPr>
      <w:r>
        <w:rPr>
          <w:rStyle w:val="Endnotenzeichen"/>
        </w:rPr>
        <w:endnoteRef/>
      </w:r>
      <w:r w:rsidRPr="00726FEB">
        <w:rPr>
          <w:lang w:val="en-US"/>
        </w:rPr>
        <w:t xml:space="preserve"> J. Reichert, „Development trends for peptide therapeutics: a comprehensive quantitative analysis of peptide therapeutics in clinical development.“, </w:t>
      </w:r>
      <w:r w:rsidRPr="00472C1E">
        <w:rPr>
          <w:i/>
          <w:lang w:val="en-US"/>
        </w:rPr>
        <w:t>Peptide Therapeutics Foundation</w:t>
      </w:r>
      <w:r w:rsidRPr="00726FEB">
        <w:rPr>
          <w:lang w:val="en-US"/>
        </w:rPr>
        <w:t>, Macmillan Publishers, London, UK, 2010.</w:t>
      </w:r>
    </w:p>
  </w:endnote>
  <w:endnote w:id="7">
    <w:p w14:paraId="637F6FE3" w14:textId="77777777" w:rsidR="00DD7FD7" w:rsidRPr="00726FEB" w:rsidRDefault="00DD7FD7">
      <w:pPr>
        <w:pStyle w:val="Endnotentext"/>
        <w:rPr>
          <w:lang w:val="en-US"/>
        </w:rPr>
      </w:pPr>
      <w:r>
        <w:rPr>
          <w:rStyle w:val="Endnotenzeichen"/>
        </w:rPr>
        <w:endnoteRef/>
      </w:r>
      <w:r w:rsidRPr="00726FEB">
        <w:rPr>
          <w:lang w:val="en-US"/>
        </w:rPr>
        <w:t xml:space="preserve"> A. Kaspar, J. Reichert, „Future directions for peptide therapeutics development“, </w:t>
      </w:r>
      <w:r w:rsidRPr="00DA22B9">
        <w:rPr>
          <w:i/>
          <w:lang w:val="en-US"/>
        </w:rPr>
        <w:t>Drug Discovery Today</w:t>
      </w:r>
      <w:r>
        <w:rPr>
          <w:lang w:val="en-US"/>
        </w:rPr>
        <w:t xml:space="preserve"> 18(17-18):</w:t>
      </w:r>
      <w:r w:rsidRPr="00726FEB">
        <w:rPr>
          <w:lang w:val="en-US"/>
        </w:rPr>
        <w:t xml:space="preserve"> 807-817, 2013.</w:t>
      </w:r>
    </w:p>
  </w:endnote>
  <w:endnote w:id="8">
    <w:p w14:paraId="2AF43354" w14:textId="77777777" w:rsidR="00DD7FD7" w:rsidRPr="00DB0243" w:rsidRDefault="00DD7FD7">
      <w:pPr>
        <w:pStyle w:val="Endnotentext"/>
        <w:rPr>
          <w:lang w:val="en-US"/>
        </w:rPr>
      </w:pPr>
      <w:r>
        <w:rPr>
          <w:rStyle w:val="Endnotenzeichen"/>
        </w:rPr>
        <w:endnoteRef/>
      </w:r>
      <w:r w:rsidRPr="00DB0243">
        <w:rPr>
          <w:lang w:val="en-US"/>
        </w:rPr>
        <w:t xml:space="preserve"> Rote Liste 2014, Rote Liste Service GmbH, Auflage 1, April 2014.</w:t>
      </w:r>
    </w:p>
  </w:endnote>
  <w:endnote w:id="9">
    <w:p w14:paraId="7561EB83" w14:textId="77777777" w:rsidR="00DD7FD7" w:rsidRPr="00726FEB" w:rsidRDefault="00DD7FD7">
      <w:pPr>
        <w:pStyle w:val="Endnotentext"/>
        <w:rPr>
          <w:lang w:val="en-US"/>
        </w:rPr>
      </w:pPr>
      <w:r>
        <w:rPr>
          <w:rStyle w:val="Endnotenzeichen"/>
        </w:rPr>
        <w:endnoteRef/>
      </w:r>
      <w:r w:rsidRPr="00726FEB">
        <w:rPr>
          <w:lang w:val="en-US"/>
        </w:rPr>
        <w:t xml:space="preserve"> D. Crommelin, E. van Winden, A. Mekking, „Delivery of pharmaceutical proteins“, M. E. Aulton (Ed.), </w:t>
      </w:r>
      <w:r w:rsidRPr="00DA22B9">
        <w:rPr>
          <w:i/>
          <w:lang w:val="en-US"/>
        </w:rPr>
        <w:t>Pharmaceutics: The Science of Dosage Form Design</w:t>
      </w:r>
      <w:r w:rsidRPr="00726FEB">
        <w:rPr>
          <w:lang w:val="en-US"/>
        </w:rPr>
        <w:t>, Churchill Livingstone, Edinburgh, UK, 544-553, 2002.</w:t>
      </w:r>
    </w:p>
  </w:endnote>
  <w:endnote w:id="10">
    <w:p w14:paraId="4895042A" w14:textId="77777777" w:rsidR="00DD7FD7" w:rsidRPr="00DB0243" w:rsidRDefault="00DD7FD7">
      <w:pPr>
        <w:pStyle w:val="Endnotentext"/>
        <w:rPr>
          <w:lang w:val="en-US"/>
        </w:rPr>
      </w:pPr>
      <w:r>
        <w:rPr>
          <w:rStyle w:val="Endnotenzeichen"/>
        </w:rPr>
        <w:endnoteRef/>
      </w:r>
      <w:r w:rsidRPr="00DB0243">
        <w:rPr>
          <w:lang w:val="en-US"/>
        </w:rPr>
        <w:t xml:space="preserve"> Fachinformation Minirin</w:t>
      </w:r>
      <w:r w:rsidRPr="00DB0243">
        <w:rPr>
          <w:vertAlign w:val="superscript"/>
          <w:lang w:val="en-US"/>
        </w:rPr>
        <w:t>®</w:t>
      </w:r>
      <w:r w:rsidRPr="00DB0243">
        <w:rPr>
          <w:lang w:val="en-US"/>
        </w:rPr>
        <w:t xml:space="preserve"> 0,2 mg Tabletten, Ferring GmbH, Stand: Januar 2013</w:t>
      </w:r>
    </w:p>
  </w:endnote>
  <w:endnote w:id="11">
    <w:p w14:paraId="17CD979A" w14:textId="77777777" w:rsidR="00DD7FD7" w:rsidRPr="00DB0243" w:rsidRDefault="00DD7FD7">
      <w:pPr>
        <w:pStyle w:val="Endnotentext"/>
        <w:rPr>
          <w:lang w:val="en-US"/>
        </w:rPr>
      </w:pPr>
      <w:r>
        <w:rPr>
          <w:rStyle w:val="Endnotenzeichen"/>
        </w:rPr>
        <w:endnoteRef/>
      </w:r>
      <w:r w:rsidRPr="00DB0243">
        <w:rPr>
          <w:lang w:val="en-US"/>
        </w:rPr>
        <w:t xml:space="preserve"> J.A. Fix, „Oral controlled release technology for peptides: Status and future prospects“, </w:t>
      </w:r>
      <w:r w:rsidRPr="00DB0243">
        <w:rPr>
          <w:i/>
          <w:lang w:val="en-US"/>
        </w:rPr>
        <w:t xml:space="preserve">Pharm Res. </w:t>
      </w:r>
      <w:r w:rsidRPr="00DB0243">
        <w:rPr>
          <w:lang w:val="en-US"/>
        </w:rPr>
        <w:t>13: 1760–64, 1996.</w:t>
      </w:r>
    </w:p>
  </w:endnote>
  <w:endnote w:id="12">
    <w:p w14:paraId="453DA857" w14:textId="77777777" w:rsidR="00DD7FD7" w:rsidRDefault="00DD7FD7">
      <w:pPr>
        <w:pStyle w:val="Endnotentext"/>
      </w:pPr>
      <w:r>
        <w:rPr>
          <w:rStyle w:val="Endnotenzeichen"/>
        </w:rPr>
        <w:endnoteRef/>
      </w:r>
      <w:r>
        <w:t xml:space="preserve"> </w:t>
      </w:r>
      <w:r w:rsidRPr="00C70EDE">
        <w:t>Renate Lüllmann-Rauch</w:t>
      </w:r>
      <w:r>
        <w:t>,</w:t>
      </w:r>
      <w:r w:rsidRPr="00C70EDE">
        <w:t xml:space="preserve"> </w:t>
      </w:r>
      <w:r w:rsidRPr="00472C1E">
        <w:rPr>
          <w:i/>
        </w:rPr>
        <w:t>Taschenlehrbuch Histologie</w:t>
      </w:r>
      <w:r w:rsidRPr="00C70EDE">
        <w:t>. Ge</w:t>
      </w:r>
      <w:r>
        <w:t>org Thieme Verlag, 2. Aufl.</w:t>
      </w:r>
      <w:r w:rsidRPr="00C70EDE">
        <w:t>, ISBN 978-3-13-129242-1, S. 375</w:t>
      </w:r>
      <w:r>
        <w:t>, 2006.</w:t>
      </w:r>
    </w:p>
  </w:endnote>
  <w:endnote w:id="13">
    <w:p w14:paraId="696FF0B0" w14:textId="77777777" w:rsidR="00DD7FD7" w:rsidRDefault="00DD7FD7">
      <w:pPr>
        <w:pStyle w:val="Endnotentext"/>
      </w:pPr>
      <w:r>
        <w:rPr>
          <w:rStyle w:val="Endnotenzeichen"/>
        </w:rPr>
        <w:endnoteRef/>
      </w:r>
      <w:r>
        <w:t xml:space="preserve"> H. Hinghofer-Szalkay, „Eine Reise durch die Physiologie – Ernährung und Verdauungssystem – Physiologie der Absorptionsprozesse“, Online,                               Available at: http://user.medunigraz.at/helmut.hinghofer-szalkay/IV.8.htm                    Accessed on 21 February 2015.</w:t>
      </w:r>
    </w:p>
  </w:endnote>
  <w:endnote w:id="14">
    <w:p w14:paraId="06717D09" w14:textId="77777777" w:rsidR="00DD7FD7" w:rsidRPr="00DB0243" w:rsidRDefault="00DD7FD7">
      <w:pPr>
        <w:pStyle w:val="Endnotentext"/>
        <w:rPr>
          <w:lang w:val="en-US"/>
        </w:rPr>
      </w:pPr>
      <w:r>
        <w:rPr>
          <w:rStyle w:val="Endnotenzeichen"/>
        </w:rPr>
        <w:endnoteRef/>
      </w:r>
      <w:r w:rsidRPr="00DB0243">
        <w:rPr>
          <w:lang w:val="en-US"/>
        </w:rPr>
        <w:t xml:space="preserve"> H. Shima, T. Watanabe, S. Fukuda, S. Fukuoka, O. Ohara, H. Ohno, „A novel mucosal vaccine targeting Peyer's patch M cells induces protective antigen-specific IgA responses.“, </w:t>
      </w:r>
      <w:r w:rsidRPr="00DB0243">
        <w:rPr>
          <w:i/>
          <w:lang w:val="en-US"/>
        </w:rPr>
        <w:t>Int Immunol.</w:t>
      </w:r>
      <w:r w:rsidRPr="00DB0243">
        <w:rPr>
          <w:lang w:val="en-US"/>
        </w:rPr>
        <w:t xml:space="preserve"> 26(11): 619-25, 2014.</w:t>
      </w:r>
    </w:p>
  </w:endnote>
  <w:endnote w:id="15">
    <w:p w14:paraId="4AD687BA" w14:textId="77777777" w:rsidR="00DD7FD7" w:rsidRPr="00DB0243" w:rsidRDefault="00DD7FD7">
      <w:pPr>
        <w:pStyle w:val="Endnotentext"/>
        <w:rPr>
          <w:lang w:val="en-US"/>
        </w:rPr>
      </w:pPr>
      <w:r>
        <w:rPr>
          <w:rStyle w:val="Endnotenzeichen"/>
        </w:rPr>
        <w:endnoteRef/>
      </w:r>
      <w:r w:rsidRPr="00DB0243">
        <w:rPr>
          <w:lang w:val="en-US"/>
        </w:rPr>
        <w:t xml:space="preserve"> J. Fallingborg, L. A. Christensen, M. Ingeman-Nielsen, B. A. Jacobsen, K. Abildgaard, H. H. Rasmussen, „pH-profile and regional transit times of the normal gutmeasured by a radiotelemetry device“, </w:t>
      </w:r>
      <w:r w:rsidRPr="00DB0243">
        <w:rPr>
          <w:i/>
          <w:lang w:val="en-US"/>
        </w:rPr>
        <w:t>Aliment Pharmacol Ther.</w:t>
      </w:r>
      <w:r w:rsidRPr="00DB0243">
        <w:rPr>
          <w:lang w:val="en-US"/>
        </w:rPr>
        <w:t xml:space="preserve"> 3(6): 605-613, 1989.</w:t>
      </w:r>
    </w:p>
  </w:endnote>
  <w:endnote w:id="16">
    <w:p w14:paraId="2321D306" w14:textId="77777777" w:rsidR="00DD7FD7" w:rsidRPr="00DB0243" w:rsidRDefault="00DD7FD7">
      <w:pPr>
        <w:pStyle w:val="Endnotentext"/>
        <w:rPr>
          <w:lang w:val="en-US"/>
        </w:rPr>
      </w:pPr>
      <w:r>
        <w:rPr>
          <w:rStyle w:val="Endnotenzeichen"/>
        </w:rPr>
        <w:endnoteRef/>
      </w:r>
      <w:r w:rsidRPr="00DB0243">
        <w:rPr>
          <w:lang w:val="en-US"/>
        </w:rPr>
        <w:t xml:space="preserve"> J. B. Dressman, et al., „Upper gastrointestinal (GI) pH in young, healthy men and women.“, </w:t>
      </w:r>
      <w:r w:rsidRPr="00DB0243">
        <w:rPr>
          <w:i/>
          <w:lang w:val="en-US"/>
        </w:rPr>
        <w:t xml:space="preserve">Pharm. Res. </w:t>
      </w:r>
      <w:r w:rsidRPr="00DB0243">
        <w:rPr>
          <w:lang w:val="en-US"/>
        </w:rPr>
        <w:t>7(7): 756-761, 1990.</w:t>
      </w:r>
    </w:p>
  </w:endnote>
  <w:endnote w:id="17">
    <w:p w14:paraId="63A94899" w14:textId="77777777" w:rsidR="00DD7FD7" w:rsidRPr="00B84F34" w:rsidRDefault="00DD7FD7">
      <w:pPr>
        <w:pStyle w:val="Endnotentext"/>
        <w:rPr>
          <w:lang w:val="en-US"/>
        </w:rPr>
      </w:pPr>
      <w:r>
        <w:rPr>
          <w:rStyle w:val="Endnotenzeichen"/>
        </w:rPr>
        <w:endnoteRef/>
      </w:r>
      <w:r>
        <w:rPr>
          <w:lang w:val="en-US"/>
        </w:rPr>
        <w:t xml:space="preserve"> P. Macheras, C. Reppas, J. </w:t>
      </w:r>
      <w:r w:rsidRPr="00B84F34">
        <w:rPr>
          <w:lang w:val="en-US"/>
        </w:rPr>
        <w:t xml:space="preserve">B. Dressman, „Biopharmaceutics of </w:t>
      </w:r>
      <w:r>
        <w:rPr>
          <w:lang w:val="en-US"/>
        </w:rPr>
        <w:t>orally administered drugs“, ISBN</w:t>
      </w:r>
      <w:r w:rsidRPr="00B84F34">
        <w:rPr>
          <w:lang w:val="en-US"/>
        </w:rPr>
        <w:t xml:space="preserve"> 0-13-108093, Ellis Horwood</w:t>
      </w:r>
      <w:r>
        <w:rPr>
          <w:lang w:val="en-US"/>
        </w:rPr>
        <w:t>, Series in Pharmaceutical Technology</w:t>
      </w:r>
      <w:r w:rsidRPr="00B84F34">
        <w:rPr>
          <w:lang w:val="en-US"/>
        </w:rPr>
        <w:t>, London, 1995.</w:t>
      </w:r>
    </w:p>
  </w:endnote>
  <w:endnote w:id="18">
    <w:p w14:paraId="7052F0FE" w14:textId="77777777" w:rsidR="00DD7FD7" w:rsidRPr="00B84F34" w:rsidRDefault="00DD7FD7" w:rsidP="007F58FE">
      <w:pPr>
        <w:pStyle w:val="Endnotentext"/>
        <w:rPr>
          <w:lang w:val="en-US"/>
        </w:rPr>
      </w:pPr>
      <w:r>
        <w:rPr>
          <w:rStyle w:val="Endnotenzeichen"/>
        </w:rPr>
        <w:endnoteRef/>
      </w:r>
      <w:r w:rsidRPr="00B84F34">
        <w:rPr>
          <w:lang w:val="en-US"/>
        </w:rPr>
        <w:t xml:space="preserve"> S. Klein, M. Wunderlich, E. Stippler, J.</w:t>
      </w:r>
      <w:r>
        <w:rPr>
          <w:lang w:val="en-US"/>
        </w:rPr>
        <w:t xml:space="preserve"> B.</w:t>
      </w:r>
      <w:r w:rsidRPr="00B84F34">
        <w:rPr>
          <w:lang w:val="en-US"/>
        </w:rPr>
        <w:t xml:space="preserve"> Dressman, „Development of Dissolution Tests on the Basis of Gastrointestinal Physiology“, Pharmaceutical Dissolution Testing, Taylor and Francis Group , LLC, Boca Raton, 2005.</w:t>
      </w:r>
    </w:p>
  </w:endnote>
  <w:endnote w:id="19">
    <w:p w14:paraId="38F43131" w14:textId="77777777" w:rsidR="00DD7FD7" w:rsidRDefault="00DD7FD7">
      <w:pPr>
        <w:pStyle w:val="Endnotentext"/>
        <w:rPr>
          <w:lang w:val="en-US"/>
        </w:rPr>
      </w:pPr>
      <w:r>
        <w:rPr>
          <w:rStyle w:val="Endnotenzeichen"/>
        </w:rPr>
        <w:endnoteRef/>
      </w:r>
      <w:r w:rsidRPr="00612975">
        <w:rPr>
          <w:lang w:val="en-US"/>
        </w:rPr>
        <w:t xml:space="preserve"> P. Langguth, V. Bohner, J. Heizmann, H.</w:t>
      </w:r>
      <w:r>
        <w:rPr>
          <w:lang w:val="en-US"/>
        </w:rPr>
        <w:t xml:space="preserve"> </w:t>
      </w:r>
      <w:r w:rsidRPr="00612975">
        <w:rPr>
          <w:lang w:val="en-US"/>
        </w:rPr>
        <w:t>P. Merkle, S. Wolffram, G.</w:t>
      </w:r>
      <w:r>
        <w:rPr>
          <w:lang w:val="en-US"/>
        </w:rPr>
        <w:t xml:space="preserve"> </w:t>
      </w:r>
      <w:r w:rsidRPr="00612975">
        <w:rPr>
          <w:lang w:val="en-US"/>
        </w:rPr>
        <w:t xml:space="preserve">L. Amidon, S. Yamashita, “The challenge of proteolytic enzymes in intestinal peptide delivery” </w:t>
      </w:r>
      <w:r w:rsidRPr="00DA22B9">
        <w:rPr>
          <w:i/>
          <w:lang w:val="en-US"/>
        </w:rPr>
        <w:t>Journal of Controlled Release</w:t>
      </w:r>
      <w:r w:rsidRPr="00612975">
        <w:rPr>
          <w:lang w:val="en-US"/>
        </w:rPr>
        <w:t xml:space="preserve"> 46</w:t>
      </w:r>
      <w:r>
        <w:rPr>
          <w:lang w:val="en-US"/>
        </w:rPr>
        <w:t>:</w:t>
      </w:r>
      <w:r w:rsidRPr="00612975">
        <w:rPr>
          <w:lang w:val="en-US"/>
        </w:rPr>
        <w:t xml:space="preserve"> 39-57, 1997</w:t>
      </w:r>
      <w:r>
        <w:rPr>
          <w:lang w:val="en-US"/>
        </w:rPr>
        <w:t>.</w:t>
      </w:r>
    </w:p>
    <w:p w14:paraId="0B0FF474" w14:textId="77777777" w:rsidR="00DD7FD7" w:rsidRPr="00612975" w:rsidRDefault="00DD7FD7">
      <w:pPr>
        <w:pStyle w:val="Endnotentext"/>
        <w:rPr>
          <w:lang w:val="en-US"/>
        </w:rPr>
      </w:pPr>
    </w:p>
  </w:endnote>
  <w:endnote w:id="20">
    <w:p w14:paraId="7E21BCD6" w14:textId="77777777" w:rsidR="00DD7FD7" w:rsidRPr="00612975" w:rsidRDefault="00DD7FD7">
      <w:pPr>
        <w:pStyle w:val="Endnotentext"/>
        <w:rPr>
          <w:lang w:val="en-US"/>
        </w:rPr>
      </w:pPr>
      <w:r>
        <w:rPr>
          <w:rStyle w:val="Endnotenzeichen"/>
        </w:rPr>
        <w:endnoteRef/>
      </w:r>
      <w:r w:rsidRPr="00612975">
        <w:rPr>
          <w:lang w:val="en-US"/>
        </w:rPr>
        <w:t xml:space="preserve"> G. L.</w:t>
      </w:r>
      <w:r>
        <w:rPr>
          <w:lang w:val="en-US"/>
        </w:rPr>
        <w:t xml:space="preserve"> Amidon (ed.), P. I. Lee, E. M. Topp </w:t>
      </w:r>
      <w:r w:rsidRPr="0041112C">
        <w:rPr>
          <w:lang w:val="en-US"/>
        </w:rPr>
        <w:t>„</w:t>
      </w:r>
      <w:r w:rsidRPr="00612975">
        <w:rPr>
          <w:lang w:val="en-US"/>
        </w:rPr>
        <w:t>Transport Processes in Pharmaceutical Systems”</w:t>
      </w:r>
      <w:r>
        <w:rPr>
          <w:lang w:val="en-US"/>
        </w:rPr>
        <w:t>, Marcel Dekker, ISBN: 0-8247-6610-5,</w:t>
      </w:r>
      <w:r w:rsidRPr="00612975">
        <w:rPr>
          <w:lang w:val="en-US"/>
        </w:rPr>
        <w:t xml:space="preserve"> </w:t>
      </w:r>
      <w:r w:rsidRPr="00DA22B9">
        <w:rPr>
          <w:i/>
          <w:lang w:val="en-US"/>
        </w:rPr>
        <w:t>Drugs and the pharmaceutical sciences</w:t>
      </w:r>
      <w:r>
        <w:rPr>
          <w:lang w:val="en-US"/>
        </w:rPr>
        <w:t xml:space="preserve"> </w:t>
      </w:r>
      <w:r w:rsidRPr="00612975">
        <w:rPr>
          <w:lang w:val="en-US"/>
        </w:rPr>
        <w:t>102, 2000.</w:t>
      </w:r>
    </w:p>
  </w:endnote>
  <w:endnote w:id="21">
    <w:p w14:paraId="6F564E82" w14:textId="77777777" w:rsidR="00DD7FD7" w:rsidRPr="00032AD6" w:rsidRDefault="00DD7FD7">
      <w:pPr>
        <w:pStyle w:val="Endnotentext"/>
        <w:rPr>
          <w:lang w:val="en-US"/>
        </w:rPr>
      </w:pPr>
      <w:r>
        <w:rPr>
          <w:rStyle w:val="Endnotenzeichen"/>
        </w:rPr>
        <w:endnoteRef/>
      </w:r>
      <w:r>
        <w:rPr>
          <w:lang w:val="en-US"/>
        </w:rPr>
        <w:t xml:space="preserve"> K.M.A.</w:t>
      </w:r>
      <w:r w:rsidRPr="00612975">
        <w:rPr>
          <w:lang w:val="en-US"/>
        </w:rPr>
        <w:t xml:space="preserve">J. Tytgat et al., „Muc2 is the prominent secretory mucin in ulcerative colitis.“, </w:t>
      </w:r>
      <w:r w:rsidRPr="00DA22B9">
        <w:rPr>
          <w:i/>
          <w:lang w:val="en-US"/>
        </w:rPr>
        <w:t>Netherl. J. Med.</w:t>
      </w:r>
      <w:r w:rsidRPr="00032AD6">
        <w:rPr>
          <w:lang w:val="en-US"/>
        </w:rPr>
        <w:t xml:space="preserve"> 47</w:t>
      </w:r>
      <w:r>
        <w:rPr>
          <w:lang w:val="en-US"/>
        </w:rPr>
        <w:t xml:space="preserve">(2): </w:t>
      </w:r>
      <w:r w:rsidRPr="00032AD6">
        <w:rPr>
          <w:lang w:val="en-US"/>
        </w:rPr>
        <w:t>41, 1995.</w:t>
      </w:r>
    </w:p>
  </w:endnote>
  <w:endnote w:id="22">
    <w:p w14:paraId="5D0EB94D" w14:textId="77777777" w:rsidR="00DD7FD7" w:rsidRPr="00612975" w:rsidRDefault="00DD7FD7">
      <w:pPr>
        <w:pStyle w:val="Endnotentext"/>
        <w:rPr>
          <w:lang w:val="en-US"/>
        </w:rPr>
      </w:pPr>
      <w:r>
        <w:rPr>
          <w:rStyle w:val="Endnotenzeichen"/>
        </w:rPr>
        <w:endnoteRef/>
      </w:r>
      <w:r w:rsidRPr="00612975">
        <w:rPr>
          <w:lang w:val="en-US"/>
        </w:rPr>
        <w:t xml:space="preserve"> A. Bernkop-Schnürch, “The use of inhibitory agents to overcome the enzymatic barrier to perorally administered therapeutic peptides and proteins”, </w:t>
      </w:r>
      <w:r>
        <w:rPr>
          <w:i/>
          <w:lang w:val="en-US"/>
        </w:rPr>
        <w:t>Journal</w:t>
      </w:r>
      <w:r w:rsidRPr="00DA22B9">
        <w:rPr>
          <w:i/>
          <w:lang w:val="en-US"/>
        </w:rPr>
        <w:t xml:space="preserve"> of Controlled Release</w:t>
      </w:r>
      <w:r>
        <w:rPr>
          <w:lang w:val="en-US"/>
        </w:rPr>
        <w:t xml:space="preserve"> 52:</w:t>
      </w:r>
      <w:r w:rsidRPr="00612975">
        <w:rPr>
          <w:lang w:val="en-US"/>
        </w:rPr>
        <w:t xml:space="preserve"> 1–16, 1998.</w:t>
      </w:r>
    </w:p>
  </w:endnote>
  <w:endnote w:id="23">
    <w:p w14:paraId="18E7A45A" w14:textId="77777777" w:rsidR="00DD7FD7" w:rsidRDefault="00DD7FD7">
      <w:pPr>
        <w:pStyle w:val="Endnotentext"/>
      </w:pPr>
      <w:r>
        <w:rPr>
          <w:rStyle w:val="Endnotenzeichen"/>
        </w:rPr>
        <w:endnoteRef/>
      </w:r>
      <w:r>
        <w:t xml:space="preserve"> G. Westphal, G. Gerber, B. Lipke, „Proteine – nutritive und funktionelle Eigenschaften“, Springer, Berlin, XXII, </w:t>
      </w:r>
      <w:r w:rsidRPr="00C27A17">
        <w:t>ISBN 978-3-540-00232-1</w:t>
      </w:r>
      <w:r>
        <w:t>, 2003.</w:t>
      </w:r>
    </w:p>
  </w:endnote>
  <w:endnote w:id="24">
    <w:p w14:paraId="0998E152" w14:textId="77777777" w:rsidR="00DD7FD7" w:rsidRPr="00612975" w:rsidRDefault="00DD7FD7" w:rsidP="00C65AD9">
      <w:pPr>
        <w:pStyle w:val="Endnotentext"/>
        <w:rPr>
          <w:lang w:val="en-US"/>
        </w:rPr>
      </w:pPr>
      <w:r>
        <w:rPr>
          <w:rStyle w:val="Endnotenzeichen"/>
        </w:rPr>
        <w:endnoteRef/>
      </w:r>
      <w:r w:rsidRPr="00612975">
        <w:rPr>
          <w:lang w:val="en-US"/>
        </w:rPr>
        <w:t xml:space="preserve"> J. Rautio, H. Kumpulainen, T. Heimbach, R. Oliyai, D. Oh, T. Järvinen, J. Savolainen, „Prodrugs: design and clinical applications.“, </w:t>
      </w:r>
      <w:r w:rsidRPr="00DA22B9">
        <w:rPr>
          <w:i/>
          <w:lang w:val="en-US"/>
        </w:rPr>
        <w:t>Nature Reviews Drug Discovery</w:t>
      </w:r>
      <w:r>
        <w:rPr>
          <w:lang w:val="en-US"/>
        </w:rPr>
        <w:t xml:space="preserve"> 7:</w:t>
      </w:r>
      <w:r w:rsidRPr="00612975">
        <w:rPr>
          <w:lang w:val="en-US"/>
        </w:rPr>
        <w:t xml:space="preserve"> 255-270, 2008.</w:t>
      </w:r>
    </w:p>
  </w:endnote>
  <w:endnote w:id="25">
    <w:p w14:paraId="4908CB59" w14:textId="77777777" w:rsidR="00DD7FD7" w:rsidRPr="00DB0243" w:rsidRDefault="00DD7FD7">
      <w:pPr>
        <w:pStyle w:val="Endnotentext"/>
        <w:rPr>
          <w:lang w:val="en-US"/>
        </w:rPr>
      </w:pPr>
      <w:r>
        <w:rPr>
          <w:rStyle w:val="Endnotenzeichen"/>
        </w:rPr>
        <w:endnoteRef/>
      </w:r>
      <w:r w:rsidRPr="00DB0243">
        <w:rPr>
          <w:lang w:val="en-US"/>
        </w:rPr>
        <w:t xml:space="preserve"> D. A. Groneberg, F. Döring, P. R. Eynott, A. Fischer, H. Daniel, „Intestinal peptide transport: ex vivo uptake studies and localization of peptide carrier PEPT1“, </w:t>
      </w:r>
      <w:r w:rsidRPr="00DB0243">
        <w:rPr>
          <w:rStyle w:val="highwire-cite-metadata-journal-title"/>
          <w:rFonts w:eastAsia="Times New Roman" w:cs="Times New Roman"/>
          <w:i/>
          <w:lang w:val="en-US"/>
        </w:rPr>
        <w:t>American Journal of Physiology - Gastrointestinal and Liver Physiology</w:t>
      </w:r>
      <w:r w:rsidRPr="00DB0243">
        <w:rPr>
          <w:rStyle w:val="highwire-cite-metadata-date"/>
          <w:rFonts w:eastAsia="Times New Roman" w:cs="Times New Roman"/>
          <w:lang w:val="en-US"/>
        </w:rPr>
        <w:t xml:space="preserve"> </w:t>
      </w:r>
      <w:r w:rsidRPr="00DB0243">
        <w:rPr>
          <w:rStyle w:val="highwire-cite-metadata-volume"/>
          <w:rFonts w:eastAsia="Times New Roman" w:cs="Times New Roman"/>
          <w:lang w:val="en-US"/>
        </w:rPr>
        <w:t>281(</w:t>
      </w:r>
      <w:r w:rsidRPr="00DB0243">
        <w:rPr>
          <w:rStyle w:val="highwire-cite-metadata-issue"/>
          <w:rFonts w:eastAsia="Times New Roman" w:cs="Times New Roman"/>
          <w:lang w:val="en-US"/>
        </w:rPr>
        <w:t>3), 2001.</w:t>
      </w:r>
    </w:p>
  </w:endnote>
  <w:endnote w:id="26">
    <w:p w14:paraId="716DF6E3" w14:textId="77777777" w:rsidR="00DD7FD7" w:rsidRPr="00612975" w:rsidRDefault="00DD7FD7">
      <w:pPr>
        <w:pStyle w:val="Endnotentext"/>
        <w:rPr>
          <w:lang w:val="en-US"/>
        </w:rPr>
      </w:pPr>
      <w:r>
        <w:rPr>
          <w:rStyle w:val="Endnotenzeichen"/>
        </w:rPr>
        <w:endnoteRef/>
      </w:r>
      <w:r w:rsidRPr="00612975">
        <w:rPr>
          <w:lang w:val="en-US"/>
        </w:rPr>
        <w:t xml:space="preserve"> D. Burston, E. Taylor, D.</w:t>
      </w:r>
      <w:r>
        <w:rPr>
          <w:lang w:val="en-US"/>
        </w:rPr>
        <w:t xml:space="preserve"> </w:t>
      </w:r>
      <w:r w:rsidRPr="00612975">
        <w:rPr>
          <w:lang w:val="en-US"/>
        </w:rPr>
        <w:t xml:space="preserve">M. Matthews, „Intestinal handling of two tetrapeptides by rodent small intestine in vitro“, </w:t>
      </w:r>
      <w:r w:rsidRPr="00DA22B9">
        <w:rPr>
          <w:i/>
          <w:lang w:val="en-US"/>
        </w:rPr>
        <w:t>Biochem Biophys Acta</w:t>
      </w:r>
      <w:r w:rsidRPr="00612975">
        <w:rPr>
          <w:lang w:val="en-US"/>
        </w:rPr>
        <w:t xml:space="preserve"> 553(1): 175-178, 1979.</w:t>
      </w:r>
    </w:p>
  </w:endnote>
  <w:endnote w:id="27">
    <w:p w14:paraId="22A54F56" w14:textId="77777777" w:rsidR="00DD7FD7" w:rsidRPr="00612975" w:rsidRDefault="00DD7FD7">
      <w:pPr>
        <w:pStyle w:val="Endnotentext"/>
        <w:rPr>
          <w:lang w:val="en-US"/>
        </w:rPr>
      </w:pPr>
      <w:r>
        <w:rPr>
          <w:rStyle w:val="Endnotenzeichen"/>
        </w:rPr>
        <w:endnoteRef/>
      </w:r>
      <w:r w:rsidRPr="00612975">
        <w:rPr>
          <w:lang w:val="en-US"/>
        </w:rPr>
        <w:t xml:space="preserve"> T. Lindmark, N. Schipper, L. Lazorova, A. G. de Boer, P. Artursson, „Absorption enhancement of intestinal epithelial Caco-2 monolayers by sodium caprate: assessment of molecular weight dependence and demonstration of transport routes.“, </w:t>
      </w:r>
      <w:r w:rsidRPr="00DA22B9">
        <w:rPr>
          <w:i/>
          <w:lang w:val="en-US"/>
        </w:rPr>
        <w:t>J. Drug Target</w:t>
      </w:r>
      <w:r>
        <w:rPr>
          <w:lang w:val="en-US"/>
        </w:rPr>
        <w:t xml:space="preserve"> 5(3):</w:t>
      </w:r>
      <w:r w:rsidRPr="00612975">
        <w:rPr>
          <w:lang w:val="en-US"/>
        </w:rPr>
        <w:t xml:space="preserve"> 215-223, 1998.</w:t>
      </w:r>
    </w:p>
  </w:endnote>
  <w:endnote w:id="28">
    <w:p w14:paraId="3AE16D3C" w14:textId="77777777" w:rsidR="00DD7FD7" w:rsidRPr="00DB0243" w:rsidRDefault="00DD7FD7">
      <w:pPr>
        <w:pStyle w:val="Endnotentext"/>
        <w:rPr>
          <w:lang w:val="en-US"/>
        </w:rPr>
      </w:pPr>
      <w:r>
        <w:rPr>
          <w:rStyle w:val="Endnotenzeichen"/>
        </w:rPr>
        <w:endnoteRef/>
      </w:r>
      <w:r w:rsidRPr="00DB0243">
        <w:rPr>
          <w:lang w:val="en-US"/>
        </w:rPr>
        <w:t xml:space="preserve"> H.J.R. Lemmer, J. H. Hamman, „Paracellular drug absorption enhancement through tight junction modulation“, </w:t>
      </w:r>
      <w:r w:rsidRPr="00DB0243">
        <w:rPr>
          <w:i/>
          <w:lang w:val="en-US"/>
        </w:rPr>
        <w:t>Expert Opin. Drug Deliv.</w:t>
      </w:r>
      <w:r w:rsidRPr="00DB0243">
        <w:rPr>
          <w:lang w:val="en-US"/>
        </w:rPr>
        <w:t xml:space="preserve"> 10(1): 103-114, 2013.</w:t>
      </w:r>
    </w:p>
  </w:endnote>
  <w:endnote w:id="29">
    <w:p w14:paraId="75286C36" w14:textId="77777777" w:rsidR="00DD7FD7" w:rsidRPr="00DB0243" w:rsidRDefault="00DD7FD7">
      <w:pPr>
        <w:pStyle w:val="Endnotentext"/>
        <w:rPr>
          <w:lang w:val="en-US"/>
        </w:rPr>
      </w:pPr>
      <w:r>
        <w:rPr>
          <w:rStyle w:val="Endnotenzeichen"/>
        </w:rPr>
        <w:endnoteRef/>
      </w:r>
      <w:r w:rsidRPr="00DB0243">
        <w:rPr>
          <w:lang w:val="en-US"/>
        </w:rPr>
        <w:t xml:space="preserve"> W. Chen, A. Viljoen, J. Hamman, „Intestinal drug transport enhancement by Aloe vera“, </w:t>
      </w:r>
      <w:r w:rsidRPr="00DB0243">
        <w:rPr>
          <w:i/>
          <w:lang w:val="en-US"/>
        </w:rPr>
        <w:t>Planta Med</w:t>
      </w:r>
      <w:r w:rsidRPr="00DB0243">
        <w:rPr>
          <w:lang w:val="en-US"/>
        </w:rPr>
        <w:t xml:space="preserve"> 75: 587-595, 2009.</w:t>
      </w:r>
    </w:p>
  </w:endnote>
  <w:endnote w:id="30">
    <w:p w14:paraId="2ACC5685" w14:textId="77777777" w:rsidR="00DD7FD7" w:rsidRPr="00612975" w:rsidRDefault="00DD7FD7">
      <w:pPr>
        <w:pStyle w:val="Endnotentext"/>
        <w:rPr>
          <w:lang w:val="en-US"/>
        </w:rPr>
      </w:pPr>
      <w:r>
        <w:rPr>
          <w:rStyle w:val="Endnotenzeichen"/>
        </w:rPr>
        <w:endnoteRef/>
      </w:r>
      <w:r w:rsidRPr="00612975">
        <w:rPr>
          <w:lang w:val="en-US"/>
        </w:rPr>
        <w:t xml:space="preserve"> Y. Fujimura, „Functional morphology of microfold cells (M cells) in Peyer's patches-phagocytosis and transport of BCG by M cells into rabbit Peyer's patches.“, </w:t>
      </w:r>
      <w:r w:rsidRPr="00DA22B9">
        <w:rPr>
          <w:i/>
          <w:lang w:val="en-US"/>
        </w:rPr>
        <w:t>Gastroenterol Jpn.</w:t>
      </w:r>
      <w:r w:rsidRPr="00612975">
        <w:rPr>
          <w:lang w:val="en-US"/>
        </w:rPr>
        <w:t xml:space="preserve"> 21(4): 325-335, 1986.</w:t>
      </w:r>
    </w:p>
  </w:endnote>
  <w:endnote w:id="31">
    <w:p w14:paraId="7C1FEC60" w14:textId="77777777" w:rsidR="00DD7FD7" w:rsidRPr="006A55B4" w:rsidRDefault="00DD7FD7">
      <w:pPr>
        <w:pStyle w:val="Endnotentext"/>
        <w:rPr>
          <w:lang w:val="en-US"/>
        </w:rPr>
      </w:pPr>
      <w:r>
        <w:rPr>
          <w:rStyle w:val="Endnotenzeichen"/>
        </w:rPr>
        <w:endnoteRef/>
      </w:r>
      <w:r w:rsidRPr="006A55B4">
        <w:rPr>
          <w:lang w:val="en-US"/>
        </w:rPr>
        <w:t xml:space="preserve"> Z.</w:t>
      </w:r>
      <w:r>
        <w:rPr>
          <w:lang w:val="en-US"/>
        </w:rPr>
        <w:t xml:space="preserve"> </w:t>
      </w:r>
      <w:r w:rsidRPr="006A55B4">
        <w:rPr>
          <w:lang w:val="en-US"/>
        </w:rPr>
        <w:t>H. Wu, Q.</w:t>
      </w:r>
      <w:r>
        <w:rPr>
          <w:lang w:val="en-US"/>
        </w:rPr>
        <w:t xml:space="preserve"> </w:t>
      </w:r>
      <w:r w:rsidRPr="006A55B4">
        <w:rPr>
          <w:lang w:val="en-US"/>
        </w:rPr>
        <w:t>N. Ping, Y. Wei, J.</w:t>
      </w:r>
      <w:r>
        <w:rPr>
          <w:lang w:val="en-US"/>
        </w:rPr>
        <w:t xml:space="preserve"> </w:t>
      </w:r>
      <w:r w:rsidRPr="006A55B4">
        <w:rPr>
          <w:lang w:val="en-US"/>
        </w:rPr>
        <w:t xml:space="preserve">M. Lai, „Hypoclycemic efficacy of chitosan-coated insulin liposomes after oral administration in mice“, </w:t>
      </w:r>
      <w:r w:rsidRPr="00DA22B9">
        <w:rPr>
          <w:i/>
          <w:lang w:val="en-US"/>
        </w:rPr>
        <w:t>Acta Pharm. Sin.</w:t>
      </w:r>
      <w:r w:rsidRPr="006A55B4">
        <w:rPr>
          <w:lang w:val="en-US"/>
        </w:rPr>
        <w:t xml:space="preserve"> 25(7): 966-972, 2004. </w:t>
      </w:r>
    </w:p>
  </w:endnote>
  <w:endnote w:id="32">
    <w:p w14:paraId="6FBC2AB0" w14:textId="77777777" w:rsidR="00DD7FD7" w:rsidRPr="006A55B4" w:rsidRDefault="00DD7FD7">
      <w:pPr>
        <w:pStyle w:val="Endnotentext"/>
        <w:rPr>
          <w:lang w:val="en-US"/>
        </w:rPr>
      </w:pPr>
      <w:r>
        <w:rPr>
          <w:rStyle w:val="Endnotenzeichen"/>
        </w:rPr>
        <w:endnoteRef/>
      </w:r>
      <w:r w:rsidRPr="006A55B4">
        <w:rPr>
          <w:lang w:val="en-US"/>
        </w:rPr>
        <w:t xml:space="preserve"> G. Adams, N. Wang, Y. Cui, „Future alternative therapies in a quest to halt aberrations in diabetes mellitus.“, </w:t>
      </w:r>
      <w:r w:rsidRPr="00DA22B9">
        <w:rPr>
          <w:i/>
          <w:lang w:val="en-US"/>
        </w:rPr>
        <w:t>Biomed. Pharm.</w:t>
      </w:r>
      <w:r w:rsidRPr="006A55B4">
        <w:rPr>
          <w:lang w:val="en-US"/>
        </w:rPr>
        <w:t xml:space="preserve"> 59(6): 296-301, 2005.</w:t>
      </w:r>
    </w:p>
  </w:endnote>
  <w:endnote w:id="33">
    <w:p w14:paraId="20BEA00B" w14:textId="77777777" w:rsidR="00DD7FD7" w:rsidRPr="00612975" w:rsidRDefault="00DD7FD7" w:rsidP="004C7D63">
      <w:pPr>
        <w:pStyle w:val="Endnotentext"/>
        <w:rPr>
          <w:lang w:val="en-US"/>
        </w:rPr>
      </w:pPr>
      <w:r>
        <w:rPr>
          <w:rStyle w:val="Endnotenzeichen"/>
        </w:rPr>
        <w:endnoteRef/>
      </w:r>
      <w:r w:rsidRPr="00612975">
        <w:rPr>
          <w:lang w:val="en-US"/>
        </w:rPr>
        <w:t xml:space="preserve"> K. Robinson, L. M. Chamberlain, K. M. Schofield, J. M. Wells, R. W. Le Page, „Oral vaccination of mice against tetanus with recombinant Lactococcus lactis.“, </w:t>
      </w:r>
      <w:r w:rsidRPr="00DA22B9">
        <w:rPr>
          <w:i/>
          <w:lang w:val="en-US"/>
        </w:rPr>
        <w:t>Nat Biotechnol</w:t>
      </w:r>
      <w:r w:rsidRPr="00612975">
        <w:rPr>
          <w:lang w:val="en-US"/>
        </w:rPr>
        <w:t xml:space="preserve"> 15(7): 653-657, 1997.</w:t>
      </w:r>
    </w:p>
  </w:endnote>
  <w:endnote w:id="34">
    <w:p w14:paraId="4C0E9472" w14:textId="77777777" w:rsidR="00DD7FD7" w:rsidRPr="006A55B4" w:rsidRDefault="00DD7FD7">
      <w:pPr>
        <w:pStyle w:val="Endnotentext"/>
        <w:rPr>
          <w:lang w:val="en-US"/>
        </w:rPr>
      </w:pPr>
      <w:r>
        <w:rPr>
          <w:rStyle w:val="Endnotenzeichen"/>
        </w:rPr>
        <w:endnoteRef/>
      </w:r>
      <w:r w:rsidRPr="006A55B4">
        <w:rPr>
          <w:lang w:val="en-US"/>
        </w:rPr>
        <w:t xml:space="preserve"> O. Borges, A. Cordeiro-da-Silva, S.</w:t>
      </w:r>
      <w:r>
        <w:rPr>
          <w:lang w:val="en-US"/>
        </w:rPr>
        <w:t xml:space="preserve"> </w:t>
      </w:r>
      <w:r w:rsidRPr="006A55B4">
        <w:rPr>
          <w:lang w:val="en-US"/>
        </w:rPr>
        <w:t xml:space="preserve">G. Romeijin et al., „Uptake studies in rat Peyer’s patches, cytotoxicity and release studies of alginate coated chitosan nanoparticles for mucosal vaccination.“ </w:t>
      </w:r>
      <w:r w:rsidRPr="00DA22B9">
        <w:rPr>
          <w:i/>
          <w:lang w:val="en-US"/>
        </w:rPr>
        <w:t>J. Control. Release</w:t>
      </w:r>
      <w:r w:rsidRPr="006A55B4">
        <w:rPr>
          <w:lang w:val="en-US"/>
        </w:rPr>
        <w:t xml:space="preserve"> 114(3): 348-358, 2006.</w:t>
      </w:r>
    </w:p>
  </w:endnote>
  <w:endnote w:id="35">
    <w:p w14:paraId="6661BA12" w14:textId="77777777" w:rsidR="00DD7FD7" w:rsidRPr="00DB0243" w:rsidRDefault="00DD7FD7">
      <w:pPr>
        <w:pStyle w:val="Endnotentext"/>
        <w:rPr>
          <w:lang w:val="en-US"/>
        </w:rPr>
      </w:pPr>
      <w:r>
        <w:rPr>
          <w:rStyle w:val="Endnotenzeichen"/>
        </w:rPr>
        <w:endnoteRef/>
      </w:r>
      <w:r w:rsidRPr="00DB0243">
        <w:rPr>
          <w:lang w:val="en-US"/>
        </w:rPr>
        <w:t xml:space="preserve"> J. Shaji, V. Patole, „Protein and Peptide Drug Delivery: Oral Approaches“, </w:t>
      </w:r>
      <w:r w:rsidRPr="00DB0243">
        <w:rPr>
          <w:i/>
          <w:lang w:val="en-US"/>
        </w:rPr>
        <w:t>Indian J Pharm Sci.</w:t>
      </w:r>
      <w:r w:rsidRPr="00DB0243">
        <w:rPr>
          <w:lang w:val="en-US"/>
        </w:rPr>
        <w:t xml:space="preserve"> 70(3): 269–277, 2008.</w:t>
      </w:r>
    </w:p>
  </w:endnote>
  <w:endnote w:id="36">
    <w:p w14:paraId="4E2C2A84" w14:textId="77777777" w:rsidR="00DD7FD7" w:rsidRPr="0041112C" w:rsidRDefault="00DD7FD7">
      <w:pPr>
        <w:pStyle w:val="Endnotentext"/>
        <w:rPr>
          <w:lang w:val="en-US"/>
        </w:rPr>
      </w:pPr>
      <w:r>
        <w:rPr>
          <w:rStyle w:val="Endnotenzeichen"/>
        </w:rPr>
        <w:endnoteRef/>
      </w:r>
      <w:r w:rsidRPr="0041112C">
        <w:rPr>
          <w:lang w:val="en-US"/>
        </w:rPr>
        <w:t xml:space="preserve"> V. H. Thomas, S. Bhattachar, L. Hitchingham, P. Zocharski, M. Naath, N. Surendran, C. L. Stoner, A. El-Kattan, „The roadmap to oral bioavailability: an industrial perspective.“, </w:t>
      </w:r>
      <w:r w:rsidRPr="00DA22B9">
        <w:rPr>
          <w:i/>
          <w:lang w:val="en-US"/>
        </w:rPr>
        <w:t>Expert Opin. Drug Metab. Toxicol.</w:t>
      </w:r>
      <w:r>
        <w:rPr>
          <w:lang w:val="en-US"/>
        </w:rPr>
        <w:t xml:space="preserve"> 2(</w:t>
      </w:r>
      <w:r w:rsidRPr="0041112C">
        <w:rPr>
          <w:lang w:val="en-US"/>
        </w:rPr>
        <w:t>4</w:t>
      </w:r>
      <w:r>
        <w:rPr>
          <w:lang w:val="en-US"/>
        </w:rPr>
        <w:t>):</w:t>
      </w:r>
      <w:r w:rsidRPr="0041112C">
        <w:rPr>
          <w:lang w:val="en-US"/>
        </w:rPr>
        <w:t xml:space="preserve"> 591-608, 2006.</w:t>
      </w:r>
    </w:p>
  </w:endnote>
  <w:endnote w:id="37">
    <w:p w14:paraId="0F67EBF6" w14:textId="77777777" w:rsidR="00DD7FD7" w:rsidRPr="0041112C" w:rsidRDefault="00DD7FD7">
      <w:pPr>
        <w:pStyle w:val="Endnotentext"/>
        <w:rPr>
          <w:lang w:val="en-US"/>
        </w:rPr>
      </w:pPr>
      <w:r>
        <w:rPr>
          <w:rStyle w:val="Endnotenzeichen"/>
        </w:rPr>
        <w:endnoteRef/>
      </w:r>
      <w:r w:rsidRPr="0041112C">
        <w:rPr>
          <w:lang w:val="en-US"/>
        </w:rPr>
        <w:t xml:space="preserve"> V.H.L. Lee, A. Yamamoto, „Penetration and enzymatic barriers to peptide and protein absorption.“ </w:t>
      </w:r>
      <w:r w:rsidRPr="00DA22B9">
        <w:rPr>
          <w:i/>
          <w:lang w:val="en-US"/>
        </w:rPr>
        <w:t>Adv. Drug Del. Rev.</w:t>
      </w:r>
      <w:r>
        <w:rPr>
          <w:lang w:val="en-US"/>
        </w:rPr>
        <w:t xml:space="preserve"> 4:</w:t>
      </w:r>
      <w:r w:rsidRPr="0041112C">
        <w:rPr>
          <w:lang w:val="en-US"/>
        </w:rPr>
        <w:t xml:space="preserve"> 171-207, 1990.</w:t>
      </w:r>
    </w:p>
  </w:endnote>
  <w:endnote w:id="38">
    <w:p w14:paraId="20D40653" w14:textId="77777777" w:rsidR="00DD7FD7" w:rsidRPr="00726FEB" w:rsidRDefault="00DD7FD7">
      <w:pPr>
        <w:pStyle w:val="Endnotentext"/>
        <w:rPr>
          <w:lang w:val="en-US"/>
        </w:rPr>
      </w:pPr>
      <w:r>
        <w:rPr>
          <w:rStyle w:val="Endnotenzeichen"/>
        </w:rPr>
        <w:endnoteRef/>
      </w:r>
      <w:r w:rsidRPr="00726FEB">
        <w:rPr>
          <w:lang w:val="en-US"/>
        </w:rPr>
        <w:t xml:space="preserve"> „Protein formulation and delivery“ edited by Eugene J. McNally, </w:t>
      </w:r>
      <w:r w:rsidRPr="00DA22B9">
        <w:rPr>
          <w:i/>
          <w:lang w:val="en-US"/>
        </w:rPr>
        <w:t>Drugs and the pharmaceutical sciences</w:t>
      </w:r>
      <w:r w:rsidRPr="00726FEB">
        <w:rPr>
          <w:lang w:val="en-US"/>
        </w:rPr>
        <w:t xml:space="preserve"> 99, 2000.</w:t>
      </w:r>
    </w:p>
  </w:endnote>
  <w:endnote w:id="39">
    <w:p w14:paraId="01035C59" w14:textId="77777777" w:rsidR="00DD7FD7" w:rsidRDefault="00DD7FD7">
      <w:pPr>
        <w:pStyle w:val="Endnotentext"/>
      </w:pPr>
      <w:r>
        <w:rPr>
          <w:rStyle w:val="Endnotenzeichen"/>
        </w:rPr>
        <w:endnoteRef/>
      </w:r>
      <w:r>
        <w:t xml:space="preserve"> H.-D. Jakubke, H. Jeschkeit,</w:t>
      </w:r>
      <w:r w:rsidRPr="008F7708">
        <w:t xml:space="preserve"> </w:t>
      </w:r>
      <w:r>
        <w:t>„</w:t>
      </w:r>
      <w:r w:rsidRPr="008F7708">
        <w:t>Aminosäuren, Peptide, Proteine</w:t>
      </w:r>
      <w:r>
        <w:t>“</w:t>
      </w:r>
      <w:r w:rsidRPr="008F7708">
        <w:t>, Verlag Chemie, Weinheim, 403, 1982</w:t>
      </w:r>
      <w:r>
        <w:t>.</w:t>
      </w:r>
    </w:p>
  </w:endnote>
  <w:endnote w:id="40">
    <w:p w14:paraId="78FA6CAA" w14:textId="77777777" w:rsidR="00DD7FD7" w:rsidRPr="00726FEB" w:rsidRDefault="00DD7FD7">
      <w:pPr>
        <w:pStyle w:val="Endnotentext"/>
        <w:rPr>
          <w:lang w:val="en-US"/>
        </w:rPr>
      </w:pPr>
      <w:r>
        <w:rPr>
          <w:rStyle w:val="Endnotenzeichen"/>
        </w:rPr>
        <w:endnoteRef/>
      </w:r>
      <w:r w:rsidRPr="00726FEB">
        <w:rPr>
          <w:lang w:val="en-US"/>
        </w:rPr>
        <w:t xml:space="preserve"> A. Bernkop-Schnürch, G. Walker, „Multifunctional matrices for oral peptide delivery.“, </w:t>
      </w:r>
      <w:r w:rsidRPr="00DA22B9">
        <w:rPr>
          <w:i/>
          <w:lang w:val="en-US"/>
        </w:rPr>
        <w:t>Crit. Rev. Ther. Drug Carr. Syst.</w:t>
      </w:r>
      <w:r>
        <w:rPr>
          <w:lang w:val="en-US"/>
        </w:rPr>
        <w:t xml:space="preserve"> 18(5):</w:t>
      </w:r>
      <w:r w:rsidRPr="00726FEB">
        <w:rPr>
          <w:lang w:val="en-US"/>
        </w:rPr>
        <w:t xml:space="preserve"> 459-501, 2001. </w:t>
      </w:r>
    </w:p>
  </w:endnote>
  <w:endnote w:id="41">
    <w:p w14:paraId="3A27A7A7" w14:textId="77777777" w:rsidR="00DD7FD7" w:rsidRPr="00612975" w:rsidRDefault="00DD7FD7">
      <w:pPr>
        <w:pStyle w:val="Endnotentext"/>
        <w:rPr>
          <w:lang w:val="en-US"/>
        </w:rPr>
      </w:pPr>
      <w:r>
        <w:rPr>
          <w:rStyle w:val="Endnotenzeichen"/>
        </w:rPr>
        <w:endnoteRef/>
      </w:r>
      <w:r w:rsidRPr="00612975">
        <w:rPr>
          <w:lang w:val="en-US"/>
        </w:rPr>
        <w:t xml:space="preserve"> J. D. Smart, I. W. Kellaway, „</w:t>
      </w:r>
      <w:r w:rsidRPr="00612975">
        <w:rPr>
          <w:i/>
          <w:lang w:val="en-US"/>
        </w:rPr>
        <w:t xml:space="preserve">In vitro </w:t>
      </w:r>
      <w:r w:rsidRPr="00612975">
        <w:rPr>
          <w:lang w:val="en-US"/>
        </w:rPr>
        <w:t xml:space="preserve">techniques for measuring mucoadhesion.“, </w:t>
      </w:r>
      <w:r w:rsidRPr="00DA22B9">
        <w:rPr>
          <w:i/>
          <w:lang w:val="en-US"/>
        </w:rPr>
        <w:t>J. Pharm. Pharmacol.</w:t>
      </w:r>
      <w:r w:rsidRPr="00032AD6">
        <w:rPr>
          <w:lang w:val="en-US"/>
        </w:rPr>
        <w:t xml:space="preserve"> </w:t>
      </w:r>
      <w:r w:rsidRPr="00612975">
        <w:rPr>
          <w:lang w:val="en-US"/>
        </w:rPr>
        <w:t>34: 70, 1982.</w:t>
      </w:r>
    </w:p>
  </w:endnote>
  <w:endnote w:id="42">
    <w:p w14:paraId="1E577448" w14:textId="77777777" w:rsidR="00DD7FD7" w:rsidRPr="00032AD6" w:rsidRDefault="00DD7FD7">
      <w:pPr>
        <w:pStyle w:val="Endnotentext"/>
        <w:rPr>
          <w:lang w:val="en-US"/>
        </w:rPr>
      </w:pPr>
      <w:r>
        <w:rPr>
          <w:rStyle w:val="Endnotenzeichen"/>
        </w:rPr>
        <w:endnoteRef/>
      </w:r>
      <w:r w:rsidRPr="00612975">
        <w:rPr>
          <w:lang w:val="en-US"/>
        </w:rPr>
        <w:t xml:space="preserve"> C. M. Lehr, J. A. Bouwstra, E. H. Schacht, H. E. Junginger, „In vitro evaluation of mucoadhesive properties of chitosan and some other natural polymers.“, </w:t>
      </w:r>
      <w:r w:rsidRPr="00DA22B9">
        <w:rPr>
          <w:i/>
          <w:lang w:val="en-US"/>
        </w:rPr>
        <w:t>Int. J. Pharm.</w:t>
      </w:r>
      <w:r w:rsidRPr="00612975">
        <w:rPr>
          <w:lang w:val="en-US"/>
        </w:rPr>
        <w:t xml:space="preserve"> </w:t>
      </w:r>
      <w:r w:rsidRPr="00032AD6">
        <w:rPr>
          <w:lang w:val="en-US"/>
        </w:rPr>
        <w:t>78: 43-48, 1992.</w:t>
      </w:r>
    </w:p>
  </w:endnote>
  <w:endnote w:id="43">
    <w:p w14:paraId="1C14B3FE" w14:textId="77777777" w:rsidR="00DD7FD7" w:rsidRPr="00032AD6" w:rsidRDefault="00DD7FD7">
      <w:pPr>
        <w:pStyle w:val="Endnotentext"/>
        <w:rPr>
          <w:lang w:val="en-US"/>
        </w:rPr>
      </w:pPr>
      <w:r>
        <w:rPr>
          <w:rStyle w:val="Endnotenzeichen"/>
        </w:rPr>
        <w:endnoteRef/>
      </w:r>
      <w:r w:rsidRPr="00612975">
        <w:rPr>
          <w:lang w:val="en-US"/>
        </w:rPr>
        <w:t xml:space="preserve"> P. Artursson, T. Lindmark, S. S. Davis, L. Illum, „Effect of Chitosan on the permeability of monolayers of intestinal epithelial cells (Caco-2).“, </w:t>
      </w:r>
      <w:r w:rsidRPr="00DA22B9">
        <w:rPr>
          <w:i/>
          <w:lang w:val="en-US"/>
        </w:rPr>
        <w:t>Pharm. Res.</w:t>
      </w:r>
      <w:r w:rsidRPr="00032AD6">
        <w:rPr>
          <w:lang w:val="en-US"/>
        </w:rPr>
        <w:t xml:space="preserve"> 11(9): 1358-1361, 1994.</w:t>
      </w:r>
    </w:p>
  </w:endnote>
  <w:endnote w:id="44">
    <w:p w14:paraId="6149D5D6" w14:textId="77777777" w:rsidR="00DD7FD7" w:rsidRPr="00726FEB" w:rsidRDefault="00DD7FD7">
      <w:pPr>
        <w:pStyle w:val="Endnotentext"/>
        <w:rPr>
          <w:lang w:val="en-US"/>
        </w:rPr>
      </w:pPr>
      <w:r>
        <w:rPr>
          <w:rStyle w:val="Endnotenzeichen"/>
        </w:rPr>
        <w:endnoteRef/>
      </w:r>
      <w:r w:rsidRPr="00726FEB">
        <w:rPr>
          <w:lang w:val="en-US"/>
        </w:rPr>
        <w:t xml:space="preserve"> R. Rosenthal, D. Günzel, C. Finger, S. M. Krug, et al., „The effect of chitosan on transcellular and paracellular mechanisms in the intestinal epithelial barrier.“, </w:t>
      </w:r>
      <w:r w:rsidRPr="00726FEB">
        <w:rPr>
          <w:i/>
          <w:lang w:val="en-US"/>
        </w:rPr>
        <w:t>Biomaterials</w:t>
      </w:r>
      <w:r w:rsidRPr="00726FEB">
        <w:rPr>
          <w:lang w:val="en-US"/>
        </w:rPr>
        <w:t xml:space="preserve"> 33: 2791-2800, 2012.</w:t>
      </w:r>
    </w:p>
  </w:endnote>
  <w:endnote w:id="45">
    <w:p w14:paraId="689D6648" w14:textId="77777777" w:rsidR="00DD7FD7" w:rsidRPr="00726FEB" w:rsidRDefault="00DD7FD7">
      <w:pPr>
        <w:pStyle w:val="Endnotentext"/>
        <w:rPr>
          <w:lang w:val="en-US"/>
        </w:rPr>
      </w:pPr>
      <w:r>
        <w:rPr>
          <w:rStyle w:val="Endnotenzeichen"/>
        </w:rPr>
        <w:endnoteRef/>
      </w:r>
      <w:r w:rsidRPr="00726FEB">
        <w:rPr>
          <w:lang w:val="en-US"/>
        </w:rPr>
        <w:t xml:space="preserve"> Li-Wen Hsua, Pei-Ling Leea, Chiung-Tong Chenb, Fwu-Long Mic, Jyuhn-Huarng Juangd, Shiaw-Min Hwange, Yi-Cheng Hoc, Hsing-Wen Sunga, „Elucidating the signaling mechanism of an epithelial tight-junction opening induced by chitosan“, </w:t>
      </w:r>
      <w:r w:rsidRPr="00726FEB">
        <w:rPr>
          <w:i/>
          <w:lang w:val="en-US"/>
        </w:rPr>
        <w:t>Biomaterials</w:t>
      </w:r>
      <w:r w:rsidRPr="00726FEB">
        <w:rPr>
          <w:lang w:val="en-US"/>
        </w:rPr>
        <w:t xml:space="preserve"> 33(26): 6254–6263, 2012.</w:t>
      </w:r>
    </w:p>
  </w:endnote>
  <w:endnote w:id="46">
    <w:p w14:paraId="7969B570" w14:textId="77777777" w:rsidR="00DD7FD7" w:rsidRPr="00032AD6" w:rsidRDefault="00DD7FD7" w:rsidP="001F364A">
      <w:pPr>
        <w:pStyle w:val="Endnotentext"/>
        <w:rPr>
          <w:lang w:val="en-US"/>
        </w:rPr>
      </w:pPr>
      <w:r>
        <w:rPr>
          <w:rStyle w:val="Endnotenzeichen"/>
        </w:rPr>
        <w:endnoteRef/>
      </w:r>
      <w:r w:rsidRPr="00612975">
        <w:rPr>
          <w:lang w:val="en-US"/>
        </w:rPr>
        <w:t xml:space="preserve"> A. F. Kotzé, B. J. de Leeuw, H. L. Lueßen, A. G. de Boer, J. C. Verhoef, H. E. Junginger, „Chitosans for enhanced delivery of therapeutic peptides across intestinal epithelia: in vitro evaluation in Caco-2 cell monolayers.“, </w:t>
      </w:r>
      <w:r w:rsidRPr="006F58BF">
        <w:rPr>
          <w:i/>
          <w:lang w:val="en-US"/>
        </w:rPr>
        <w:t>Int. J. Pharm.</w:t>
      </w:r>
      <w:r w:rsidRPr="00612975">
        <w:rPr>
          <w:lang w:val="en-US"/>
        </w:rPr>
        <w:t xml:space="preserve"> </w:t>
      </w:r>
      <w:r w:rsidRPr="00032AD6">
        <w:rPr>
          <w:lang w:val="en-US"/>
        </w:rPr>
        <w:t>159: 243-253, 1997.</w:t>
      </w:r>
    </w:p>
  </w:endnote>
  <w:endnote w:id="47">
    <w:p w14:paraId="67628F5C" w14:textId="77777777" w:rsidR="00DD7FD7" w:rsidRPr="00032AD6" w:rsidRDefault="00DD7FD7" w:rsidP="009447A6">
      <w:pPr>
        <w:pStyle w:val="Endnotentext"/>
        <w:rPr>
          <w:lang w:val="en-US"/>
        </w:rPr>
      </w:pPr>
      <w:r>
        <w:rPr>
          <w:rStyle w:val="Endnotenzeichen"/>
        </w:rPr>
        <w:endnoteRef/>
      </w:r>
      <w:r w:rsidRPr="00612975">
        <w:rPr>
          <w:lang w:val="en-US"/>
        </w:rPr>
        <w:t xml:space="preserve"> A.M.M. Sadeghi, F. A. Dorkoosh, M. R. Avadi, P. Saadat, M. Rafiee-Tehrani, H. E. Junginger, „Preparation, characterization and antibacterial activities of chitosan, N-trimethyl chitosan (TMC) and N-diethylmethyl chitosan (DEMC) nanoparticles loaded with insulin using both the ionotropic gelation and polyelectrolyte complexation methods.“, </w:t>
      </w:r>
      <w:r w:rsidRPr="006F58BF">
        <w:rPr>
          <w:i/>
          <w:lang w:val="en-US"/>
        </w:rPr>
        <w:t>Int. J. Pharm.</w:t>
      </w:r>
      <w:r w:rsidRPr="00612975">
        <w:rPr>
          <w:lang w:val="en-US"/>
        </w:rPr>
        <w:t xml:space="preserve"> </w:t>
      </w:r>
      <w:r w:rsidRPr="00032AD6">
        <w:rPr>
          <w:lang w:val="en-US"/>
        </w:rPr>
        <w:t>355: 299-306, 2008.</w:t>
      </w:r>
    </w:p>
  </w:endnote>
  <w:endnote w:id="48">
    <w:p w14:paraId="4B22980F" w14:textId="77777777" w:rsidR="00DD7FD7" w:rsidRPr="00612975" w:rsidRDefault="00DD7FD7">
      <w:pPr>
        <w:pStyle w:val="Endnotentext"/>
        <w:rPr>
          <w:lang w:val="en-US"/>
        </w:rPr>
      </w:pPr>
      <w:r>
        <w:rPr>
          <w:rStyle w:val="Endnotenzeichen"/>
        </w:rPr>
        <w:endnoteRef/>
      </w:r>
      <w:r w:rsidRPr="00612975">
        <w:rPr>
          <w:lang w:val="en-US"/>
        </w:rPr>
        <w:t xml:space="preserve"> M.M. Thanou, A. F. Kotzé, T. Scharringhausen, H.L. Leußen, A. G. de Boer, J, C. Verhoef, et al., „Effect of degree of quaternization of N-trimethyl chitosan chloride for enhanced transport of hydrophilic compounds across intestinal Caco-2 cell monolayers.“ </w:t>
      </w:r>
      <w:r w:rsidRPr="006F58BF">
        <w:rPr>
          <w:i/>
          <w:lang w:val="en-US"/>
        </w:rPr>
        <w:t>J. Control. Release</w:t>
      </w:r>
      <w:r w:rsidRPr="00612975">
        <w:rPr>
          <w:lang w:val="en-US"/>
        </w:rPr>
        <w:t xml:space="preserve"> 64: 15-25, 2000.</w:t>
      </w:r>
    </w:p>
  </w:endnote>
  <w:endnote w:id="49">
    <w:p w14:paraId="093056E9" w14:textId="77777777" w:rsidR="00DD7FD7" w:rsidRPr="00612975" w:rsidRDefault="00DD7FD7">
      <w:pPr>
        <w:pStyle w:val="Endnotentext"/>
        <w:rPr>
          <w:lang w:val="en-US"/>
        </w:rPr>
      </w:pPr>
      <w:r>
        <w:rPr>
          <w:rStyle w:val="Endnotenzeichen"/>
        </w:rPr>
        <w:endnoteRef/>
      </w:r>
      <w:r w:rsidRPr="00612975">
        <w:rPr>
          <w:lang w:val="en-US"/>
        </w:rPr>
        <w:t xml:space="preserve"> A.M.M. Sadeghi, F. A. Dorkoosh, M. R. Avadi, M. Weinhold, A. Bayat, F. Delie, et al., </w:t>
      </w:r>
      <w:r w:rsidRPr="0041112C">
        <w:rPr>
          <w:lang w:val="en-US"/>
        </w:rPr>
        <w:t>„</w:t>
      </w:r>
      <w:r w:rsidRPr="00612975">
        <w:rPr>
          <w:lang w:val="en-US"/>
        </w:rPr>
        <w:t xml:space="preserve">Permeation enhancer effect of chitosan and chitosan derivatives: Comparison of formulations as soluble polymers and nanoparticulate systems on insulin absorption in Caco-2 cells“, </w:t>
      </w:r>
      <w:r w:rsidRPr="006F58BF">
        <w:rPr>
          <w:i/>
          <w:lang w:val="en-US"/>
        </w:rPr>
        <w:t>Eur. J. Pharm. Biopharm.</w:t>
      </w:r>
      <w:r w:rsidRPr="00032AD6">
        <w:rPr>
          <w:lang w:val="en-US"/>
        </w:rPr>
        <w:t xml:space="preserve"> </w:t>
      </w:r>
      <w:r w:rsidRPr="00612975">
        <w:rPr>
          <w:lang w:val="en-US"/>
        </w:rPr>
        <w:t>70: 270-278, 2008.</w:t>
      </w:r>
    </w:p>
  </w:endnote>
  <w:endnote w:id="50">
    <w:p w14:paraId="1E82EBDC" w14:textId="77777777" w:rsidR="00DD7FD7" w:rsidRPr="00032AD6" w:rsidRDefault="00DD7FD7">
      <w:pPr>
        <w:pStyle w:val="Endnotentext"/>
        <w:rPr>
          <w:lang w:val="en-US"/>
        </w:rPr>
      </w:pPr>
      <w:r>
        <w:rPr>
          <w:rStyle w:val="Endnotenzeichen"/>
        </w:rPr>
        <w:endnoteRef/>
      </w:r>
      <w:r w:rsidRPr="00612975">
        <w:rPr>
          <w:lang w:val="en-US"/>
        </w:rPr>
        <w:t xml:space="preserve"> M. Thanou, J. C. Verhoef, J.H.M. Verheijden, H. E. Junginger, „Intestinal absorption of octreotide using trimethyl chitosan chloride: Studies in pigs.“, </w:t>
      </w:r>
      <w:r w:rsidRPr="006F58BF">
        <w:rPr>
          <w:i/>
          <w:lang w:val="en-US"/>
        </w:rPr>
        <w:t>Pharm. Res.</w:t>
      </w:r>
      <w:r w:rsidRPr="00032AD6">
        <w:rPr>
          <w:lang w:val="en-US"/>
        </w:rPr>
        <w:t xml:space="preserve"> 18: 823-828, 2001.</w:t>
      </w:r>
    </w:p>
  </w:endnote>
  <w:endnote w:id="51">
    <w:p w14:paraId="1F9F07C7" w14:textId="77777777" w:rsidR="00DD7FD7" w:rsidRPr="00612975" w:rsidRDefault="00DD7FD7">
      <w:pPr>
        <w:pStyle w:val="Endnotentext"/>
        <w:rPr>
          <w:lang w:val="en-US"/>
        </w:rPr>
      </w:pPr>
      <w:r>
        <w:rPr>
          <w:rStyle w:val="Endnotenzeichen"/>
        </w:rPr>
        <w:endnoteRef/>
      </w:r>
      <w:r w:rsidRPr="00032AD6">
        <w:rPr>
          <w:lang w:val="en-US"/>
        </w:rPr>
        <w:t xml:space="preserve"> S. M. van der Merwe, J. C. Verhoef, A. F. Kotzé, H. E. Junginger, „</w:t>
      </w:r>
      <w:r w:rsidRPr="00032AD6">
        <w:rPr>
          <w:i/>
          <w:lang w:val="en-US"/>
        </w:rPr>
        <w:t>N-</w:t>
      </w:r>
      <w:r w:rsidRPr="00032AD6">
        <w:rPr>
          <w:lang w:val="en-US"/>
        </w:rPr>
        <w:t xml:space="preserve">Trimethyl chitosan chloride as absorption enhancer in oral peptide drug delivery. </w:t>
      </w:r>
      <w:r w:rsidRPr="00612975">
        <w:rPr>
          <w:lang w:val="en-US"/>
        </w:rPr>
        <w:t xml:space="preserve">Development and characterization of minitablet and granulate formulations.“, </w:t>
      </w:r>
      <w:r w:rsidRPr="006F58BF">
        <w:rPr>
          <w:i/>
          <w:lang w:val="en-US"/>
        </w:rPr>
        <w:t>Eur. J. Pharm. Biopharm.</w:t>
      </w:r>
      <w:r w:rsidRPr="00032AD6">
        <w:rPr>
          <w:lang w:val="en-US"/>
        </w:rPr>
        <w:t xml:space="preserve"> </w:t>
      </w:r>
      <w:r w:rsidRPr="00612975">
        <w:rPr>
          <w:lang w:val="en-US"/>
        </w:rPr>
        <w:t>57: 85-91, 2004.</w:t>
      </w:r>
    </w:p>
  </w:endnote>
  <w:endnote w:id="52">
    <w:p w14:paraId="32FA2141" w14:textId="77777777" w:rsidR="00DD7FD7" w:rsidRPr="00612975" w:rsidRDefault="00DD7FD7">
      <w:pPr>
        <w:pStyle w:val="Endnotentext"/>
        <w:rPr>
          <w:lang w:val="en-US"/>
        </w:rPr>
      </w:pPr>
      <w:r>
        <w:rPr>
          <w:rStyle w:val="Endnotenzeichen"/>
        </w:rPr>
        <w:endnoteRef/>
      </w:r>
      <w:r w:rsidRPr="00612975">
        <w:rPr>
          <w:lang w:val="en-US"/>
        </w:rPr>
        <w:t xml:space="preserve"> A. Bernkop-Schnürch, A. H. Krauland, V. M. Leitner, T. Palmberger, „Thiomers: Potential excipients for non-invasive peptide delivery systems“, </w:t>
      </w:r>
      <w:r w:rsidRPr="006F58BF">
        <w:rPr>
          <w:i/>
          <w:lang w:val="en-US"/>
        </w:rPr>
        <w:t>Eur. J. Pharm. Biopharm.</w:t>
      </w:r>
      <w:r w:rsidRPr="00D11EB0">
        <w:rPr>
          <w:lang w:val="en-US"/>
        </w:rPr>
        <w:t xml:space="preserve"> </w:t>
      </w:r>
      <w:r w:rsidRPr="00612975">
        <w:rPr>
          <w:lang w:val="en-US"/>
        </w:rPr>
        <w:t>58: 253-263, 2004.</w:t>
      </w:r>
    </w:p>
  </w:endnote>
  <w:endnote w:id="53">
    <w:p w14:paraId="40DA8AC9" w14:textId="77777777" w:rsidR="00DD7FD7" w:rsidRPr="00612975" w:rsidRDefault="00DD7FD7">
      <w:pPr>
        <w:pStyle w:val="Endnotentext"/>
        <w:rPr>
          <w:lang w:val="en-US"/>
        </w:rPr>
      </w:pPr>
      <w:r>
        <w:rPr>
          <w:rStyle w:val="Endnotenzeichen"/>
        </w:rPr>
        <w:endnoteRef/>
      </w:r>
      <w:r w:rsidRPr="00612975">
        <w:rPr>
          <w:lang w:val="en-US"/>
        </w:rPr>
        <w:t xml:space="preserve"> V. M. Leitner, G. F.</w:t>
      </w:r>
      <w:r>
        <w:rPr>
          <w:lang w:val="en-US"/>
        </w:rPr>
        <w:t xml:space="preserve"> Walker, A. Bernkop-Schnürch, „</w:t>
      </w:r>
      <w:r w:rsidRPr="00612975">
        <w:rPr>
          <w:lang w:val="en-US"/>
        </w:rPr>
        <w:t xml:space="preserve">Thiolated polymers: Evidence for the formation of disulphide bonds with mucus glycoproteins.“ </w:t>
      </w:r>
      <w:r w:rsidRPr="006F58BF">
        <w:rPr>
          <w:i/>
          <w:lang w:val="en-US"/>
        </w:rPr>
        <w:t>Eur. J. Pharm. Biopharm.</w:t>
      </w:r>
      <w:r w:rsidRPr="00612975">
        <w:rPr>
          <w:lang w:val="en-US"/>
        </w:rPr>
        <w:t xml:space="preserve"> 56: 207-214, 2003.</w:t>
      </w:r>
    </w:p>
  </w:endnote>
  <w:endnote w:id="54">
    <w:p w14:paraId="1B0B2880" w14:textId="77777777" w:rsidR="00DD7FD7" w:rsidRPr="00612975" w:rsidRDefault="00DD7FD7">
      <w:pPr>
        <w:pStyle w:val="Endnotentext"/>
        <w:rPr>
          <w:lang w:val="en-US"/>
        </w:rPr>
      </w:pPr>
      <w:r>
        <w:rPr>
          <w:rStyle w:val="Endnotenzeichen"/>
        </w:rPr>
        <w:endnoteRef/>
      </w:r>
      <w:r w:rsidRPr="00612975">
        <w:rPr>
          <w:lang w:val="en-US"/>
        </w:rPr>
        <w:t xml:space="preserve"> V. K. Mourya, N. N. Inamdar, „Chitosan-modifications and applications: Opportunities galore“, </w:t>
      </w:r>
      <w:r w:rsidRPr="006F58BF">
        <w:rPr>
          <w:i/>
          <w:lang w:val="en-US"/>
        </w:rPr>
        <w:t>React. Funct. Polym.</w:t>
      </w:r>
      <w:r w:rsidRPr="00612975">
        <w:rPr>
          <w:lang w:val="en-US"/>
        </w:rPr>
        <w:t xml:space="preserve"> 68: 1013-1051, 2008</w:t>
      </w:r>
      <w:r>
        <w:rPr>
          <w:lang w:val="en-US"/>
        </w:rPr>
        <w:t>.</w:t>
      </w:r>
    </w:p>
  </w:endnote>
  <w:endnote w:id="55">
    <w:p w14:paraId="161D640F" w14:textId="77777777" w:rsidR="00DD7FD7" w:rsidRPr="00612975" w:rsidRDefault="00DD7FD7">
      <w:pPr>
        <w:pStyle w:val="Endnotentext"/>
        <w:rPr>
          <w:lang w:val="en-US"/>
        </w:rPr>
      </w:pPr>
      <w:r>
        <w:rPr>
          <w:rStyle w:val="Endnotenzeichen"/>
        </w:rPr>
        <w:endnoteRef/>
      </w:r>
      <w:r w:rsidRPr="00612975">
        <w:rPr>
          <w:lang w:val="en-US"/>
        </w:rPr>
        <w:t xml:space="preserve"> Y. Ikada, H. Tsuji, „Biodegradable polyesters for medical and ecological applications", </w:t>
      </w:r>
      <w:r w:rsidRPr="006F58BF">
        <w:rPr>
          <w:i/>
          <w:lang w:val="en-US"/>
        </w:rPr>
        <w:t>Macromol. Rapid Commun.</w:t>
      </w:r>
      <w:r w:rsidRPr="00612975">
        <w:rPr>
          <w:lang w:val="en-US"/>
        </w:rPr>
        <w:t xml:space="preserve"> 21: 117-132, 2000.</w:t>
      </w:r>
    </w:p>
  </w:endnote>
  <w:endnote w:id="56">
    <w:p w14:paraId="009457B7" w14:textId="77777777" w:rsidR="00DD7FD7" w:rsidRPr="001A6BA1" w:rsidRDefault="00DD7FD7">
      <w:pPr>
        <w:pStyle w:val="Endnotentext"/>
        <w:rPr>
          <w:lang w:val="en-US"/>
        </w:rPr>
      </w:pPr>
      <w:r>
        <w:rPr>
          <w:rStyle w:val="Endnotenzeichen"/>
        </w:rPr>
        <w:endnoteRef/>
      </w:r>
      <w:r w:rsidRPr="001A6BA1">
        <w:rPr>
          <w:lang w:val="en-US"/>
        </w:rPr>
        <w:t xml:space="preserve"> </w:t>
      </w:r>
      <w:r>
        <w:rPr>
          <w:lang w:val="en-US"/>
        </w:rPr>
        <w:t xml:space="preserve">D. Bendix, “Chemical synthesis of polylactide and its copolymers for medical applications”, </w:t>
      </w:r>
      <w:r w:rsidRPr="006F58BF">
        <w:rPr>
          <w:i/>
          <w:lang w:val="en-US"/>
        </w:rPr>
        <w:t>Polymer Degradation and Stability</w:t>
      </w:r>
      <w:r>
        <w:rPr>
          <w:lang w:val="en-US"/>
        </w:rPr>
        <w:t xml:space="preserve"> 59: 129-135, 1998.</w:t>
      </w:r>
    </w:p>
  </w:endnote>
  <w:endnote w:id="57">
    <w:p w14:paraId="55F5A6CD" w14:textId="77777777" w:rsidR="00DD7FD7" w:rsidRPr="00612975" w:rsidRDefault="00DD7FD7">
      <w:pPr>
        <w:pStyle w:val="Endnotentext"/>
        <w:rPr>
          <w:lang w:val="en-US"/>
        </w:rPr>
      </w:pPr>
      <w:r>
        <w:rPr>
          <w:rStyle w:val="Endnotenzeichen"/>
        </w:rPr>
        <w:endnoteRef/>
      </w:r>
      <w:r w:rsidRPr="00612975">
        <w:rPr>
          <w:lang w:val="en-US"/>
        </w:rPr>
        <w:t xml:space="preserve"> X. Song, X. Zhao, Y. Zhou, S. Li, Q. Ma, „Pharmacokinetics and disposition of various drug loaded biodegradable poly(lactide-co-glycolide) (PLGA) nanoparticles", </w:t>
      </w:r>
      <w:r w:rsidRPr="006F58BF">
        <w:rPr>
          <w:i/>
          <w:lang w:val="en-US"/>
        </w:rPr>
        <w:t>Curr. Drug Metab.</w:t>
      </w:r>
      <w:r w:rsidRPr="00612975">
        <w:rPr>
          <w:lang w:val="en-US"/>
        </w:rPr>
        <w:t xml:space="preserve"> 11: 859-869, 2010.</w:t>
      </w:r>
    </w:p>
  </w:endnote>
  <w:endnote w:id="58">
    <w:p w14:paraId="4C0CDD77" w14:textId="77777777" w:rsidR="00DD7FD7" w:rsidRPr="00612975" w:rsidRDefault="00DD7FD7">
      <w:pPr>
        <w:pStyle w:val="Endnotentext"/>
        <w:rPr>
          <w:lang w:val="en-US"/>
        </w:rPr>
      </w:pPr>
      <w:r>
        <w:rPr>
          <w:rStyle w:val="Endnotenzeichen"/>
        </w:rPr>
        <w:endnoteRef/>
      </w:r>
      <w:r w:rsidRPr="00612975">
        <w:rPr>
          <w:lang w:val="en-US"/>
        </w:rPr>
        <w:t xml:space="preserve"> J. M. Brady, D. E. Cutright, R. A. Miller, and G. C. Battestone, </w:t>
      </w:r>
      <w:r w:rsidRPr="006F58BF">
        <w:rPr>
          <w:i/>
          <w:lang w:val="en-US"/>
        </w:rPr>
        <w:t>J. Biomed. Mater. Res.</w:t>
      </w:r>
      <w:r w:rsidRPr="00612975">
        <w:rPr>
          <w:lang w:val="en-US"/>
        </w:rPr>
        <w:t xml:space="preserve"> 7: 155, 1973.</w:t>
      </w:r>
    </w:p>
  </w:endnote>
  <w:endnote w:id="59">
    <w:p w14:paraId="2498FF1D" w14:textId="77777777" w:rsidR="00DD7FD7" w:rsidRPr="00032AD6" w:rsidRDefault="00DD7FD7">
      <w:pPr>
        <w:pStyle w:val="Endnotentext"/>
        <w:rPr>
          <w:lang w:val="en-US"/>
        </w:rPr>
      </w:pPr>
      <w:r>
        <w:rPr>
          <w:rStyle w:val="Endnotenzeichen"/>
        </w:rPr>
        <w:endnoteRef/>
      </w:r>
      <w:r w:rsidRPr="00612975">
        <w:rPr>
          <w:lang w:val="en-US"/>
        </w:rPr>
        <w:t xml:space="preserve"> M. </w:t>
      </w:r>
      <w:r>
        <w:rPr>
          <w:lang w:val="en-US"/>
        </w:rPr>
        <w:t>Dorta, O. Munguía, M. Llabres,</w:t>
      </w:r>
      <w:r w:rsidRPr="00726FEB">
        <w:rPr>
          <w:lang w:val="en-US"/>
        </w:rPr>
        <w:t xml:space="preserve"> „</w:t>
      </w:r>
      <w:r w:rsidRPr="00612975">
        <w:rPr>
          <w:lang w:val="en-US"/>
        </w:rPr>
        <w:t xml:space="preserve">Effects of polymerization variables on PLGA properties: molecular weight, </w:t>
      </w:r>
      <w:r>
        <w:rPr>
          <w:lang w:val="en-US"/>
        </w:rPr>
        <w:t>composition and chain structure”</w:t>
      </w:r>
      <w:r w:rsidRPr="00612975">
        <w:rPr>
          <w:lang w:val="en-US"/>
        </w:rPr>
        <w:t xml:space="preserve">, </w:t>
      </w:r>
      <w:r w:rsidRPr="00E529B8">
        <w:rPr>
          <w:i/>
          <w:lang w:val="en-US"/>
        </w:rPr>
        <w:t>Int. J. Pharm.</w:t>
      </w:r>
      <w:r w:rsidRPr="00612975">
        <w:rPr>
          <w:lang w:val="en-US"/>
        </w:rPr>
        <w:t xml:space="preserve"> </w:t>
      </w:r>
      <w:r w:rsidRPr="00032AD6">
        <w:rPr>
          <w:lang w:val="en-US"/>
        </w:rPr>
        <w:t>100: 9-14, 1993.</w:t>
      </w:r>
    </w:p>
  </w:endnote>
  <w:endnote w:id="60">
    <w:p w14:paraId="1C7FD00F" w14:textId="77777777" w:rsidR="00DD7FD7" w:rsidRPr="00612975" w:rsidRDefault="00DD7FD7">
      <w:pPr>
        <w:pStyle w:val="Endnotentext"/>
        <w:rPr>
          <w:lang w:val="en-US"/>
        </w:rPr>
      </w:pPr>
      <w:r>
        <w:rPr>
          <w:rStyle w:val="Endnotenzeichen"/>
        </w:rPr>
        <w:endnoteRef/>
      </w:r>
      <w:r w:rsidRPr="00612975">
        <w:rPr>
          <w:lang w:val="en-US"/>
        </w:rPr>
        <w:t xml:space="preserve"> L. Brandon-</w:t>
      </w:r>
      <w:r>
        <w:rPr>
          <w:lang w:val="en-US"/>
        </w:rPr>
        <w:t>Peppas, M. Vert, I</w:t>
      </w:r>
      <w:r w:rsidRPr="00612975">
        <w:rPr>
          <w:lang w:val="en-US"/>
        </w:rPr>
        <w:t>n</w:t>
      </w:r>
      <w:r>
        <w:rPr>
          <w:lang w:val="en-US"/>
        </w:rPr>
        <w:t>:</w:t>
      </w:r>
      <w:r w:rsidRPr="00612975">
        <w:rPr>
          <w:lang w:val="en-US"/>
        </w:rPr>
        <w:t xml:space="preserve"> Handbook of pharmaceutical controlled release technology, Marcel Dekker, New York, 2000.</w:t>
      </w:r>
    </w:p>
  </w:endnote>
  <w:endnote w:id="61">
    <w:p w14:paraId="6E5D7EBA" w14:textId="77777777" w:rsidR="00DD7FD7" w:rsidRPr="00726FEB" w:rsidRDefault="00DD7FD7">
      <w:pPr>
        <w:pStyle w:val="Endnotentext"/>
        <w:rPr>
          <w:lang w:val="en-US"/>
        </w:rPr>
      </w:pPr>
      <w:r>
        <w:rPr>
          <w:rStyle w:val="Endnotenzeichen"/>
        </w:rPr>
        <w:endnoteRef/>
      </w:r>
      <w:r w:rsidRPr="00726FEB">
        <w:rPr>
          <w:lang w:val="en-US"/>
        </w:rPr>
        <w:t xml:space="preserve"> E. S. Lee, K.-H. Park, D. Kang, I. S. Park, H. Y. Min, D. H. Lee, „Protein complexed with chondroitin sulfate in poly(lactide-co-glycolide) microspheres“, </w:t>
      </w:r>
      <w:r w:rsidRPr="00726FEB">
        <w:rPr>
          <w:i/>
          <w:lang w:val="en-US"/>
        </w:rPr>
        <w:t>Biomaterials</w:t>
      </w:r>
      <w:r w:rsidRPr="00726FEB">
        <w:rPr>
          <w:lang w:val="en-US"/>
        </w:rPr>
        <w:t xml:space="preserve"> 28: 2754-2762, 2007.</w:t>
      </w:r>
    </w:p>
  </w:endnote>
  <w:endnote w:id="62">
    <w:p w14:paraId="13D39704" w14:textId="77777777" w:rsidR="00DD7FD7" w:rsidRPr="00726FEB" w:rsidRDefault="00DD7FD7">
      <w:pPr>
        <w:pStyle w:val="Endnotentext"/>
        <w:rPr>
          <w:lang w:val="en-US"/>
        </w:rPr>
      </w:pPr>
      <w:r>
        <w:rPr>
          <w:rStyle w:val="Endnotenzeichen"/>
        </w:rPr>
        <w:endnoteRef/>
      </w:r>
      <w:r w:rsidRPr="00726FEB">
        <w:rPr>
          <w:lang w:val="en-US"/>
        </w:rPr>
        <w:t xml:space="preserve"> A. Breitenbach, T. Kissel, „Biodegradable comb polyesters: Part I. Synthesis, characterization and structural analysis of poly (lactide) and poly (lactide-co-glycolide) grafted onto water-soluble poly (vinyl alcohol) as backbone“, </w:t>
      </w:r>
      <w:r w:rsidRPr="00726FEB">
        <w:rPr>
          <w:i/>
          <w:lang w:val="en-US"/>
        </w:rPr>
        <w:t>Polymer</w:t>
      </w:r>
      <w:r w:rsidRPr="00726FEB">
        <w:rPr>
          <w:lang w:val="en-US"/>
        </w:rPr>
        <w:t xml:space="preserve"> 39: 3261-3271, 1998.</w:t>
      </w:r>
    </w:p>
  </w:endnote>
  <w:endnote w:id="63">
    <w:p w14:paraId="3755283B" w14:textId="77777777" w:rsidR="00DD7FD7" w:rsidRPr="00726FEB" w:rsidRDefault="00DD7FD7">
      <w:pPr>
        <w:pStyle w:val="Endnotentext"/>
        <w:rPr>
          <w:lang w:val="en-US"/>
        </w:rPr>
      </w:pPr>
      <w:r>
        <w:rPr>
          <w:rStyle w:val="Endnotenzeichen"/>
        </w:rPr>
        <w:endnoteRef/>
      </w:r>
      <w:r w:rsidRPr="00726FEB">
        <w:rPr>
          <w:lang w:val="en-US"/>
        </w:rPr>
        <w:t xml:space="preserve"> M. Simon, M. Wittmar, U. Bakowsky, T. Kissel, „Self-assembling nanocomplexes from insulin and water-soluble branched polyesters, poly[(vinyl-3-(diethylamino)-propylcarbamate-co-(vinyl acetate)-co-(vinyl alcohol)]-graft-poly(l-lactic acid): A novel carrier for transmucosal delivery of peptides“, </w:t>
      </w:r>
      <w:r w:rsidRPr="00726FEB">
        <w:rPr>
          <w:i/>
          <w:lang w:val="en-US"/>
        </w:rPr>
        <w:t>Bioconjugate Chem.</w:t>
      </w:r>
      <w:r w:rsidRPr="00726FEB">
        <w:rPr>
          <w:lang w:val="en-US"/>
        </w:rPr>
        <w:t xml:space="preserve"> 15: 841-849, 2004.</w:t>
      </w:r>
    </w:p>
  </w:endnote>
  <w:endnote w:id="64">
    <w:p w14:paraId="58F5269D" w14:textId="77777777" w:rsidR="00DD7FD7" w:rsidRPr="00726FEB" w:rsidRDefault="00DD7FD7">
      <w:pPr>
        <w:pStyle w:val="Endnotentext"/>
        <w:rPr>
          <w:lang w:val="en-US"/>
        </w:rPr>
      </w:pPr>
      <w:r>
        <w:rPr>
          <w:rStyle w:val="Endnotenzeichen"/>
        </w:rPr>
        <w:endnoteRef/>
      </w:r>
      <w:r w:rsidRPr="00726FEB">
        <w:rPr>
          <w:lang w:val="en-US"/>
        </w:rPr>
        <w:t xml:space="preserve"> Y. E. Rahman, „Studies on liposomes (lipid spherules) prepared from mitochindrial and microsomal phospholipids. Their surface charge and their interactions with various proteins.“, </w:t>
      </w:r>
      <w:r w:rsidRPr="006F58BF">
        <w:rPr>
          <w:i/>
          <w:lang w:val="en-US"/>
        </w:rPr>
        <w:t>Anl. Rep.</w:t>
      </w:r>
      <w:r w:rsidRPr="00726FEB">
        <w:rPr>
          <w:lang w:val="en-US"/>
        </w:rPr>
        <w:t>, 225-226, 1969.</w:t>
      </w:r>
    </w:p>
  </w:endnote>
  <w:endnote w:id="65">
    <w:p w14:paraId="4FD7444E" w14:textId="77777777" w:rsidR="00DD7FD7" w:rsidRDefault="00DD7FD7" w:rsidP="005F5E9A">
      <w:pPr>
        <w:pStyle w:val="Endnotentext"/>
      </w:pPr>
      <w:r>
        <w:rPr>
          <w:rStyle w:val="Endnotenzeichen"/>
        </w:rPr>
        <w:endnoteRef/>
      </w:r>
      <w:r w:rsidRPr="00726FEB">
        <w:rPr>
          <w:lang w:val="en-US"/>
        </w:rPr>
        <w:t xml:space="preserve"> J. A. Fix, „Oral controlled release technology for peptides: status and future prospects.“, </w:t>
      </w:r>
      <w:r w:rsidRPr="006F58BF">
        <w:rPr>
          <w:i/>
          <w:lang w:val="en-US"/>
        </w:rPr>
        <w:t xml:space="preserve">Pharm. </w:t>
      </w:r>
      <w:r w:rsidRPr="006F58BF">
        <w:rPr>
          <w:i/>
        </w:rPr>
        <w:t xml:space="preserve">Res. </w:t>
      </w:r>
      <w:r>
        <w:t>13: 1760-1764, 1996.</w:t>
      </w:r>
    </w:p>
  </w:endnote>
  <w:endnote w:id="66">
    <w:p w14:paraId="10643410" w14:textId="77777777" w:rsidR="00DD7FD7" w:rsidRPr="00491CCB" w:rsidRDefault="00DD7FD7">
      <w:pPr>
        <w:pStyle w:val="Endnotentext"/>
        <w:rPr>
          <w:lang w:val="en-US"/>
        </w:rPr>
      </w:pPr>
      <w:r>
        <w:rPr>
          <w:rStyle w:val="Endnotenzeichen"/>
        </w:rPr>
        <w:endnoteRef/>
      </w:r>
      <w:r>
        <w:t xml:space="preserve"> H. E. Junginger, J. C. Verhoef, „Perorale Applikation von Peptiden und Proteinen.“ </w:t>
      </w:r>
      <w:r w:rsidRPr="006F58BF">
        <w:rPr>
          <w:i/>
          <w:lang w:val="en-US"/>
        </w:rPr>
        <w:t>Dtsch. Apotheker Ztg.</w:t>
      </w:r>
      <w:r w:rsidRPr="00491CCB">
        <w:rPr>
          <w:lang w:val="en-US"/>
        </w:rPr>
        <w:t>, 132. Jhg., 24, 1279-1290, 1992.</w:t>
      </w:r>
    </w:p>
  </w:endnote>
  <w:endnote w:id="67">
    <w:p w14:paraId="6F2E077A" w14:textId="77777777" w:rsidR="00DD7FD7" w:rsidRPr="00726FEB" w:rsidRDefault="00DD7FD7">
      <w:pPr>
        <w:pStyle w:val="Endnotentext"/>
        <w:rPr>
          <w:lang w:val="en-US"/>
        </w:rPr>
      </w:pPr>
      <w:r>
        <w:rPr>
          <w:rStyle w:val="Endnotenzeichen"/>
        </w:rPr>
        <w:endnoteRef/>
      </w:r>
      <w:r w:rsidRPr="00726FEB">
        <w:rPr>
          <w:lang w:val="en-US"/>
        </w:rPr>
        <w:t xml:space="preserve"> V.H.L. Lee, S.D. Kashi, G.M. Grass, W. Rubas, „Oral route of peptide a</w:t>
      </w:r>
      <w:r>
        <w:rPr>
          <w:lang w:val="en-US"/>
        </w:rPr>
        <w:t xml:space="preserve">nd protein drug delivery.“, </w:t>
      </w:r>
      <w:r w:rsidRPr="00760B3B">
        <w:rPr>
          <w:i/>
          <w:lang w:val="en-US"/>
        </w:rPr>
        <w:t>Peptide and protein drug delivery</w:t>
      </w:r>
      <w:r w:rsidRPr="00726FEB">
        <w:rPr>
          <w:lang w:val="en-US"/>
        </w:rPr>
        <w:t>,</w:t>
      </w:r>
      <w:r>
        <w:rPr>
          <w:lang w:val="en-US"/>
        </w:rPr>
        <w:t xml:space="preserve"> V.H.L. Lee (Ed.), Marcel Dekker</w:t>
      </w:r>
      <w:r w:rsidRPr="00726FEB">
        <w:rPr>
          <w:lang w:val="en-US"/>
        </w:rPr>
        <w:t xml:space="preserve"> Inc., </w:t>
      </w:r>
      <w:r>
        <w:rPr>
          <w:lang w:val="en-US"/>
        </w:rPr>
        <w:t>New York,</w:t>
      </w:r>
      <w:r w:rsidRPr="00726FEB">
        <w:rPr>
          <w:lang w:val="en-US"/>
        </w:rPr>
        <w:t xml:space="preserve"> 691-738, 1991.</w:t>
      </w:r>
    </w:p>
  </w:endnote>
  <w:endnote w:id="68">
    <w:p w14:paraId="53E1BFF7" w14:textId="77777777" w:rsidR="00DD7FD7" w:rsidRPr="00726FEB" w:rsidRDefault="00DD7FD7">
      <w:pPr>
        <w:pStyle w:val="Endnotentext"/>
        <w:rPr>
          <w:lang w:val="en-US"/>
        </w:rPr>
      </w:pPr>
      <w:r>
        <w:rPr>
          <w:rStyle w:val="Endnotenzeichen"/>
        </w:rPr>
        <w:endnoteRef/>
      </w:r>
      <w:r w:rsidRPr="00726FEB">
        <w:rPr>
          <w:lang w:val="en-US"/>
        </w:rPr>
        <w:t xml:space="preserve"> J. S. Morley, C. F. Hayward, R. J. Carter, S. Shuster, </w:t>
      </w:r>
      <w:r w:rsidRPr="006F58BF">
        <w:rPr>
          <w:i/>
          <w:lang w:val="en-US"/>
        </w:rPr>
        <w:t>Neuropeptides</w:t>
      </w:r>
      <w:r w:rsidRPr="00726FEB">
        <w:rPr>
          <w:lang w:val="en-US"/>
        </w:rPr>
        <w:t xml:space="preserve"> 2:109, 1981.</w:t>
      </w:r>
    </w:p>
  </w:endnote>
  <w:endnote w:id="69">
    <w:p w14:paraId="168E4F42" w14:textId="77777777" w:rsidR="00DD7FD7" w:rsidRPr="00726FEB" w:rsidRDefault="00DD7FD7">
      <w:pPr>
        <w:pStyle w:val="Endnotentext"/>
        <w:rPr>
          <w:lang w:val="en-US"/>
        </w:rPr>
      </w:pPr>
      <w:r>
        <w:rPr>
          <w:rStyle w:val="Endnotenzeichen"/>
        </w:rPr>
        <w:endnoteRef/>
      </w:r>
      <w:r w:rsidRPr="00726FEB">
        <w:rPr>
          <w:lang w:val="en-US"/>
        </w:rPr>
        <w:t xml:space="preserve"> F. F. Davis, „The origin of pegnology", </w:t>
      </w:r>
      <w:r w:rsidRPr="00726FEB">
        <w:rPr>
          <w:i/>
          <w:lang w:val="en-US"/>
        </w:rPr>
        <w:t>Advanced Drug Delivery Reviews</w:t>
      </w:r>
      <w:r w:rsidRPr="00726FEB">
        <w:rPr>
          <w:lang w:val="en-US"/>
        </w:rPr>
        <w:t xml:space="preserve"> 54(4): 457–458, 2002.</w:t>
      </w:r>
    </w:p>
  </w:endnote>
  <w:endnote w:id="70">
    <w:p w14:paraId="6C83595C" w14:textId="77777777" w:rsidR="00DD7FD7" w:rsidRPr="00D11EB0" w:rsidRDefault="00DD7FD7">
      <w:pPr>
        <w:pStyle w:val="Endnotentext"/>
        <w:rPr>
          <w:lang w:val="en-US"/>
        </w:rPr>
      </w:pPr>
      <w:r>
        <w:rPr>
          <w:rStyle w:val="Endnotenzeichen"/>
        </w:rPr>
        <w:endnoteRef/>
      </w:r>
      <w:r w:rsidRPr="00726FEB">
        <w:rPr>
          <w:lang w:val="en-US"/>
        </w:rPr>
        <w:t xml:space="preserve"> P. W. Swaan, „Recent advances in intestinal macromolecular drug delivery via receptor mediated transport pathways.“, </w:t>
      </w:r>
      <w:r w:rsidRPr="006F58BF">
        <w:rPr>
          <w:i/>
          <w:lang w:val="en-US"/>
        </w:rPr>
        <w:t>Pharm. Res.</w:t>
      </w:r>
      <w:r>
        <w:rPr>
          <w:lang w:val="en-US"/>
        </w:rPr>
        <w:t xml:space="preserve"> 15(6):</w:t>
      </w:r>
      <w:r w:rsidRPr="00D11EB0">
        <w:rPr>
          <w:lang w:val="en-US"/>
        </w:rPr>
        <w:t xml:space="preserve"> 826-834, 1998.</w:t>
      </w:r>
    </w:p>
  </w:endnote>
  <w:endnote w:id="71">
    <w:p w14:paraId="06081C15" w14:textId="77777777" w:rsidR="00DD7FD7" w:rsidRPr="00726FEB" w:rsidRDefault="00DD7FD7">
      <w:pPr>
        <w:pStyle w:val="Endnotentext"/>
        <w:rPr>
          <w:lang w:val="en-US"/>
        </w:rPr>
      </w:pPr>
      <w:r>
        <w:rPr>
          <w:rStyle w:val="Endnotenzeichen"/>
        </w:rPr>
        <w:endnoteRef/>
      </w:r>
      <w:r w:rsidRPr="00726FEB">
        <w:rPr>
          <w:lang w:val="en-US"/>
        </w:rPr>
        <w:t xml:space="preserve"> D. M. Oh, H. K. Han, G. L. Amidon, „Drug transport and targeting. Intestinal transport.“, </w:t>
      </w:r>
      <w:r w:rsidRPr="00726FEB">
        <w:rPr>
          <w:i/>
          <w:lang w:val="en-US"/>
        </w:rPr>
        <w:t>Pharm. Biotechnol.</w:t>
      </w:r>
      <w:r>
        <w:rPr>
          <w:lang w:val="en-US"/>
        </w:rPr>
        <w:t xml:space="preserve"> 12:</w:t>
      </w:r>
      <w:r w:rsidRPr="00726FEB">
        <w:rPr>
          <w:lang w:val="en-US"/>
        </w:rPr>
        <w:t xml:space="preserve"> 59-88, 1999.</w:t>
      </w:r>
    </w:p>
  </w:endnote>
  <w:endnote w:id="72">
    <w:p w14:paraId="0029F646" w14:textId="77777777" w:rsidR="00DD7FD7" w:rsidRPr="00D11EB0" w:rsidRDefault="00DD7FD7">
      <w:pPr>
        <w:pStyle w:val="Endnotentext"/>
        <w:rPr>
          <w:lang w:val="en-US"/>
        </w:rPr>
      </w:pPr>
      <w:r>
        <w:rPr>
          <w:rStyle w:val="Endnotenzeichen"/>
        </w:rPr>
        <w:endnoteRef/>
      </w:r>
      <w:r w:rsidRPr="00726FEB">
        <w:rPr>
          <w:lang w:val="en-US"/>
        </w:rPr>
        <w:t xml:space="preserve"> D. Shah, W.-C. Shen, „Transcellular delivery of an insulin-transferrin conjugate in enterocyte-like Caco-2 cells“, </w:t>
      </w:r>
      <w:r w:rsidRPr="006F58BF">
        <w:rPr>
          <w:i/>
          <w:lang w:val="en-US"/>
        </w:rPr>
        <w:t>J. Pharm. Sci.</w:t>
      </w:r>
      <w:r>
        <w:rPr>
          <w:lang w:val="en-US"/>
        </w:rPr>
        <w:t xml:space="preserve"> 85:</w:t>
      </w:r>
      <w:r w:rsidRPr="00D11EB0">
        <w:rPr>
          <w:lang w:val="en-US"/>
        </w:rPr>
        <w:t xml:space="preserve"> 1306-1311, 1994.</w:t>
      </w:r>
    </w:p>
  </w:endnote>
  <w:endnote w:id="73">
    <w:p w14:paraId="64D98816" w14:textId="77777777" w:rsidR="00DD7FD7" w:rsidRPr="00D11EB0" w:rsidRDefault="00DD7FD7">
      <w:pPr>
        <w:pStyle w:val="Endnotentext"/>
        <w:rPr>
          <w:lang w:val="en-US"/>
        </w:rPr>
      </w:pPr>
      <w:r>
        <w:rPr>
          <w:rStyle w:val="Endnotenzeichen"/>
        </w:rPr>
        <w:endnoteRef/>
      </w:r>
      <w:r w:rsidRPr="00726FEB">
        <w:rPr>
          <w:lang w:val="en-US"/>
        </w:rPr>
        <w:t xml:space="preserve"> A. H. Kahns, A. Buur, H. Bundgaard, „Prodrugs of peptides. Synthesis and evaluation of various etsers of desmopressin (dDAVP).“, </w:t>
      </w:r>
      <w:r w:rsidRPr="00726FEB">
        <w:rPr>
          <w:i/>
          <w:lang w:val="en-US"/>
        </w:rPr>
        <w:t xml:space="preserve">Pharm. </w:t>
      </w:r>
      <w:r w:rsidRPr="00D11EB0">
        <w:rPr>
          <w:i/>
          <w:lang w:val="en-US"/>
        </w:rPr>
        <w:t xml:space="preserve">Res. </w:t>
      </w:r>
      <w:r>
        <w:rPr>
          <w:lang w:val="en-US"/>
        </w:rPr>
        <w:t>10(1):</w:t>
      </w:r>
      <w:r w:rsidRPr="00D11EB0">
        <w:rPr>
          <w:lang w:val="en-US"/>
        </w:rPr>
        <w:t xml:space="preserve"> 68-74, 1993.</w:t>
      </w:r>
    </w:p>
  </w:endnote>
  <w:endnote w:id="74">
    <w:p w14:paraId="084697BA" w14:textId="77777777" w:rsidR="00DD7FD7" w:rsidRPr="00491CCB" w:rsidRDefault="00DD7FD7">
      <w:pPr>
        <w:pStyle w:val="Endnotentext"/>
        <w:rPr>
          <w:lang w:val="en-US"/>
        </w:rPr>
      </w:pPr>
      <w:r>
        <w:rPr>
          <w:rStyle w:val="Endnotenzeichen"/>
        </w:rPr>
        <w:endnoteRef/>
      </w:r>
      <w:r w:rsidRPr="00726FEB">
        <w:rPr>
          <w:lang w:val="en-US"/>
        </w:rPr>
        <w:t xml:space="preserve"> H. Asada, T. Douen, Y. Mizokoshi et al., „Stability of acyl derivatives of insulin in the small intestine: relative importance of insulin association characteristics in aqueous solution.“, </w:t>
      </w:r>
      <w:r w:rsidRPr="00726FEB">
        <w:rPr>
          <w:i/>
          <w:lang w:val="en-US"/>
        </w:rPr>
        <w:t xml:space="preserve">Pharm. </w:t>
      </w:r>
      <w:r w:rsidRPr="00491CCB">
        <w:rPr>
          <w:i/>
          <w:lang w:val="en-US"/>
        </w:rPr>
        <w:t xml:space="preserve">Res. </w:t>
      </w:r>
      <w:r>
        <w:rPr>
          <w:lang w:val="en-US"/>
        </w:rPr>
        <w:t>11(8):</w:t>
      </w:r>
      <w:r w:rsidRPr="00491CCB">
        <w:rPr>
          <w:lang w:val="en-US"/>
        </w:rPr>
        <w:t xml:space="preserve"> 1115-1120, 1994.</w:t>
      </w:r>
    </w:p>
  </w:endnote>
  <w:endnote w:id="75">
    <w:p w14:paraId="1737735E" w14:textId="77777777" w:rsidR="00DD7FD7" w:rsidRPr="00491CCB" w:rsidRDefault="00DD7FD7">
      <w:pPr>
        <w:pStyle w:val="Endnotentext"/>
        <w:rPr>
          <w:lang w:val="en-US"/>
        </w:rPr>
      </w:pPr>
      <w:r>
        <w:rPr>
          <w:rStyle w:val="Endnotenzeichen"/>
        </w:rPr>
        <w:endnoteRef/>
      </w:r>
      <w:r w:rsidRPr="00726FEB">
        <w:rPr>
          <w:lang w:val="en-US"/>
        </w:rPr>
        <w:t xml:space="preserve"> E. Vive`s, P. Brodin, B. Lebleu, </w:t>
      </w:r>
      <w:r w:rsidRPr="00726FEB">
        <w:rPr>
          <w:i/>
          <w:lang w:val="en-US"/>
        </w:rPr>
        <w:t xml:space="preserve">J. Biol. </w:t>
      </w:r>
      <w:r w:rsidRPr="00491CCB">
        <w:rPr>
          <w:i/>
          <w:lang w:val="en-US"/>
        </w:rPr>
        <w:t>Chem.</w:t>
      </w:r>
      <w:r>
        <w:rPr>
          <w:lang w:val="en-US"/>
        </w:rPr>
        <w:t xml:space="preserve"> 272:</w:t>
      </w:r>
      <w:r w:rsidRPr="00491CCB">
        <w:rPr>
          <w:lang w:val="en-US"/>
        </w:rPr>
        <w:t xml:space="preserve"> 16010–16017, 1997.</w:t>
      </w:r>
    </w:p>
  </w:endnote>
  <w:endnote w:id="76">
    <w:p w14:paraId="4551AAD9" w14:textId="77777777" w:rsidR="00DD7FD7" w:rsidRPr="004179CF" w:rsidRDefault="00DD7FD7">
      <w:pPr>
        <w:pStyle w:val="Endnotentext"/>
        <w:rPr>
          <w:i/>
        </w:rPr>
      </w:pPr>
      <w:r>
        <w:rPr>
          <w:rStyle w:val="Endnotenzeichen"/>
        </w:rPr>
        <w:endnoteRef/>
      </w:r>
      <w:r w:rsidRPr="00726FEB">
        <w:rPr>
          <w:lang w:val="en-US"/>
        </w:rPr>
        <w:t xml:space="preserve"> D. Derossi, A. H. Joliot, G. Chassaing, A. Prochiantz, </w:t>
      </w:r>
      <w:r w:rsidRPr="00726FEB">
        <w:rPr>
          <w:i/>
          <w:lang w:val="en-US"/>
        </w:rPr>
        <w:t xml:space="preserve">J. Biol. </w:t>
      </w:r>
      <w:r w:rsidRPr="004179CF">
        <w:rPr>
          <w:i/>
        </w:rPr>
        <w:t>Chem.</w:t>
      </w:r>
      <w:r>
        <w:t xml:space="preserve"> 269:</w:t>
      </w:r>
      <w:r w:rsidRPr="004179CF">
        <w:t xml:space="preserve"> 10444–10450</w:t>
      </w:r>
      <w:r>
        <w:t>, 1994.</w:t>
      </w:r>
    </w:p>
  </w:endnote>
  <w:endnote w:id="77">
    <w:p w14:paraId="69142E88" w14:textId="77777777" w:rsidR="00DD7FD7" w:rsidRPr="00726FEB" w:rsidRDefault="00DD7FD7">
      <w:pPr>
        <w:pStyle w:val="Endnotentext"/>
        <w:rPr>
          <w:lang w:val="en-US"/>
        </w:rPr>
      </w:pPr>
      <w:r>
        <w:rPr>
          <w:rStyle w:val="Endnotenzeichen"/>
        </w:rPr>
        <w:endnoteRef/>
      </w:r>
      <w:r>
        <w:t xml:space="preserve"> G. J. Ding, P. A. Fischer, R. C. Boltz, J. A. Schmidt, J. J. Colaianne, A. </w:t>
      </w:r>
      <w:r w:rsidRPr="00D65321">
        <w:t xml:space="preserve">Gough, </w:t>
      </w:r>
      <w:r>
        <w:t xml:space="preserve">R. A. </w:t>
      </w:r>
      <w:r w:rsidRPr="00D65321">
        <w:t>Rubin,</w:t>
      </w:r>
      <w:r>
        <w:t xml:space="preserve"> D. K. Miller, </w:t>
      </w:r>
      <w:r w:rsidRPr="00D65321">
        <w:rPr>
          <w:i/>
        </w:rPr>
        <w:t xml:space="preserve">J. Biol. </w:t>
      </w:r>
      <w:r w:rsidRPr="00726FEB">
        <w:rPr>
          <w:i/>
          <w:lang w:val="en-US"/>
        </w:rPr>
        <w:t>Chem.</w:t>
      </w:r>
      <w:r>
        <w:rPr>
          <w:lang w:val="en-US"/>
        </w:rPr>
        <w:t xml:space="preserve"> 273:</w:t>
      </w:r>
      <w:r w:rsidRPr="00726FEB">
        <w:rPr>
          <w:lang w:val="en-US"/>
        </w:rPr>
        <w:t xml:space="preserve"> 28897–28905, 1998.</w:t>
      </w:r>
    </w:p>
  </w:endnote>
  <w:endnote w:id="78">
    <w:p w14:paraId="464A003B" w14:textId="77777777" w:rsidR="00DD7FD7" w:rsidRPr="00D11EB0" w:rsidRDefault="00DD7FD7">
      <w:pPr>
        <w:pStyle w:val="Endnotentext"/>
        <w:rPr>
          <w:lang w:val="en-US"/>
        </w:rPr>
      </w:pPr>
      <w:r>
        <w:rPr>
          <w:rStyle w:val="Endnotenzeichen"/>
        </w:rPr>
        <w:endnoteRef/>
      </w:r>
      <w:r w:rsidRPr="00726FEB">
        <w:rPr>
          <w:lang w:val="en-US"/>
        </w:rPr>
        <w:t xml:space="preserve"> F. Duchardt, I. R. Ruttekolk, W.P.R. Verdurmen, H. Lortat-Jacob, J. Bürck, H. Hufnagel, R. Fischer, M. van den Heuvel, D.W. Löwik, G. W. Vuister, A. Ulrich, M. de Waard, R. Brock, „A Cell-penetrating Peptide Derived from Human Lactoferrin with Conformation-dependent Uptake Efficiency“, </w:t>
      </w:r>
      <w:r w:rsidRPr="00726FEB">
        <w:rPr>
          <w:i/>
          <w:lang w:val="en-US"/>
        </w:rPr>
        <w:t xml:space="preserve">J. Biol. </w:t>
      </w:r>
      <w:r w:rsidRPr="00D11EB0">
        <w:rPr>
          <w:i/>
          <w:lang w:val="en-US"/>
        </w:rPr>
        <w:t>Chem.</w:t>
      </w:r>
      <w:r w:rsidRPr="00D11EB0">
        <w:rPr>
          <w:lang w:val="en-US"/>
        </w:rPr>
        <w:t xml:space="preserve"> 284(52): 36099–36108, 2009.</w:t>
      </w:r>
    </w:p>
  </w:endnote>
  <w:endnote w:id="79">
    <w:p w14:paraId="1FF7B5B2" w14:textId="77777777" w:rsidR="00DD7FD7" w:rsidRPr="00726FEB" w:rsidRDefault="00DD7FD7">
      <w:pPr>
        <w:pStyle w:val="Endnotentext"/>
        <w:rPr>
          <w:lang w:val="en-US"/>
        </w:rPr>
      </w:pPr>
      <w:r>
        <w:rPr>
          <w:rStyle w:val="Endnotenzeichen"/>
        </w:rPr>
        <w:endnoteRef/>
      </w:r>
      <w:r w:rsidRPr="00726FEB">
        <w:rPr>
          <w:lang w:val="en-US"/>
        </w:rPr>
        <w:t xml:space="preserve"> P. M. </w:t>
      </w:r>
      <w:r w:rsidRPr="00726FEB">
        <w:rPr>
          <w:bCs/>
          <w:lang w:val="en-US"/>
        </w:rPr>
        <w:t>Fischer</w:t>
      </w:r>
      <w:r w:rsidRPr="00726FEB">
        <w:rPr>
          <w:lang w:val="en-US"/>
        </w:rPr>
        <w:t xml:space="preserve">, E. </w:t>
      </w:r>
      <w:r w:rsidRPr="00726FEB">
        <w:rPr>
          <w:bCs/>
          <w:lang w:val="en-US"/>
        </w:rPr>
        <w:t>Krausz</w:t>
      </w:r>
      <w:r w:rsidRPr="00726FEB">
        <w:rPr>
          <w:lang w:val="en-US"/>
        </w:rPr>
        <w:t>, D. P. Lane, „Cellular delivery of impermeable</w:t>
      </w:r>
      <w:r w:rsidRPr="00726FEB">
        <w:rPr>
          <w:lang w:val="en-US"/>
        </w:rPr>
        <w:br/>
        <w:t>effector molecules in the form of conjugates with peptides capable of mediating</w:t>
      </w:r>
      <w:r w:rsidRPr="00726FEB">
        <w:rPr>
          <w:lang w:val="en-US"/>
        </w:rPr>
        <w:br/>
        <w:t xml:space="preserve">membrane translocation.“, </w:t>
      </w:r>
      <w:r w:rsidRPr="00726FEB">
        <w:rPr>
          <w:bCs/>
          <w:i/>
          <w:lang w:val="en-US"/>
        </w:rPr>
        <w:t>Bioconjug</w:t>
      </w:r>
      <w:r w:rsidRPr="00726FEB">
        <w:rPr>
          <w:i/>
          <w:lang w:val="en-US"/>
        </w:rPr>
        <w:t xml:space="preserve"> </w:t>
      </w:r>
      <w:r w:rsidRPr="00726FEB">
        <w:rPr>
          <w:bCs/>
          <w:i/>
          <w:lang w:val="en-US"/>
        </w:rPr>
        <w:t>Chem</w:t>
      </w:r>
      <w:r w:rsidRPr="00726FEB">
        <w:rPr>
          <w:i/>
          <w:lang w:val="en-US"/>
        </w:rPr>
        <w:t>.</w:t>
      </w:r>
      <w:r w:rsidRPr="00726FEB">
        <w:rPr>
          <w:lang w:val="en-US"/>
        </w:rPr>
        <w:t>12(6): 825-841, 2001.</w:t>
      </w:r>
    </w:p>
  </w:endnote>
  <w:endnote w:id="80">
    <w:p w14:paraId="7D023478" w14:textId="77777777" w:rsidR="00DD7FD7" w:rsidRPr="00726FEB" w:rsidRDefault="00DD7FD7" w:rsidP="007618D5">
      <w:pPr>
        <w:pStyle w:val="Endnotentext"/>
        <w:rPr>
          <w:lang w:val="en-US"/>
        </w:rPr>
      </w:pPr>
      <w:r>
        <w:rPr>
          <w:rStyle w:val="Endnotenzeichen"/>
        </w:rPr>
        <w:endnoteRef/>
      </w:r>
      <w:r w:rsidRPr="00726FEB">
        <w:rPr>
          <w:lang w:val="en-US"/>
        </w:rPr>
        <w:t xml:space="preserve"> L. Parhamifar, A. K. Larsen, A. C. Hunter, T. L. Andresen, S. Moein Moghimi, „Polycation cytotoxicity: a delicate matter for nucleic acid therapy-focus on polyethylenimine“, </w:t>
      </w:r>
      <w:r w:rsidRPr="00726FEB">
        <w:rPr>
          <w:i/>
          <w:lang w:val="en-US"/>
        </w:rPr>
        <w:t>Soft Matter</w:t>
      </w:r>
      <w:r w:rsidRPr="00726FEB">
        <w:rPr>
          <w:lang w:val="en-US"/>
        </w:rPr>
        <w:t xml:space="preserve"> 6: 4001-4009, 2010.</w:t>
      </w:r>
    </w:p>
  </w:endnote>
  <w:endnote w:id="81">
    <w:p w14:paraId="58A3D262" w14:textId="77777777" w:rsidR="00DD7FD7" w:rsidRPr="00726FEB" w:rsidRDefault="00DD7FD7">
      <w:pPr>
        <w:pStyle w:val="Endnotentext"/>
        <w:rPr>
          <w:lang w:val="en-US"/>
        </w:rPr>
      </w:pPr>
      <w:r>
        <w:rPr>
          <w:rStyle w:val="Endnotenzeichen"/>
        </w:rPr>
        <w:endnoteRef/>
      </w:r>
      <w:r w:rsidRPr="00726FEB">
        <w:rPr>
          <w:lang w:val="en-US"/>
        </w:rPr>
        <w:t xml:space="preserve"> N. A. Peppas, J. J. Sahlin, „Hydrogels as Muco- and Bioadhesive Materials: A Review“, </w:t>
      </w:r>
      <w:r w:rsidRPr="00726FEB">
        <w:rPr>
          <w:i/>
          <w:lang w:val="en-US"/>
        </w:rPr>
        <w:t>Biomaterials</w:t>
      </w:r>
      <w:r>
        <w:rPr>
          <w:lang w:val="en-US"/>
        </w:rPr>
        <w:t xml:space="preserve"> 17:</w:t>
      </w:r>
      <w:r w:rsidRPr="00726FEB">
        <w:rPr>
          <w:lang w:val="en-US"/>
        </w:rPr>
        <w:t xml:space="preserve"> 1553-1561, 1996.</w:t>
      </w:r>
    </w:p>
  </w:endnote>
  <w:endnote w:id="82">
    <w:p w14:paraId="1FCADDEF" w14:textId="77777777" w:rsidR="00DD7FD7" w:rsidRPr="00DB0243" w:rsidRDefault="00DD7FD7">
      <w:pPr>
        <w:pStyle w:val="Endnotentext"/>
        <w:rPr>
          <w:lang w:val="en-US"/>
        </w:rPr>
      </w:pPr>
      <w:r>
        <w:rPr>
          <w:rStyle w:val="Endnotenzeichen"/>
        </w:rPr>
        <w:endnoteRef/>
      </w:r>
      <w:r w:rsidRPr="00DB0243">
        <w:rPr>
          <w:lang w:val="en-US"/>
        </w:rPr>
        <w:t xml:space="preserve"> N. A. </w:t>
      </w:r>
      <w:r w:rsidRPr="00DB0243">
        <w:rPr>
          <w:rStyle w:val="name"/>
          <w:rFonts w:eastAsia="Times New Roman" w:cs="Times New Roman"/>
          <w:lang w:val="en-US"/>
        </w:rPr>
        <w:t>Peppas</w:t>
      </w:r>
      <w:r w:rsidRPr="00DB0243">
        <w:rPr>
          <w:rFonts w:eastAsia="Times New Roman" w:cs="Times New Roman"/>
          <w:lang w:val="en-US"/>
        </w:rPr>
        <w:t>, „</w:t>
      </w:r>
      <w:r w:rsidRPr="00DB0243">
        <w:rPr>
          <w:rStyle w:val="articletitle"/>
          <w:rFonts w:eastAsia="Times New Roman" w:cs="Times New Roman"/>
          <w:lang w:val="en-US"/>
        </w:rPr>
        <w:t>Surface, interfacial and molecular aspects of polymer bioadhesion on soft tissues“</w:t>
      </w:r>
      <w:r w:rsidRPr="00DB0243">
        <w:rPr>
          <w:rFonts w:eastAsia="Times New Roman" w:cs="Times New Roman"/>
          <w:lang w:val="en-US"/>
        </w:rPr>
        <w:t xml:space="preserve">, </w:t>
      </w:r>
      <w:r w:rsidRPr="00DB0243">
        <w:rPr>
          <w:rStyle w:val="worktitle"/>
          <w:rFonts w:eastAsia="Times New Roman" w:cs="Times New Roman"/>
          <w:i/>
          <w:lang w:val="en-US"/>
        </w:rPr>
        <w:t>J. Control. Release</w:t>
      </w:r>
      <w:r w:rsidRPr="00DB0243">
        <w:rPr>
          <w:rFonts w:eastAsia="Times New Roman" w:cs="Times New Roman"/>
          <w:lang w:val="en-US"/>
        </w:rPr>
        <w:t xml:space="preserve"> </w:t>
      </w:r>
      <w:r w:rsidRPr="00DB0243">
        <w:rPr>
          <w:rStyle w:val="number"/>
          <w:rFonts w:eastAsia="Times New Roman" w:cs="Times New Roman"/>
          <w:lang w:val="en-US"/>
        </w:rPr>
        <w:t>2</w:t>
      </w:r>
      <w:r w:rsidRPr="00DB0243">
        <w:rPr>
          <w:rFonts w:eastAsia="Times New Roman" w:cs="Times New Roman"/>
          <w:lang w:val="en-US"/>
        </w:rPr>
        <w:t xml:space="preserve">: </w:t>
      </w:r>
      <w:r w:rsidRPr="00DB0243">
        <w:rPr>
          <w:rStyle w:val="pages"/>
          <w:rFonts w:eastAsia="Times New Roman" w:cs="Times New Roman"/>
          <w:lang w:val="en-US"/>
        </w:rPr>
        <w:t xml:space="preserve">257-275, </w:t>
      </w:r>
      <w:r w:rsidRPr="00DB0243">
        <w:rPr>
          <w:rStyle w:val="date"/>
          <w:rFonts w:eastAsia="Times New Roman" w:cs="Times New Roman"/>
          <w:lang w:val="en-US"/>
        </w:rPr>
        <w:t>1985.</w:t>
      </w:r>
    </w:p>
  </w:endnote>
  <w:endnote w:id="83">
    <w:p w14:paraId="44B0D59E" w14:textId="77777777" w:rsidR="00DD7FD7" w:rsidRPr="00DB0243" w:rsidRDefault="00DD7FD7">
      <w:pPr>
        <w:pStyle w:val="Endnotentext"/>
        <w:rPr>
          <w:lang w:val="en-US"/>
        </w:rPr>
      </w:pPr>
      <w:r>
        <w:rPr>
          <w:rStyle w:val="Endnotenzeichen"/>
        </w:rPr>
        <w:endnoteRef/>
      </w:r>
      <w:r w:rsidRPr="00DB0243">
        <w:rPr>
          <w:lang w:val="en-US"/>
        </w:rPr>
        <w:t xml:space="preserve"> E. Jabbari, N. Wisniewski, N. A. Peppas, „Evidence of mucoadhesion by chain interpenetration at a poly(acrylic acid)/mucin interface using ATR-FTIR spectroscopy“, </w:t>
      </w:r>
      <w:r w:rsidRPr="00DB0243">
        <w:rPr>
          <w:i/>
          <w:lang w:val="en-US"/>
        </w:rPr>
        <w:t>J. Control. Release</w:t>
      </w:r>
      <w:r w:rsidRPr="00DB0243">
        <w:rPr>
          <w:lang w:val="en-US"/>
        </w:rPr>
        <w:t xml:space="preserve"> 26: 99-108, 1993.</w:t>
      </w:r>
    </w:p>
  </w:endnote>
  <w:endnote w:id="84">
    <w:p w14:paraId="4EFFE64A" w14:textId="77777777" w:rsidR="00DD7FD7" w:rsidRPr="00726FEB" w:rsidRDefault="00DD7FD7" w:rsidP="00BB235E">
      <w:pPr>
        <w:pStyle w:val="Endnotentext"/>
        <w:rPr>
          <w:lang w:val="en-US"/>
        </w:rPr>
      </w:pPr>
      <w:r>
        <w:rPr>
          <w:rStyle w:val="Endnotenzeichen"/>
        </w:rPr>
        <w:endnoteRef/>
      </w:r>
      <w:r w:rsidRPr="00726FEB">
        <w:rPr>
          <w:lang w:val="en-US"/>
        </w:rPr>
        <w:t xml:space="preserve"> A. J. Kinloch, „Adhesion and Adhesives“, </w:t>
      </w:r>
      <w:r w:rsidRPr="00760B3B">
        <w:rPr>
          <w:i/>
          <w:lang w:val="en-US"/>
        </w:rPr>
        <w:t>Science and Technology</w:t>
      </w:r>
      <w:r w:rsidRPr="00726FEB">
        <w:rPr>
          <w:lang w:val="en-US"/>
        </w:rPr>
        <w:t>, London: Chapman and Hall, 1987.</w:t>
      </w:r>
    </w:p>
  </w:endnote>
  <w:endnote w:id="85">
    <w:p w14:paraId="4A328132" w14:textId="77777777" w:rsidR="00DD7FD7" w:rsidRPr="00DB0243" w:rsidRDefault="00DD7FD7">
      <w:pPr>
        <w:pStyle w:val="Endnotentext"/>
      </w:pPr>
      <w:r>
        <w:rPr>
          <w:rStyle w:val="Endnotenzeichen"/>
        </w:rPr>
        <w:endnoteRef/>
      </w:r>
      <w:r w:rsidRPr="00726FEB">
        <w:rPr>
          <w:lang w:val="en-US"/>
        </w:rPr>
        <w:t xml:space="preserve"> M. A. Longer, J. R. Robinson, „Fundamental aspects of bioadhesion“, </w:t>
      </w:r>
      <w:r w:rsidRPr="00726FEB">
        <w:rPr>
          <w:i/>
          <w:lang w:val="en-US"/>
        </w:rPr>
        <w:t xml:space="preserve">Pharm. </w:t>
      </w:r>
      <w:r w:rsidRPr="00DB0243">
        <w:rPr>
          <w:i/>
        </w:rPr>
        <w:t>Int.</w:t>
      </w:r>
      <w:r w:rsidRPr="00DB0243">
        <w:t xml:space="preserve"> 5: 114-117, 1986.</w:t>
      </w:r>
    </w:p>
  </w:endnote>
  <w:endnote w:id="86">
    <w:p w14:paraId="0E932C9D" w14:textId="77777777" w:rsidR="00DD7FD7" w:rsidRDefault="00DD7FD7">
      <w:pPr>
        <w:pStyle w:val="Endnotentext"/>
      </w:pPr>
      <w:r>
        <w:rPr>
          <w:rStyle w:val="Endnotenzeichen"/>
        </w:rPr>
        <w:endnoteRef/>
      </w:r>
      <w:r>
        <w:t xml:space="preserve"> C.-M. Lehr</w:t>
      </w:r>
      <w:r w:rsidRPr="00A30BD6">
        <w:t xml:space="preserve">, </w:t>
      </w:r>
      <w:r>
        <w:t>„</w:t>
      </w:r>
      <w:r w:rsidRPr="00A30BD6">
        <w:t>Bioadhäsion und bioadhäsive Arzneiformen</w:t>
      </w:r>
      <w:r>
        <w:t>“</w:t>
      </w:r>
      <w:r w:rsidRPr="00A30BD6">
        <w:t xml:space="preserve">, Hrsg.: </w:t>
      </w:r>
      <w:r>
        <w:t>R. H. Müller</w:t>
      </w:r>
      <w:r w:rsidRPr="00A30BD6">
        <w:t xml:space="preserve">, </w:t>
      </w:r>
      <w:r w:rsidRPr="00A30BD6">
        <w:rPr>
          <w:i/>
        </w:rPr>
        <w:t>Moderne Arzneiformen</w:t>
      </w:r>
      <w:r w:rsidRPr="00A30BD6">
        <w:t>, Wissenschaftliche Verlagsgesellschaft mbH Stuttgart, 1998</w:t>
      </w:r>
      <w:r>
        <w:t>.</w:t>
      </w:r>
    </w:p>
  </w:endnote>
  <w:endnote w:id="87">
    <w:p w14:paraId="3F234785" w14:textId="77777777" w:rsidR="00DD7FD7" w:rsidRPr="00726FEB" w:rsidRDefault="00DD7FD7">
      <w:pPr>
        <w:pStyle w:val="Endnotentext"/>
        <w:rPr>
          <w:lang w:val="en-US"/>
        </w:rPr>
      </w:pPr>
      <w:r>
        <w:rPr>
          <w:rStyle w:val="Endnotenzeichen"/>
        </w:rPr>
        <w:endnoteRef/>
      </w:r>
      <w:r w:rsidRPr="00726FEB">
        <w:rPr>
          <w:lang w:val="en-US"/>
        </w:rPr>
        <w:t xml:space="preserve"> A. Lamprecht, U. Schäfer, C.-M. Lehr, „Size-Dependent Bioadhesion of Micro- and Nanoparticulate Carriers to the Inflamed Colonic Mucosa“, </w:t>
      </w:r>
      <w:r w:rsidRPr="00726FEB">
        <w:rPr>
          <w:i/>
          <w:lang w:val="en-US"/>
        </w:rPr>
        <w:t>Pharmaceutical Research</w:t>
      </w:r>
      <w:r w:rsidRPr="00726FEB">
        <w:rPr>
          <w:lang w:val="en-US"/>
        </w:rPr>
        <w:t xml:space="preserve"> 18(6): 788-793, 2001.</w:t>
      </w:r>
    </w:p>
  </w:endnote>
  <w:endnote w:id="88">
    <w:p w14:paraId="477B93E8" w14:textId="77777777" w:rsidR="00DD7FD7" w:rsidRPr="00DB0243" w:rsidRDefault="00DD7FD7">
      <w:pPr>
        <w:pStyle w:val="Endnotentext"/>
        <w:rPr>
          <w:lang w:val="en-US"/>
        </w:rPr>
      </w:pPr>
      <w:r>
        <w:rPr>
          <w:rStyle w:val="Endnotenzeichen"/>
        </w:rPr>
        <w:endnoteRef/>
      </w:r>
      <w:r w:rsidRPr="00DB0243">
        <w:rPr>
          <w:lang w:val="en-US"/>
        </w:rPr>
        <w:t xml:space="preserve"> G. Ponchel, M.-J. Montisci, A. Dembri, C. Durrer, D. Duchêne, „Mucoadhesion of colloidal particulate systems in the gastro-intestinal-tract“, </w:t>
      </w:r>
      <w:r w:rsidRPr="00DB0243">
        <w:rPr>
          <w:i/>
          <w:lang w:val="en-US"/>
        </w:rPr>
        <w:t>Eur. J. Pharm. Biopharm</w:t>
      </w:r>
      <w:r w:rsidRPr="00DB0243">
        <w:rPr>
          <w:lang w:val="en-US"/>
        </w:rPr>
        <w:t xml:space="preserve"> 44: 25-31, 1997.</w:t>
      </w:r>
    </w:p>
  </w:endnote>
  <w:endnote w:id="89">
    <w:p w14:paraId="6AE5F5E8" w14:textId="77777777" w:rsidR="00DD7FD7" w:rsidRPr="00726FEB" w:rsidRDefault="00DD7FD7">
      <w:pPr>
        <w:pStyle w:val="Endnotentext"/>
        <w:rPr>
          <w:i/>
          <w:lang w:val="en-US"/>
        </w:rPr>
      </w:pPr>
      <w:r>
        <w:rPr>
          <w:rStyle w:val="Endnotenzeichen"/>
        </w:rPr>
        <w:endnoteRef/>
      </w:r>
      <w:r w:rsidRPr="00726FEB">
        <w:rPr>
          <w:lang w:val="en-US"/>
        </w:rPr>
        <w:t xml:space="preserve"> A. H. Krauland, A. Bernkop-Schnürch, „Thiomers: development and in vitro evaluation of a peroral microparticulate peptide delivery system“, </w:t>
      </w:r>
      <w:r w:rsidRPr="00726FEB">
        <w:rPr>
          <w:i/>
          <w:lang w:val="en-US"/>
        </w:rPr>
        <w:t xml:space="preserve">Eur. J. Pharm. </w:t>
      </w:r>
      <w:r w:rsidRPr="00D11EB0">
        <w:rPr>
          <w:i/>
          <w:lang w:val="en-US"/>
        </w:rPr>
        <w:t>Biopharm.</w:t>
      </w:r>
      <w:r w:rsidRPr="00D11EB0">
        <w:rPr>
          <w:lang w:val="en-US"/>
        </w:rPr>
        <w:t xml:space="preserve"> </w:t>
      </w:r>
      <w:r>
        <w:rPr>
          <w:lang w:val="en-US"/>
        </w:rPr>
        <w:t>57:</w:t>
      </w:r>
      <w:r w:rsidRPr="00726FEB">
        <w:rPr>
          <w:lang w:val="en-US"/>
        </w:rPr>
        <w:t xml:space="preserve"> 181-187, 2004.</w:t>
      </w:r>
    </w:p>
  </w:endnote>
  <w:endnote w:id="90">
    <w:p w14:paraId="1317C231" w14:textId="77777777" w:rsidR="00DD7FD7" w:rsidRPr="00726FEB" w:rsidRDefault="00DD7FD7">
      <w:pPr>
        <w:pStyle w:val="Endnotentext"/>
        <w:rPr>
          <w:lang w:val="en-US"/>
        </w:rPr>
      </w:pPr>
      <w:r>
        <w:rPr>
          <w:rStyle w:val="Endnotenzeichen"/>
        </w:rPr>
        <w:endnoteRef/>
      </w:r>
      <w:r w:rsidRPr="00726FEB">
        <w:rPr>
          <w:lang w:val="en-US"/>
        </w:rPr>
        <w:t xml:space="preserve"> M. </w:t>
      </w:r>
      <w:r w:rsidRPr="00726FEB">
        <w:rPr>
          <w:rFonts w:eastAsia="Times New Roman" w:cs="Times New Roman"/>
          <w:lang w:val="en-US"/>
        </w:rPr>
        <w:t xml:space="preserve">Simon, I. Behrens, L. A. Dailey, M. Wittmar, T. Kissel, „Nanosized insulin-complexes based on biodegradable amine-modified graft polyesters poly[vinyl-3-(diethylamino)-propylcarbamate-co-(vinyl acetate)-co-(vinyl alcohol)]-graft-poly(L-lactic acid): protection against enzymatic degradation, interaction with Caco-2 cell monolayers, peptide transport and cytotoxicity.“, </w:t>
      </w:r>
      <w:r w:rsidRPr="00726FEB">
        <w:rPr>
          <w:rFonts w:eastAsia="Times New Roman" w:cs="Times New Roman"/>
          <w:i/>
          <w:lang w:val="en-US"/>
        </w:rPr>
        <w:t xml:space="preserve">Eur. J. Pharm. </w:t>
      </w:r>
      <w:r w:rsidRPr="00D11EB0">
        <w:rPr>
          <w:rFonts w:eastAsia="Times New Roman" w:cs="Times New Roman"/>
          <w:i/>
          <w:lang w:val="en-US"/>
        </w:rPr>
        <w:t>Biopharm.</w:t>
      </w:r>
      <w:r w:rsidRPr="00D11EB0">
        <w:rPr>
          <w:rFonts w:eastAsia="Times New Roman" w:cs="Times New Roman"/>
          <w:lang w:val="en-US"/>
        </w:rPr>
        <w:t xml:space="preserve"> </w:t>
      </w:r>
      <w:r w:rsidRPr="00726FEB">
        <w:rPr>
          <w:rFonts w:eastAsia="Times New Roman" w:cs="Times New Roman"/>
          <w:lang w:val="en-US"/>
        </w:rPr>
        <w:t>66: 165-172, 2007.</w:t>
      </w:r>
    </w:p>
  </w:endnote>
  <w:endnote w:id="91">
    <w:p w14:paraId="11817D7D" w14:textId="77777777" w:rsidR="00DD7FD7" w:rsidRPr="00726FEB" w:rsidRDefault="00DD7FD7">
      <w:pPr>
        <w:pStyle w:val="Endnotentext"/>
        <w:rPr>
          <w:lang w:val="en-US"/>
        </w:rPr>
      </w:pPr>
      <w:r>
        <w:rPr>
          <w:rStyle w:val="Endnotenzeichen"/>
        </w:rPr>
        <w:endnoteRef/>
      </w:r>
      <w:r w:rsidRPr="00726FEB">
        <w:rPr>
          <w:lang w:val="en-US"/>
        </w:rPr>
        <w:t xml:space="preserve"> T. Uchiyama, T. Sugiyama, Y. S. Quan, A. Kotani, N. Okada, T. Fujita, et al., „Enhanced permeability of insulin across the rat intestinal membrane by various absorption enhancers: Their intestinal mucosal toxicity and absorption enhancing mechanism of n-lauryl-b-D-maltopyranoside“, </w:t>
      </w:r>
      <w:r w:rsidRPr="00726FEB">
        <w:rPr>
          <w:i/>
          <w:lang w:val="en-US"/>
        </w:rPr>
        <w:t xml:space="preserve">J. Pharm. </w:t>
      </w:r>
      <w:r w:rsidRPr="00491CCB">
        <w:rPr>
          <w:i/>
          <w:lang w:val="en-US"/>
        </w:rPr>
        <w:t>Pharmakol.</w:t>
      </w:r>
      <w:r w:rsidRPr="00491CCB">
        <w:rPr>
          <w:lang w:val="en-US"/>
        </w:rPr>
        <w:t xml:space="preserve"> </w:t>
      </w:r>
      <w:r>
        <w:rPr>
          <w:lang w:val="en-US"/>
        </w:rPr>
        <w:t>51:</w:t>
      </w:r>
      <w:r w:rsidRPr="00726FEB">
        <w:rPr>
          <w:lang w:val="en-US"/>
        </w:rPr>
        <w:t xml:space="preserve"> 1241-1250, 1999.</w:t>
      </w:r>
    </w:p>
  </w:endnote>
  <w:endnote w:id="92">
    <w:p w14:paraId="2FB7D3EB" w14:textId="77777777" w:rsidR="00DD7FD7" w:rsidRPr="00DB0243" w:rsidRDefault="00DD7FD7">
      <w:pPr>
        <w:pStyle w:val="Endnotentext"/>
        <w:rPr>
          <w:lang w:val="en-US"/>
        </w:rPr>
      </w:pPr>
      <w:r>
        <w:rPr>
          <w:rStyle w:val="Endnotenzeichen"/>
        </w:rPr>
        <w:endnoteRef/>
      </w:r>
      <w:r w:rsidRPr="00726FEB">
        <w:rPr>
          <w:lang w:val="en-US"/>
        </w:rPr>
        <w:t xml:space="preserve"> M. Tomita, M. Hayashi, S. Awazu, „Absorption-enhancing mechanism of EDTA, caprate, and decanoylcarnitin in Caco-2 cells“, </w:t>
      </w:r>
      <w:r w:rsidRPr="00726FEB">
        <w:rPr>
          <w:i/>
          <w:lang w:val="en-US"/>
        </w:rPr>
        <w:t xml:space="preserve">J. Pharm. </w:t>
      </w:r>
      <w:r w:rsidRPr="00DB0243">
        <w:rPr>
          <w:i/>
          <w:lang w:val="en-US"/>
        </w:rPr>
        <w:t xml:space="preserve">Sci. </w:t>
      </w:r>
      <w:r w:rsidRPr="00DB0243">
        <w:rPr>
          <w:lang w:val="en-US"/>
        </w:rPr>
        <w:t>85: 608-611, 1996.</w:t>
      </w:r>
    </w:p>
  </w:endnote>
  <w:endnote w:id="93">
    <w:p w14:paraId="3A4997FE" w14:textId="77777777" w:rsidR="00DD7FD7" w:rsidRPr="009805F0" w:rsidRDefault="00DD7FD7" w:rsidP="009805F0">
      <w:pPr>
        <w:pStyle w:val="Endnotentext"/>
      </w:pPr>
      <w:r>
        <w:rPr>
          <w:rStyle w:val="Endnotenzeichen"/>
        </w:rPr>
        <w:endnoteRef/>
      </w:r>
      <w:r w:rsidRPr="00DB0243">
        <w:rPr>
          <w:lang w:val="en-US"/>
        </w:rPr>
        <w:t xml:space="preserve"> S. Takatsuka, T. Kitazawa, T. Morita, Y. Horikiri, H. Yoshino, „Enhancement of intestinal absorption of poorly absorbed hydrophilic compounds by simultaneous use of mucolytic agent and non-ionic surfactant“, </w:t>
      </w:r>
      <w:r w:rsidRPr="00726FEB">
        <w:rPr>
          <w:rFonts w:eastAsia="Times New Roman" w:cs="Times New Roman"/>
          <w:i/>
          <w:lang w:val="en-US"/>
        </w:rPr>
        <w:t xml:space="preserve">Eur. J. Pharm. </w:t>
      </w:r>
      <w:r w:rsidRPr="00DB0243">
        <w:rPr>
          <w:rFonts w:eastAsia="Times New Roman" w:cs="Times New Roman"/>
          <w:i/>
        </w:rPr>
        <w:t>Biopharm.</w:t>
      </w:r>
      <w:r w:rsidRPr="00DB0243">
        <w:rPr>
          <w:rFonts w:eastAsia="Times New Roman" w:cs="Times New Roman"/>
        </w:rPr>
        <w:t xml:space="preserve"> 62(1): 52-58, 2006.</w:t>
      </w:r>
    </w:p>
  </w:endnote>
  <w:endnote w:id="94">
    <w:p w14:paraId="3458B8E6" w14:textId="77777777" w:rsidR="00DD7FD7" w:rsidRDefault="00DD7FD7">
      <w:pPr>
        <w:pStyle w:val="Endnotentext"/>
      </w:pPr>
      <w:r>
        <w:rPr>
          <w:rStyle w:val="Endnotenzeichen"/>
        </w:rPr>
        <w:endnoteRef/>
      </w:r>
      <w:r>
        <w:t xml:space="preserve"> O. Schäfer, „Beeinflussung der peroralen Bioverfügbarkeit des Dekapeptids Cetrorelix, eines LHRH-Antagonisten, durch galenische Formulierungen“, Inauguraldissertation, Universität zu Freiburg i. Br., 25, 1999.</w:t>
      </w:r>
    </w:p>
  </w:endnote>
  <w:endnote w:id="95">
    <w:p w14:paraId="4ABA3049" w14:textId="77777777" w:rsidR="00DD7FD7" w:rsidRPr="00410B95" w:rsidRDefault="00DD7FD7">
      <w:pPr>
        <w:pStyle w:val="Endnotentext"/>
      </w:pPr>
      <w:r>
        <w:rPr>
          <w:rStyle w:val="Endnotenzeichen"/>
        </w:rPr>
        <w:endnoteRef/>
      </w:r>
      <w:r w:rsidRPr="00726FEB">
        <w:rPr>
          <w:lang w:val="en-US"/>
        </w:rPr>
        <w:t xml:space="preserve"> E. S. Swenson, W. J. Curatolo, „Intestinal permeability enhancement for proteins, peptides and other polar drugs: Mechanism and potential toxicity.“, </w:t>
      </w:r>
      <w:r w:rsidRPr="00726FEB">
        <w:rPr>
          <w:i/>
          <w:lang w:val="en-US"/>
        </w:rPr>
        <w:t xml:space="preserve">Adv. </w:t>
      </w:r>
      <w:r>
        <w:rPr>
          <w:i/>
        </w:rPr>
        <w:t>Drug. Del. Rev.</w:t>
      </w:r>
      <w:r>
        <w:t xml:space="preserve"> 8: 39-92, 1992.</w:t>
      </w:r>
    </w:p>
  </w:endnote>
  <w:endnote w:id="96">
    <w:p w14:paraId="63DB4D77" w14:textId="77777777" w:rsidR="00DD7FD7" w:rsidRPr="00726FEB" w:rsidRDefault="00DD7FD7" w:rsidP="00DB1011">
      <w:pPr>
        <w:pStyle w:val="Endnotentext"/>
        <w:rPr>
          <w:lang w:val="en-US"/>
        </w:rPr>
      </w:pPr>
      <w:r>
        <w:rPr>
          <w:rStyle w:val="Endnotenzeichen"/>
        </w:rPr>
        <w:endnoteRef/>
      </w:r>
      <w:r>
        <w:t xml:space="preserve"> A. Bernkop-Schnürch, „Strategien zur peroralen Applikation von Peptid- und Proteinwirkstoffen“, </w:t>
      </w:r>
      <w:r w:rsidRPr="006F58BF">
        <w:rPr>
          <w:i/>
        </w:rPr>
        <w:t xml:space="preserve">Sci. </w:t>
      </w:r>
      <w:r w:rsidRPr="006F58BF">
        <w:rPr>
          <w:i/>
          <w:lang w:val="en-US"/>
        </w:rPr>
        <w:t>Pharm.</w:t>
      </w:r>
      <w:r>
        <w:rPr>
          <w:lang w:val="en-US"/>
        </w:rPr>
        <w:t xml:space="preserve"> 65:</w:t>
      </w:r>
      <w:r w:rsidRPr="00726FEB">
        <w:rPr>
          <w:lang w:val="en-US"/>
        </w:rPr>
        <w:t xml:space="preserve"> 61-82, 1997.</w:t>
      </w:r>
    </w:p>
  </w:endnote>
  <w:endnote w:id="97">
    <w:p w14:paraId="6F37AC1D" w14:textId="77777777" w:rsidR="00DD7FD7" w:rsidRPr="00726FEB" w:rsidRDefault="00DD7FD7">
      <w:pPr>
        <w:pStyle w:val="Endnotentext"/>
        <w:rPr>
          <w:lang w:val="en-US"/>
        </w:rPr>
      </w:pPr>
      <w:r>
        <w:rPr>
          <w:rStyle w:val="Endnotenzeichen"/>
        </w:rPr>
        <w:endnoteRef/>
      </w:r>
      <w:r w:rsidRPr="00726FEB">
        <w:rPr>
          <w:lang w:val="en-US"/>
        </w:rPr>
        <w:t xml:space="preserve"> M. R. Rekha, C. P. Sharma, „Nanoparticle Mediated Oral Delivery of Peptides and Proteins: Challenges and Perspectives“, In: Peptide and Protein Delivery, C. van der Walle, London, UK, 2011.</w:t>
      </w:r>
    </w:p>
  </w:endnote>
  <w:endnote w:id="98">
    <w:p w14:paraId="45D2C53A" w14:textId="77777777" w:rsidR="00DD7FD7" w:rsidRPr="00726FEB" w:rsidRDefault="00DD7FD7">
      <w:pPr>
        <w:pStyle w:val="Endnotentext"/>
        <w:rPr>
          <w:lang w:val="en-US"/>
        </w:rPr>
      </w:pPr>
      <w:r>
        <w:rPr>
          <w:rStyle w:val="Endnotenzeichen"/>
        </w:rPr>
        <w:endnoteRef/>
      </w:r>
      <w:r w:rsidRPr="00726FEB">
        <w:rPr>
          <w:lang w:val="en-US"/>
        </w:rPr>
        <w:t xml:space="preserve"> C. Damgé, C. Michel, M. Aprahamian, P. Couvreur, „New approach for oral administration of insulin with polyalkylcyanoacrylate nanocapsules as drug carrier.“, </w:t>
      </w:r>
      <w:r w:rsidRPr="00726FEB">
        <w:rPr>
          <w:i/>
          <w:lang w:val="en-US"/>
        </w:rPr>
        <w:t>Diabetes</w:t>
      </w:r>
      <w:r w:rsidRPr="00726FEB">
        <w:rPr>
          <w:lang w:val="en-US"/>
        </w:rPr>
        <w:t xml:space="preserve"> 37: 246, 1988.</w:t>
      </w:r>
    </w:p>
  </w:endnote>
  <w:endnote w:id="99">
    <w:p w14:paraId="41E5231A" w14:textId="77777777" w:rsidR="00DD7FD7" w:rsidRPr="00726FEB" w:rsidRDefault="00DD7FD7" w:rsidP="00710ECC">
      <w:pPr>
        <w:pStyle w:val="Endnotentext"/>
        <w:rPr>
          <w:lang w:val="en-US"/>
        </w:rPr>
      </w:pPr>
      <w:r>
        <w:rPr>
          <w:rStyle w:val="Endnotenzeichen"/>
        </w:rPr>
        <w:endnoteRef/>
      </w:r>
      <w:r w:rsidRPr="00726FEB">
        <w:rPr>
          <w:lang w:val="en-US"/>
        </w:rPr>
        <w:t xml:space="preserve"> R. C. Mundargi, V. R. Babu, V. Rangaswamy, P. Patel, T. M. Aminabhavi, „Nano/micro technologies for delivering macromolecular therapeutics using poly(D,L-lactide-</w:t>
      </w:r>
      <w:r w:rsidRPr="00726FEB">
        <w:rPr>
          <w:i/>
          <w:lang w:val="en-US"/>
        </w:rPr>
        <w:t>co</w:t>
      </w:r>
      <w:r w:rsidRPr="00726FEB">
        <w:rPr>
          <w:lang w:val="en-US"/>
        </w:rPr>
        <w:t xml:space="preserve">-glycolide) and its derivatives“, </w:t>
      </w:r>
      <w:r w:rsidRPr="00726FEB">
        <w:rPr>
          <w:i/>
          <w:lang w:val="en-US"/>
        </w:rPr>
        <w:t>Journal of Controlled Release</w:t>
      </w:r>
      <w:r w:rsidRPr="00726FEB">
        <w:rPr>
          <w:lang w:val="en-US"/>
        </w:rPr>
        <w:t xml:space="preserve"> 125: 193-209, 2008.</w:t>
      </w:r>
    </w:p>
  </w:endnote>
  <w:endnote w:id="100">
    <w:p w14:paraId="0E807EE8" w14:textId="77777777" w:rsidR="00DD7FD7" w:rsidRPr="00726FEB" w:rsidRDefault="00DD7FD7" w:rsidP="00710ECC">
      <w:pPr>
        <w:pStyle w:val="Endnotentext"/>
        <w:rPr>
          <w:lang w:val="en-US"/>
        </w:rPr>
      </w:pPr>
      <w:r>
        <w:rPr>
          <w:rStyle w:val="Endnotenzeichen"/>
        </w:rPr>
        <w:endnoteRef/>
      </w:r>
      <w:r w:rsidRPr="00726FEB">
        <w:rPr>
          <w:lang w:val="en-US"/>
        </w:rPr>
        <w:t xml:space="preserve"> E. P. Herrero, M. J. Alonso, N. Csaba, „Polymer-based oral peptide nanomedicines“, </w:t>
      </w:r>
      <w:r w:rsidRPr="00726FEB">
        <w:rPr>
          <w:i/>
          <w:lang w:val="en-US"/>
        </w:rPr>
        <w:t>Therapeutic Delivery</w:t>
      </w:r>
      <w:r w:rsidRPr="00726FEB">
        <w:rPr>
          <w:lang w:val="en-US"/>
        </w:rPr>
        <w:t xml:space="preserve"> 3(5): 657-668, 2012.</w:t>
      </w:r>
    </w:p>
  </w:endnote>
  <w:endnote w:id="101">
    <w:p w14:paraId="72913151" w14:textId="77777777" w:rsidR="00DD7FD7" w:rsidRPr="00DB0243" w:rsidRDefault="00DD7FD7">
      <w:pPr>
        <w:pStyle w:val="Endnotentext"/>
        <w:rPr>
          <w:lang w:val="en-US"/>
        </w:rPr>
      </w:pPr>
      <w:r>
        <w:rPr>
          <w:rStyle w:val="Endnotenzeichen"/>
        </w:rPr>
        <w:endnoteRef/>
      </w:r>
      <w:r w:rsidRPr="00DB0243">
        <w:rPr>
          <w:lang w:val="en-US"/>
        </w:rPr>
        <w:t xml:space="preserve"> J. M. Anderson, M. S. Shive, „Biodegradation and biocompatibility of PLA and PLGA microsheres.“, </w:t>
      </w:r>
      <w:r w:rsidRPr="00DB0243">
        <w:rPr>
          <w:i/>
          <w:lang w:val="en-US"/>
        </w:rPr>
        <w:t>Adv Drug Deliv Rev.</w:t>
      </w:r>
      <w:r w:rsidRPr="00DB0243">
        <w:rPr>
          <w:lang w:val="en-US"/>
        </w:rPr>
        <w:t xml:space="preserve"> 28: 5-24, 1997.</w:t>
      </w:r>
    </w:p>
  </w:endnote>
  <w:endnote w:id="102">
    <w:p w14:paraId="471DE29E" w14:textId="77777777" w:rsidR="00DD7FD7" w:rsidRPr="00DB0243" w:rsidRDefault="00DD7FD7">
      <w:pPr>
        <w:pStyle w:val="Endnotentext"/>
        <w:rPr>
          <w:lang w:val="en-US"/>
        </w:rPr>
      </w:pPr>
      <w:r>
        <w:rPr>
          <w:rStyle w:val="Endnotenzeichen"/>
        </w:rPr>
        <w:endnoteRef/>
      </w:r>
      <w:r w:rsidRPr="00DB0243">
        <w:rPr>
          <w:lang w:val="en-US"/>
        </w:rPr>
        <w:t xml:space="preserve"> J. C. Middleton, A. J. Tipton, „Synthetic Biodegradable Polymers as Medical Devices“, </w:t>
      </w:r>
      <w:r w:rsidRPr="00DB0243">
        <w:rPr>
          <w:i/>
          <w:iCs/>
          <w:lang w:val="en-US"/>
        </w:rPr>
        <w:t>Medical Plastics and Biomaterials</w:t>
      </w:r>
      <w:r w:rsidRPr="00DB0243">
        <w:rPr>
          <w:iCs/>
          <w:lang w:val="en-US"/>
        </w:rPr>
        <w:t xml:space="preserve"> 30, 1998.</w:t>
      </w:r>
    </w:p>
  </w:endnote>
  <w:endnote w:id="103">
    <w:p w14:paraId="608B9A58" w14:textId="77777777" w:rsidR="00DD7FD7" w:rsidRPr="00612975" w:rsidRDefault="00DD7FD7">
      <w:pPr>
        <w:pStyle w:val="Endnotentext"/>
        <w:rPr>
          <w:lang w:val="en-US"/>
        </w:rPr>
      </w:pPr>
      <w:r>
        <w:rPr>
          <w:rStyle w:val="Endnotenzeichen"/>
        </w:rPr>
        <w:endnoteRef/>
      </w:r>
      <w:r w:rsidRPr="00612975">
        <w:rPr>
          <w:lang w:val="en-US"/>
        </w:rPr>
        <w:t xml:space="preserve"> N. Franz, H.-A. Klok, „Synthesis of Functional Polydepsipeptides via Direct Ring-Opening Polymerisation and Post-Polymerisation Modification“, </w:t>
      </w:r>
      <w:r w:rsidRPr="002A2ED8">
        <w:rPr>
          <w:i/>
          <w:lang w:val="en-US"/>
        </w:rPr>
        <w:t>Macromolecular Chemistry and Physics</w:t>
      </w:r>
      <w:r w:rsidRPr="00612975">
        <w:rPr>
          <w:lang w:val="en-US"/>
        </w:rPr>
        <w:t xml:space="preserve"> 211: 809-820, 2010.</w:t>
      </w:r>
    </w:p>
  </w:endnote>
  <w:endnote w:id="104">
    <w:p w14:paraId="66ACFEBA" w14:textId="77777777" w:rsidR="00DD7FD7" w:rsidRPr="00612975" w:rsidRDefault="00DD7FD7">
      <w:pPr>
        <w:pStyle w:val="Endnotentext"/>
        <w:rPr>
          <w:lang w:val="en-US"/>
        </w:rPr>
      </w:pPr>
      <w:r>
        <w:rPr>
          <w:rStyle w:val="Endnotenzeichen"/>
        </w:rPr>
        <w:endnoteRef/>
      </w:r>
      <w:r w:rsidRPr="00612975">
        <w:rPr>
          <w:lang w:val="en-US"/>
        </w:rPr>
        <w:t xml:space="preserve"> X. Deng, J. Yao, M. Yuan, X. Li, C. Xiong, „Polymerization of lactides and lactones“, part 12, </w:t>
      </w:r>
      <w:r w:rsidRPr="002A2ED8">
        <w:rPr>
          <w:i/>
          <w:lang w:val="en-US"/>
        </w:rPr>
        <w:t>Macromolecular Chemistry and Physics</w:t>
      </w:r>
      <w:r w:rsidRPr="00612975">
        <w:rPr>
          <w:lang w:val="en-US"/>
        </w:rPr>
        <w:t xml:space="preserve"> 201: 2371-2376, 2000.</w:t>
      </w:r>
    </w:p>
  </w:endnote>
  <w:endnote w:id="105">
    <w:p w14:paraId="15B520D5" w14:textId="77777777" w:rsidR="00DD7FD7" w:rsidRPr="0098797E" w:rsidRDefault="00DD7FD7">
      <w:pPr>
        <w:pStyle w:val="Endnotentext"/>
      </w:pPr>
      <w:r>
        <w:rPr>
          <w:rStyle w:val="Endnotenzeichen"/>
        </w:rPr>
        <w:endnoteRef/>
      </w:r>
      <w:r w:rsidRPr="0098797E">
        <w:t xml:space="preserve"> Jahresberichte zum PeTrA Projekt von 2012 und 2013</w:t>
      </w:r>
      <w:r>
        <w:t>, „private communication“, Evonik Industries AG -</w:t>
      </w:r>
      <w:r w:rsidRPr="00AA7367">
        <w:t xml:space="preserve"> </w:t>
      </w:r>
      <w:r>
        <w:t>Pharma Polymers &amp; Services, Darmstadt.</w:t>
      </w:r>
    </w:p>
  </w:endnote>
  <w:endnote w:id="106">
    <w:p w14:paraId="60B93723" w14:textId="77777777" w:rsidR="00DD7FD7" w:rsidRPr="003B0DBC" w:rsidRDefault="00DD7FD7">
      <w:pPr>
        <w:pStyle w:val="Endnotentext"/>
      </w:pPr>
      <w:r>
        <w:rPr>
          <w:rStyle w:val="Endnotenzeichen"/>
        </w:rPr>
        <w:endnoteRef/>
      </w:r>
      <w:r w:rsidRPr="00DB0243">
        <w:rPr>
          <w:lang w:val="en-US"/>
        </w:rPr>
        <w:t xml:space="preserve"> P. He, Z. Tang, L. Lin, M. Deng, X. Pang, X. Zhuang, X. Chen, „Novel Biodegradable and pH-Sensitive Poly(ester amide) Microspheres for Oral Insulin Delivery“, </w:t>
      </w:r>
      <w:r w:rsidRPr="00DB0243">
        <w:rPr>
          <w:i/>
          <w:lang w:val="en-US"/>
        </w:rPr>
        <w:t xml:space="preserve">Macromol. </w:t>
      </w:r>
      <w:r>
        <w:rPr>
          <w:i/>
        </w:rPr>
        <w:t>Biosci.</w:t>
      </w:r>
      <w:r>
        <w:t xml:space="preserve"> 12: 547-556, 2012.</w:t>
      </w:r>
    </w:p>
  </w:endnote>
  <w:endnote w:id="107">
    <w:p w14:paraId="3C85168D" w14:textId="77777777" w:rsidR="00DD7FD7" w:rsidRDefault="00DD7FD7">
      <w:pPr>
        <w:pStyle w:val="Endnotentext"/>
      </w:pPr>
      <w:r>
        <w:rPr>
          <w:rStyle w:val="Endnotenzeichen"/>
        </w:rPr>
        <w:endnoteRef/>
      </w:r>
      <w:r>
        <w:t xml:space="preserve"> B. Amon, „Der Zeit voraus; Dr. Frederik Paulsen (1909-1997), der Mann, der Ferring gründete“, Hrsg.: Ferring GmbH, Kiel, 1999.</w:t>
      </w:r>
    </w:p>
  </w:endnote>
  <w:endnote w:id="108">
    <w:p w14:paraId="58BEFB15" w14:textId="77777777" w:rsidR="00DD7FD7" w:rsidRPr="00726FEB" w:rsidRDefault="00DD7FD7">
      <w:pPr>
        <w:pStyle w:val="Endnotentext"/>
        <w:rPr>
          <w:lang w:val="en-US"/>
        </w:rPr>
      </w:pPr>
      <w:r>
        <w:rPr>
          <w:rStyle w:val="Endnotenzeichen"/>
        </w:rPr>
        <w:endnoteRef/>
      </w:r>
      <w:r w:rsidRPr="00726FEB">
        <w:rPr>
          <w:lang w:val="en-US"/>
        </w:rPr>
        <w:t xml:space="preserve"> A. Fjellestad-Paulsen, C. Söderberg-Ahlm, S. Lundin, „Metabolism of vasopressin, oxytocin, and their analogues in the human gastrointestinal tract.“, </w:t>
      </w:r>
      <w:r w:rsidRPr="00726FEB">
        <w:rPr>
          <w:i/>
          <w:lang w:val="en-US"/>
        </w:rPr>
        <w:t>Peptides</w:t>
      </w:r>
      <w:r w:rsidRPr="00726FEB">
        <w:rPr>
          <w:lang w:val="en-US"/>
        </w:rPr>
        <w:t xml:space="preserve"> 16: 1141-1147, 1995.</w:t>
      </w:r>
    </w:p>
  </w:endnote>
  <w:endnote w:id="109">
    <w:p w14:paraId="31B348FE" w14:textId="77777777" w:rsidR="00DD7FD7" w:rsidRPr="00D11EB0" w:rsidRDefault="00DD7FD7" w:rsidP="00C93812">
      <w:pPr>
        <w:pStyle w:val="Endnotentext"/>
        <w:rPr>
          <w:lang w:val="en-US"/>
        </w:rPr>
      </w:pPr>
      <w:r>
        <w:rPr>
          <w:rStyle w:val="Endnotenzeichen"/>
        </w:rPr>
        <w:endnoteRef/>
      </w:r>
      <w:r w:rsidRPr="00D11EB0">
        <w:rPr>
          <w:lang w:val="en-US"/>
        </w:rPr>
        <w:t xml:space="preserve"> </w:t>
      </w:r>
      <w:r>
        <w:rPr>
          <w:lang w:val="en-US"/>
        </w:rPr>
        <w:t>H. Vilhardt</w:t>
      </w:r>
      <w:r w:rsidRPr="00D11EB0">
        <w:rPr>
          <w:lang w:val="en-US"/>
        </w:rPr>
        <w:t xml:space="preserve">, </w:t>
      </w:r>
      <w:r>
        <w:rPr>
          <w:lang w:val="en-US"/>
        </w:rPr>
        <w:t xml:space="preserve">S. </w:t>
      </w:r>
      <w:r w:rsidRPr="00D11EB0">
        <w:rPr>
          <w:lang w:val="en-US"/>
        </w:rPr>
        <w:t>Lundin</w:t>
      </w:r>
      <w:r>
        <w:rPr>
          <w:lang w:val="en-US"/>
        </w:rPr>
        <w:t>, “</w:t>
      </w:r>
      <w:r w:rsidRPr="00D11EB0">
        <w:rPr>
          <w:lang w:val="en-US"/>
        </w:rPr>
        <w:t>Biological effect and plasma concentrations of DDAVP after intranasal and peroral administration to humans</w:t>
      </w:r>
      <w:r>
        <w:rPr>
          <w:lang w:val="en-US"/>
        </w:rPr>
        <w:t xml:space="preserve">”, </w:t>
      </w:r>
      <w:r w:rsidRPr="00D11EB0">
        <w:rPr>
          <w:i/>
          <w:lang w:val="en-US"/>
        </w:rPr>
        <w:t>Gen. Pharmac.</w:t>
      </w:r>
      <w:r>
        <w:rPr>
          <w:lang w:val="en-US"/>
        </w:rPr>
        <w:t xml:space="preserve"> 17 (4):</w:t>
      </w:r>
      <w:r w:rsidRPr="00D11EB0">
        <w:rPr>
          <w:lang w:val="en-US"/>
        </w:rPr>
        <w:t xml:space="preserve"> 481-483</w:t>
      </w:r>
      <w:r>
        <w:rPr>
          <w:lang w:val="en-US"/>
        </w:rPr>
        <w:t>, 1986.</w:t>
      </w:r>
    </w:p>
  </w:endnote>
  <w:endnote w:id="110">
    <w:p w14:paraId="4604157C" w14:textId="77777777" w:rsidR="00DD7FD7" w:rsidRPr="00A65EF2" w:rsidRDefault="00DD7FD7" w:rsidP="00A65EF2">
      <w:pPr>
        <w:pStyle w:val="Endnotentext"/>
        <w:rPr>
          <w:lang w:val="en-US"/>
        </w:rPr>
      </w:pPr>
      <w:r>
        <w:rPr>
          <w:rStyle w:val="Endnotenzeichen"/>
        </w:rPr>
        <w:endnoteRef/>
      </w:r>
      <w:r w:rsidRPr="00A65EF2">
        <w:rPr>
          <w:lang w:val="en-US"/>
        </w:rPr>
        <w:t xml:space="preserve"> M.</w:t>
      </w:r>
      <w:r>
        <w:rPr>
          <w:lang w:val="en-US"/>
        </w:rPr>
        <w:t xml:space="preserve"> </w:t>
      </w:r>
      <w:r w:rsidRPr="00A65EF2">
        <w:rPr>
          <w:lang w:val="en-US"/>
        </w:rPr>
        <w:t>C.</w:t>
      </w:r>
      <w:r>
        <w:rPr>
          <w:lang w:val="en-US"/>
        </w:rPr>
        <w:t xml:space="preserve"> </w:t>
      </w:r>
      <w:r w:rsidRPr="00A65EF2">
        <w:rPr>
          <w:lang w:val="en-US"/>
        </w:rPr>
        <w:t>Manning, K.</w:t>
      </w:r>
      <w:r>
        <w:rPr>
          <w:lang w:val="en-US"/>
        </w:rPr>
        <w:t xml:space="preserve"> </w:t>
      </w:r>
      <w:r w:rsidRPr="00A65EF2">
        <w:rPr>
          <w:lang w:val="en-US"/>
        </w:rPr>
        <w:t>Patel, R.</w:t>
      </w:r>
      <w:r>
        <w:rPr>
          <w:lang w:val="en-US"/>
        </w:rPr>
        <w:t xml:space="preserve"> </w:t>
      </w:r>
      <w:r w:rsidRPr="00A65EF2">
        <w:rPr>
          <w:lang w:val="en-US"/>
        </w:rPr>
        <w:t>T.</w:t>
      </w:r>
      <w:r>
        <w:rPr>
          <w:lang w:val="en-US"/>
        </w:rPr>
        <w:t xml:space="preserve"> </w:t>
      </w:r>
      <w:r w:rsidRPr="00A65EF2">
        <w:rPr>
          <w:lang w:val="en-US"/>
        </w:rPr>
        <w:t>Borchardt, „Stability of protein pharmaceuticals</w:t>
      </w:r>
      <w:r>
        <w:rPr>
          <w:lang w:val="en-US"/>
        </w:rPr>
        <w:t>”</w:t>
      </w:r>
      <w:r w:rsidRPr="00A65EF2">
        <w:rPr>
          <w:lang w:val="en-US"/>
        </w:rPr>
        <w:t xml:space="preserve">, </w:t>
      </w:r>
      <w:r w:rsidRPr="00A65EF2">
        <w:rPr>
          <w:i/>
          <w:lang w:val="en-US"/>
        </w:rPr>
        <w:t>Pharm. Res.</w:t>
      </w:r>
      <w:r>
        <w:rPr>
          <w:lang w:val="en-US"/>
        </w:rPr>
        <w:t xml:space="preserve"> 6(</w:t>
      </w:r>
      <w:r w:rsidRPr="00A65EF2">
        <w:rPr>
          <w:lang w:val="en-US"/>
        </w:rPr>
        <w:t>11</w:t>
      </w:r>
      <w:r>
        <w:rPr>
          <w:lang w:val="en-US"/>
        </w:rPr>
        <w:t>): 903-918, 1989.</w:t>
      </w:r>
    </w:p>
  </w:endnote>
  <w:endnote w:id="111">
    <w:p w14:paraId="25B90E64" w14:textId="77777777" w:rsidR="00DD7FD7" w:rsidRPr="00F77578" w:rsidRDefault="00DD7FD7" w:rsidP="000B7ED8">
      <w:pPr>
        <w:pStyle w:val="Endnotentext"/>
        <w:rPr>
          <w:lang w:val="en-US"/>
        </w:rPr>
      </w:pPr>
      <w:r>
        <w:rPr>
          <w:rStyle w:val="Endnotenzeichen"/>
        </w:rPr>
        <w:endnoteRef/>
      </w:r>
      <w:r w:rsidRPr="006030EF">
        <w:rPr>
          <w:lang w:val="en-US"/>
        </w:rPr>
        <w:t xml:space="preserve"> M.</w:t>
      </w:r>
      <w:r>
        <w:rPr>
          <w:lang w:val="en-US"/>
        </w:rPr>
        <w:t xml:space="preserve"> </w:t>
      </w:r>
      <w:r w:rsidRPr="006030EF">
        <w:rPr>
          <w:lang w:val="en-US"/>
        </w:rPr>
        <w:t>P. Desai, V. Labhasetwar, G.</w:t>
      </w:r>
      <w:r>
        <w:rPr>
          <w:lang w:val="en-US"/>
        </w:rPr>
        <w:t xml:space="preserve"> </w:t>
      </w:r>
      <w:r w:rsidRPr="006030EF">
        <w:rPr>
          <w:lang w:val="en-US"/>
        </w:rPr>
        <w:t>L. Amidon, R.</w:t>
      </w:r>
      <w:r>
        <w:rPr>
          <w:lang w:val="en-US"/>
        </w:rPr>
        <w:t xml:space="preserve"> </w:t>
      </w:r>
      <w:r w:rsidRPr="006030EF">
        <w:rPr>
          <w:lang w:val="en-US"/>
        </w:rPr>
        <w:t xml:space="preserve">J. Levy, „Gastrointestinal uptake of biodegradable microparticles: effect of particle size“, </w:t>
      </w:r>
      <w:r w:rsidRPr="0046272E">
        <w:rPr>
          <w:i/>
          <w:lang w:val="en-US"/>
        </w:rPr>
        <w:t>Pharm. Res.</w:t>
      </w:r>
      <w:r>
        <w:rPr>
          <w:lang w:val="en-US"/>
        </w:rPr>
        <w:t xml:space="preserve"> 13:</w:t>
      </w:r>
      <w:r w:rsidRPr="00F77578">
        <w:rPr>
          <w:lang w:val="en-US"/>
        </w:rPr>
        <w:t xml:space="preserve"> 1838–1845,</w:t>
      </w:r>
      <w:r>
        <w:rPr>
          <w:lang w:val="en-US"/>
        </w:rPr>
        <w:t xml:space="preserve"> </w:t>
      </w:r>
      <w:r w:rsidRPr="00F77578">
        <w:rPr>
          <w:lang w:val="en-US"/>
        </w:rPr>
        <w:t>1996</w:t>
      </w:r>
      <w:r>
        <w:rPr>
          <w:lang w:val="en-US"/>
        </w:rPr>
        <w:t>.</w:t>
      </w:r>
    </w:p>
  </w:endnote>
  <w:endnote w:id="112">
    <w:p w14:paraId="4769CBB9" w14:textId="77777777" w:rsidR="00DD7FD7" w:rsidRPr="006030EF" w:rsidRDefault="00DD7FD7">
      <w:pPr>
        <w:pStyle w:val="Endnotentext"/>
        <w:rPr>
          <w:lang w:val="en-US"/>
        </w:rPr>
      </w:pPr>
      <w:r>
        <w:rPr>
          <w:rStyle w:val="Endnotenzeichen"/>
        </w:rPr>
        <w:endnoteRef/>
      </w:r>
      <w:r w:rsidRPr="006030EF">
        <w:rPr>
          <w:lang w:val="en-US"/>
        </w:rPr>
        <w:t xml:space="preserve"> Scientific Committee on Emerging and Newly Identified Health Risks, „Scientific Basis for the Definition of the Term nanomaterial“, The European Union, doi:10.277/39703, 2010</w:t>
      </w:r>
      <w:r>
        <w:rPr>
          <w:lang w:val="en-US"/>
        </w:rPr>
        <w:t>.</w:t>
      </w:r>
    </w:p>
  </w:endnote>
  <w:endnote w:id="113">
    <w:p w14:paraId="40B9574B" w14:textId="77777777" w:rsidR="00DD7FD7" w:rsidRPr="00E4199A" w:rsidRDefault="00DD7FD7" w:rsidP="0030578C">
      <w:pPr>
        <w:pStyle w:val="Endnotentext"/>
        <w:rPr>
          <w:lang w:val="en-US"/>
        </w:rPr>
      </w:pPr>
      <w:r>
        <w:rPr>
          <w:rStyle w:val="Endnotenzeichen"/>
        </w:rPr>
        <w:endnoteRef/>
      </w:r>
      <w:r w:rsidRPr="00361B7B">
        <w:rPr>
          <w:lang w:val="en-US"/>
        </w:rPr>
        <w:t xml:space="preserve"> Vivaldo-Lima, E., Wo</w:t>
      </w:r>
      <w:r>
        <w:rPr>
          <w:lang w:val="en-US"/>
        </w:rPr>
        <w:t>od, P., and Hamielec, A.,</w:t>
      </w:r>
      <w:r w:rsidRPr="00726FEB">
        <w:rPr>
          <w:lang w:val="en-US"/>
        </w:rPr>
        <w:t xml:space="preserve"> „</w:t>
      </w:r>
      <w:r w:rsidRPr="00361B7B">
        <w:rPr>
          <w:lang w:val="en-US"/>
        </w:rPr>
        <w:t>An Updated Revi</w:t>
      </w:r>
      <w:r>
        <w:rPr>
          <w:lang w:val="en-US"/>
        </w:rPr>
        <w:t>ew on Suspension Polymerization”</w:t>
      </w:r>
      <w:r w:rsidRPr="00361B7B">
        <w:rPr>
          <w:lang w:val="en-US"/>
        </w:rPr>
        <w:t xml:space="preserve">. </w:t>
      </w:r>
      <w:r w:rsidRPr="00760B3B">
        <w:rPr>
          <w:i/>
          <w:lang w:val="en-US"/>
        </w:rPr>
        <w:t>Ind. Eng. Chem. Res.</w:t>
      </w:r>
      <w:r w:rsidRPr="00E4199A">
        <w:rPr>
          <w:lang w:val="en-US"/>
        </w:rPr>
        <w:t xml:space="preserve"> 36: 939–965, 1997.</w:t>
      </w:r>
    </w:p>
  </w:endnote>
  <w:endnote w:id="114">
    <w:p w14:paraId="21569EFB" w14:textId="77777777" w:rsidR="00DD7FD7" w:rsidRPr="009C149B" w:rsidRDefault="00DD7FD7" w:rsidP="0030578C">
      <w:pPr>
        <w:pStyle w:val="Endnotentext"/>
      </w:pPr>
      <w:r>
        <w:rPr>
          <w:rStyle w:val="Endnotenzeichen"/>
        </w:rPr>
        <w:endnoteRef/>
      </w:r>
      <w:r w:rsidRPr="009C149B">
        <w:rPr>
          <w:lang w:val="en-US"/>
        </w:rPr>
        <w:t xml:space="preserve"> </w:t>
      </w:r>
      <w:r>
        <w:rPr>
          <w:lang w:val="en-US"/>
        </w:rPr>
        <w:t>Arshady, R. “</w:t>
      </w:r>
      <w:r w:rsidRPr="009C149B">
        <w:rPr>
          <w:lang w:val="en-US"/>
        </w:rPr>
        <w:t>Suspension, Emulsion, and Dispersion Polymeri</w:t>
      </w:r>
      <w:r>
        <w:rPr>
          <w:lang w:val="en-US"/>
        </w:rPr>
        <w:t>zation: A Methodological Survey”</w:t>
      </w:r>
      <w:r w:rsidRPr="009C149B">
        <w:rPr>
          <w:lang w:val="en-US"/>
        </w:rPr>
        <w:t xml:space="preserve">. </w:t>
      </w:r>
      <w:r w:rsidRPr="002A2ED8">
        <w:rPr>
          <w:i/>
        </w:rPr>
        <w:t>Colloid. Polym. Sci.</w:t>
      </w:r>
      <w:r w:rsidRPr="009C149B">
        <w:t xml:space="preserve"> 270: 717–732</w:t>
      </w:r>
      <w:r>
        <w:t xml:space="preserve"> 1992.</w:t>
      </w:r>
    </w:p>
  </w:endnote>
  <w:endnote w:id="115">
    <w:p w14:paraId="131DC8A5" w14:textId="77777777" w:rsidR="00DD7FD7" w:rsidRPr="00855725" w:rsidRDefault="00DD7FD7" w:rsidP="0030578C">
      <w:pPr>
        <w:pStyle w:val="Endnotentext"/>
      </w:pPr>
      <w:r>
        <w:rPr>
          <w:rStyle w:val="Endnotenzeichen"/>
        </w:rPr>
        <w:endnoteRef/>
      </w:r>
      <w:r w:rsidRPr="00855725">
        <w:t xml:space="preserve"> M. Baerns, A. Behr, A. Brehm, J. Gmehling, H. Hofmann, U. Onken und A. Renken, </w:t>
      </w:r>
      <w:r w:rsidRPr="00DD7682">
        <w:rPr>
          <w:i/>
        </w:rPr>
        <w:t>Technische Chemie</w:t>
      </w:r>
      <w:r w:rsidRPr="00855725">
        <w:t>, Wiley-VCH, 2006.</w:t>
      </w:r>
    </w:p>
  </w:endnote>
  <w:endnote w:id="116">
    <w:p w14:paraId="78A72406" w14:textId="77777777" w:rsidR="00DD7FD7" w:rsidRPr="00DE3DE0" w:rsidRDefault="00DD7FD7">
      <w:pPr>
        <w:pStyle w:val="Endnotentext"/>
        <w:rPr>
          <w:lang w:val="en-US"/>
        </w:rPr>
      </w:pPr>
      <w:r>
        <w:rPr>
          <w:rStyle w:val="Endnotenzeichen"/>
        </w:rPr>
        <w:endnoteRef/>
      </w:r>
      <w:r w:rsidRPr="00DE3DE0">
        <w:rPr>
          <w:lang w:val="en-US"/>
        </w:rPr>
        <w:t xml:space="preserve"> H. Fessi, J.P. Devissaguet, F. Puisieux, C. T</w:t>
      </w:r>
      <w:r>
        <w:rPr>
          <w:lang w:val="en-US"/>
        </w:rPr>
        <w:t>hies, U.S. patent 5 (118)</w:t>
      </w:r>
      <w:r w:rsidRPr="00DE3DE0">
        <w:rPr>
          <w:lang w:val="en-US"/>
        </w:rPr>
        <w:t xml:space="preserve"> 528</w:t>
      </w:r>
      <w:r>
        <w:rPr>
          <w:lang w:val="en-US"/>
        </w:rPr>
        <w:t>, 1992</w:t>
      </w:r>
      <w:r w:rsidRPr="00DE3DE0">
        <w:rPr>
          <w:lang w:val="en-US"/>
        </w:rPr>
        <w:t>.</w:t>
      </w:r>
    </w:p>
  </w:endnote>
  <w:endnote w:id="117">
    <w:p w14:paraId="3F1E0253" w14:textId="77777777" w:rsidR="00DD7FD7" w:rsidRPr="00DE3DE0" w:rsidRDefault="00DD7FD7" w:rsidP="00DE3DE0">
      <w:pPr>
        <w:pStyle w:val="Endnotentext"/>
        <w:rPr>
          <w:lang w:val="en-US"/>
        </w:rPr>
      </w:pPr>
      <w:r>
        <w:rPr>
          <w:rStyle w:val="Endnotenzeichen"/>
        </w:rPr>
        <w:endnoteRef/>
      </w:r>
      <w:r w:rsidRPr="00DE3DE0">
        <w:rPr>
          <w:lang w:val="en-US"/>
        </w:rPr>
        <w:t xml:space="preserve"> J.</w:t>
      </w:r>
      <w:r>
        <w:rPr>
          <w:lang w:val="en-US"/>
        </w:rPr>
        <w:t xml:space="preserve"> </w:t>
      </w:r>
      <w:r w:rsidRPr="00DE3DE0">
        <w:rPr>
          <w:lang w:val="en-US"/>
        </w:rPr>
        <w:t>W. Vanderhoff, M.</w:t>
      </w:r>
      <w:r>
        <w:rPr>
          <w:lang w:val="en-US"/>
        </w:rPr>
        <w:t xml:space="preserve"> </w:t>
      </w:r>
      <w:r w:rsidRPr="00DE3DE0">
        <w:rPr>
          <w:lang w:val="en-US"/>
        </w:rPr>
        <w:t xml:space="preserve">S. El-Aasser, J. Ugelstad, </w:t>
      </w:r>
      <w:r>
        <w:rPr>
          <w:lang w:val="en-US"/>
        </w:rPr>
        <w:t>“</w:t>
      </w:r>
      <w:r w:rsidRPr="00DE3DE0">
        <w:rPr>
          <w:lang w:val="en-US"/>
        </w:rPr>
        <w:t>Polymer emulsification process</w:t>
      </w:r>
      <w:r>
        <w:rPr>
          <w:lang w:val="en-US"/>
        </w:rPr>
        <w:t>”</w:t>
      </w:r>
      <w:r w:rsidRPr="00DE3DE0">
        <w:rPr>
          <w:lang w:val="en-US"/>
        </w:rPr>
        <w:t>, U.S.</w:t>
      </w:r>
    </w:p>
    <w:p w14:paraId="7D4C05A3" w14:textId="77777777" w:rsidR="00DD7FD7" w:rsidRPr="00DE3DE0" w:rsidRDefault="00DD7FD7" w:rsidP="00DE3DE0">
      <w:pPr>
        <w:pStyle w:val="Endnotentext"/>
        <w:rPr>
          <w:lang w:val="en-US"/>
        </w:rPr>
      </w:pPr>
      <w:r>
        <w:rPr>
          <w:lang w:val="en-US"/>
        </w:rPr>
        <w:t>Pat. 4 (177)</w:t>
      </w:r>
      <w:r w:rsidRPr="00DE3DE0">
        <w:rPr>
          <w:lang w:val="en-US"/>
        </w:rPr>
        <w:t xml:space="preserve"> 177</w:t>
      </w:r>
      <w:r>
        <w:rPr>
          <w:lang w:val="en-US"/>
        </w:rPr>
        <w:t>, 1979</w:t>
      </w:r>
      <w:r w:rsidRPr="00DE3DE0">
        <w:rPr>
          <w:lang w:val="en-US"/>
        </w:rPr>
        <w:t>.</w:t>
      </w:r>
    </w:p>
  </w:endnote>
  <w:endnote w:id="118">
    <w:p w14:paraId="68813619" w14:textId="77777777" w:rsidR="00DD7FD7" w:rsidRPr="00DE3DE0" w:rsidRDefault="00DD7FD7" w:rsidP="00DE3DE0">
      <w:pPr>
        <w:pStyle w:val="Endnotentext"/>
        <w:rPr>
          <w:lang w:val="en-US"/>
        </w:rPr>
      </w:pPr>
      <w:r>
        <w:rPr>
          <w:rStyle w:val="Endnotenzeichen"/>
        </w:rPr>
        <w:endnoteRef/>
      </w:r>
      <w:r w:rsidRPr="00DE3DE0">
        <w:rPr>
          <w:lang w:val="en-US"/>
        </w:rPr>
        <w:t xml:space="preserve"> T. Niwa, H. Takeuchi, T. Hino, N. Kunou, Y. Kawashima, </w:t>
      </w:r>
      <w:r>
        <w:rPr>
          <w:lang w:val="en-US"/>
        </w:rPr>
        <w:t>“</w:t>
      </w:r>
      <w:r w:rsidRPr="00DE3DE0">
        <w:rPr>
          <w:lang w:val="en-US"/>
        </w:rPr>
        <w:t>Preparations of</w:t>
      </w:r>
    </w:p>
    <w:p w14:paraId="40054EE6" w14:textId="77777777" w:rsidR="00DD7FD7" w:rsidRPr="00DE3DE0" w:rsidRDefault="00DD7FD7" w:rsidP="00DE3DE0">
      <w:pPr>
        <w:pStyle w:val="Endnotentext"/>
        <w:rPr>
          <w:lang w:val="en-US"/>
        </w:rPr>
      </w:pPr>
      <w:r w:rsidRPr="00DE3DE0">
        <w:rPr>
          <w:lang w:val="en-US"/>
        </w:rPr>
        <w:t>biodegradable nanospheres of water-soluble and insoluble drugs with d,l-lactide</w:t>
      </w:r>
    </w:p>
    <w:p w14:paraId="26B0A406" w14:textId="77777777" w:rsidR="00DD7FD7" w:rsidRPr="00DE3DE0" w:rsidRDefault="00DD7FD7" w:rsidP="00DE3DE0">
      <w:pPr>
        <w:pStyle w:val="Endnotentext"/>
        <w:rPr>
          <w:lang w:val="en-US"/>
        </w:rPr>
      </w:pPr>
      <w:r w:rsidRPr="00DE3DE0">
        <w:rPr>
          <w:lang w:val="en-US"/>
        </w:rPr>
        <w:t>glycolide copolymer by a novel spontaneous emulsification solvent diffusion</w:t>
      </w:r>
    </w:p>
    <w:p w14:paraId="6191452E" w14:textId="77777777" w:rsidR="00DD7FD7" w:rsidRPr="00DE3DE0" w:rsidRDefault="00DD7FD7" w:rsidP="00DE3DE0">
      <w:pPr>
        <w:pStyle w:val="Endnotentext"/>
        <w:rPr>
          <w:lang w:val="en-US"/>
        </w:rPr>
      </w:pPr>
      <w:r w:rsidRPr="00DE3DE0">
        <w:rPr>
          <w:lang w:val="en-US"/>
        </w:rPr>
        <w:t>method, and the drug release behavior</w:t>
      </w:r>
      <w:r>
        <w:rPr>
          <w:lang w:val="en-US"/>
        </w:rPr>
        <w:t>”</w:t>
      </w:r>
      <w:r w:rsidRPr="00DE3DE0">
        <w:rPr>
          <w:lang w:val="en-US"/>
        </w:rPr>
        <w:t xml:space="preserve">, </w:t>
      </w:r>
      <w:r w:rsidRPr="00BD4E4C">
        <w:rPr>
          <w:i/>
          <w:lang w:val="en-US"/>
        </w:rPr>
        <w:t>J. Control. Release</w:t>
      </w:r>
      <w:r>
        <w:rPr>
          <w:lang w:val="en-US"/>
        </w:rPr>
        <w:t xml:space="preserve"> 25 (1–2):</w:t>
      </w:r>
      <w:r w:rsidRPr="00DE3DE0">
        <w:rPr>
          <w:lang w:val="en-US"/>
        </w:rPr>
        <w:t xml:space="preserve"> 89–98</w:t>
      </w:r>
      <w:r>
        <w:rPr>
          <w:lang w:val="en-US"/>
        </w:rPr>
        <w:t>, 1993</w:t>
      </w:r>
      <w:r w:rsidRPr="00DE3DE0">
        <w:rPr>
          <w:lang w:val="en-US"/>
        </w:rPr>
        <w:t>.</w:t>
      </w:r>
    </w:p>
  </w:endnote>
  <w:endnote w:id="119">
    <w:p w14:paraId="1D17EF19" w14:textId="77777777" w:rsidR="00DD7FD7" w:rsidRPr="00DE3DE0" w:rsidRDefault="00DD7FD7" w:rsidP="00DE3DE0">
      <w:pPr>
        <w:pStyle w:val="Endnotentext"/>
        <w:rPr>
          <w:lang w:val="en-US"/>
        </w:rPr>
      </w:pPr>
      <w:r>
        <w:rPr>
          <w:rStyle w:val="Endnotenzeichen"/>
        </w:rPr>
        <w:endnoteRef/>
      </w:r>
      <w:r w:rsidRPr="00DE3DE0">
        <w:rPr>
          <w:lang w:val="en-US"/>
        </w:rPr>
        <w:t xml:space="preserve"> D. Quintanar-Guerrero, E. Allemann, H. Fessi, E. Doelker, </w:t>
      </w:r>
      <w:r>
        <w:rPr>
          <w:lang w:val="en-US"/>
        </w:rPr>
        <w:t>“</w:t>
      </w:r>
      <w:r w:rsidRPr="00DE3DE0">
        <w:rPr>
          <w:lang w:val="en-US"/>
        </w:rPr>
        <w:t>Pseudolatex preparation</w:t>
      </w:r>
    </w:p>
    <w:p w14:paraId="3A3C4F73" w14:textId="77777777" w:rsidR="00DD7FD7" w:rsidRPr="00DE3DE0" w:rsidRDefault="00DD7FD7" w:rsidP="00DE3DE0">
      <w:pPr>
        <w:pStyle w:val="Endnotentext"/>
        <w:rPr>
          <w:lang w:val="en-US"/>
        </w:rPr>
      </w:pPr>
      <w:r w:rsidRPr="00DE3DE0">
        <w:rPr>
          <w:lang w:val="en-US"/>
        </w:rPr>
        <w:t>using a novel emulsion-diffusion process involving direct displacement of partially</w:t>
      </w:r>
    </w:p>
    <w:p w14:paraId="36C0BF8D" w14:textId="77777777" w:rsidR="00DD7FD7" w:rsidRPr="00DE3DE0" w:rsidRDefault="00DD7FD7" w:rsidP="00DE3DE0">
      <w:pPr>
        <w:pStyle w:val="Endnotentext"/>
        <w:rPr>
          <w:lang w:val="en-US"/>
        </w:rPr>
      </w:pPr>
      <w:r w:rsidRPr="00DE3DE0">
        <w:rPr>
          <w:lang w:val="en-US"/>
        </w:rPr>
        <w:t>water-miscible solvents by distillation</w:t>
      </w:r>
      <w:r>
        <w:rPr>
          <w:lang w:val="en-US"/>
        </w:rPr>
        <w:t>”</w:t>
      </w:r>
      <w:r w:rsidRPr="00DE3DE0">
        <w:rPr>
          <w:lang w:val="en-US"/>
        </w:rPr>
        <w:t xml:space="preserve">, </w:t>
      </w:r>
      <w:r w:rsidRPr="006F58BF">
        <w:rPr>
          <w:i/>
          <w:lang w:val="en-US"/>
        </w:rPr>
        <w:t>Int. J. Pharm.</w:t>
      </w:r>
      <w:r>
        <w:rPr>
          <w:lang w:val="en-US"/>
        </w:rPr>
        <w:t xml:space="preserve"> 188 (2):</w:t>
      </w:r>
      <w:r w:rsidRPr="00DE3DE0">
        <w:rPr>
          <w:lang w:val="en-US"/>
        </w:rPr>
        <w:t xml:space="preserve"> 155–164</w:t>
      </w:r>
      <w:r>
        <w:rPr>
          <w:lang w:val="en-US"/>
        </w:rPr>
        <w:t>, 1999</w:t>
      </w:r>
      <w:r w:rsidRPr="00DE3DE0">
        <w:rPr>
          <w:lang w:val="en-US"/>
        </w:rPr>
        <w:t>.</w:t>
      </w:r>
    </w:p>
  </w:endnote>
  <w:endnote w:id="120">
    <w:p w14:paraId="1B8156B9" w14:textId="77777777" w:rsidR="00DD7FD7" w:rsidRPr="009B7484" w:rsidRDefault="00DD7FD7" w:rsidP="0030578C">
      <w:pPr>
        <w:pStyle w:val="Endnotentext"/>
        <w:rPr>
          <w:lang w:val="en-US"/>
        </w:rPr>
      </w:pPr>
      <w:r>
        <w:rPr>
          <w:rStyle w:val="Endnotenzeichen"/>
        </w:rPr>
        <w:endnoteRef/>
      </w:r>
      <w:r w:rsidRPr="009B7484">
        <w:rPr>
          <w:lang w:val="en-US"/>
        </w:rPr>
        <w:t xml:space="preserve"> V.</w:t>
      </w:r>
      <w:r>
        <w:rPr>
          <w:lang w:val="en-US"/>
        </w:rPr>
        <w:t xml:space="preserve"> </w:t>
      </w:r>
      <w:r w:rsidRPr="009B7484">
        <w:rPr>
          <w:lang w:val="en-US"/>
        </w:rPr>
        <w:t xml:space="preserve">J. Mohanraj, Y. Chen, </w:t>
      </w:r>
      <w:r>
        <w:rPr>
          <w:lang w:val="en-US"/>
        </w:rPr>
        <w:t>“</w:t>
      </w:r>
      <w:r w:rsidRPr="009B7484">
        <w:rPr>
          <w:lang w:val="en-US"/>
        </w:rPr>
        <w:t>Nanoparticles – A Review</w:t>
      </w:r>
      <w:r>
        <w:rPr>
          <w:lang w:val="en-US"/>
        </w:rPr>
        <w:t xml:space="preserve">”, </w:t>
      </w:r>
      <w:r w:rsidRPr="00BD4E4C">
        <w:rPr>
          <w:i/>
          <w:lang w:val="en-US"/>
        </w:rPr>
        <w:t>Tropical Journal of Pharmaceutical Research</w:t>
      </w:r>
      <w:r w:rsidRPr="009B7484">
        <w:rPr>
          <w:lang w:val="en-US"/>
        </w:rPr>
        <w:t xml:space="preserve"> 5 (1): 561-573</w:t>
      </w:r>
      <w:r>
        <w:rPr>
          <w:lang w:val="en-US"/>
        </w:rPr>
        <w:t>, 2006.</w:t>
      </w:r>
    </w:p>
  </w:endnote>
  <w:endnote w:id="121">
    <w:p w14:paraId="4BE8AA28" w14:textId="77777777" w:rsidR="00DD7FD7" w:rsidRPr="006030EF" w:rsidRDefault="00DD7FD7" w:rsidP="005412FD">
      <w:pPr>
        <w:pStyle w:val="Endnotentext"/>
        <w:rPr>
          <w:lang w:val="en-US"/>
        </w:rPr>
      </w:pPr>
      <w:r>
        <w:rPr>
          <w:rStyle w:val="Endnotenzeichen"/>
        </w:rPr>
        <w:endnoteRef/>
      </w:r>
      <w:r w:rsidRPr="006030EF">
        <w:rPr>
          <w:lang w:val="en-US"/>
        </w:rPr>
        <w:t xml:space="preserve"> A. Lamprecht, N. Ubrich, M. Hombreiro Pérez, C.-M. Lehr, M. Hoffman, P. Maincent, „Biodegradable monodispersed nanoparticles prepared by pressure homogenization-emulsification“, </w:t>
      </w:r>
      <w:r w:rsidRPr="00BD4E4C">
        <w:rPr>
          <w:i/>
          <w:lang w:val="en-US"/>
        </w:rPr>
        <w:t>Int. J. of Pharmaceutics</w:t>
      </w:r>
      <w:r>
        <w:rPr>
          <w:lang w:val="en-US"/>
        </w:rPr>
        <w:t>, 184(</w:t>
      </w:r>
      <w:r w:rsidRPr="006030EF">
        <w:rPr>
          <w:lang w:val="en-US"/>
        </w:rPr>
        <w:t>1</w:t>
      </w:r>
      <w:r>
        <w:rPr>
          <w:lang w:val="en-US"/>
        </w:rPr>
        <w:t>)</w:t>
      </w:r>
      <w:r w:rsidRPr="006030EF">
        <w:rPr>
          <w:lang w:val="en-US"/>
        </w:rPr>
        <w:t>: 97-105, 1999</w:t>
      </w:r>
      <w:r>
        <w:rPr>
          <w:lang w:val="en-US"/>
        </w:rPr>
        <w:t>.</w:t>
      </w:r>
    </w:p>
  </w:endnote>
  <w:endnote w:id="122">
    <w:p w14:paraId="37D4AE27" w14:textId="77777777" w:rsidR="00DD7FD7" w:rsidRPr="00032AD6" w:rsidRDefault="00DD7FD7">
      <w:pPr>
        <w:pStyle w:val="Endnotentext"/>
        <w:rPr>
          <w:lang w:val="en-US"/>
        </w:rPr>
      </w:pPr>
      <w:r>
        <w:rPr>
          <w:rStyle w:val="Endnotenzeichen"/>
        </w:rPr>
        <w:endnoteRef/>
      </w:r>
      <w:r>
        <w:rPr>
          <w:lang w:val="en-US"/>
        </w:rPr>
        <w:t xml:space="preserve"> </w:t>
      </w:r>
      <w:r w:rsidRPr="00612975">
        <w:rPr>
          <w:lang w:val="en-US"/>
        </w:rPr>
        <w:t xml:space="preserve">J. Y. Jang, B. S. Kwon, H. E. Lee, D. H. Kim, H. K. Kang, J. S. Kang, S. Lee, and G. J. Choi, „Preparation of Biodegradable PLGA Nanospheres Employing a Fast Solvent Evaporation Method“, </w:t>
      </w:r>
      <w:r w:rsidRPr="00DD7682">
        <w:rPr>
          <w:i/>
          <w:lang w:val="en-US"/>
        </w:rPr>
        <w:t>J. Ind. Eng. Chem.</w:t>
      </w:r>
      <w:r>
        <w:rPr>
          <w:lang w:val="en-US"/>
        </w:rPr>
        <w:t xml:space="preserve"> 13(</w:t>
      </w:r>
      <w:r w:rsidRPr="00032AD6">
        <w:rPr>
          <w:lang w:val="en-US"/>
        </w:rPr>
        <w:t>6</w:t>
      </w:r>
      <w:r>
        <w:rPr>
          <w:lang w:val="en-US"/>
        </w:rPr>
        <w:t>)</w:t>
      </w:r>
      <w:r w:rsidRPr="00032AD6">
        <w:rPr>
          <w:lang w:val="en-US"/>
        </w:rPr>
        <w:t>: 1043-1046, 2007.</w:t>
      </w:r>
    </w:p>
  </w:endnote>
  <w:endnote w:id="123">
    <w:p w14:paraId="7529DE0A" w14:textId="77777777" w:rsidR="00DD7FD7" w:rsidRPr="006030EF" w:rsidRDefault="00DD7FD7">
      <w:pPr>
        <w:pStyle w:val="Endnotentext"/>
        <w:rPr>
          <w:lang w:val="en-US"/>
        </w:rPr>
      </w:pPr>
      <w:r>
        <w:rPr>
          <w:rStyle w:val="Endnotenzeichen"/>
        </w:rPr>
        <w:endnoteRef/>
      </w:r>
      <w:r w:rsidRPr="006030EF">
        <w:rPr>
          <w:lang w:val="en-US"/>
        </w:rPr>
        <w:t xml:space="preserve"> H. K. Makadia, S. J. Siegel, „Poly Lactic-co-Glycolic Acid (PLGA) as Biodegradable Controlled Drug Delivery Carrier“, </w:t>
      </w:r>
      <w:r w:rsidRPr="006F58BF">
        <w:rPr>
          <w:i/>
          <w:lang w:val="en-US"/>
        </w:rPr>
        <w:t>Polymers</w:t>
      </w:r>
      <w:r>
        <w:rPr>
          <w:lang w:val="en-US"/>
        </w:rPr>
        <w:t xml:space="preserve"> (Basel)</w:t>
      </w:r>
      <w:r w:rsidRPr="006030EF">
        <w:rPr>
          <w:lang w:val="en-US"/>
        </w:rPr>
        <w:t xml:space="preserve"> 1, 3(3): 1377-1397</w:t>
      </w:r>
      <w:r>
        <w:rPr>
          <w:lang w:val="en-US"/>
        </w:rPr>
        <w:t>, 2011.</w:t>
      </w:r>
    </w:p>
  </w:endnote>
  <w:endnote w:id="124">
    <w:p w14:paraId="62381799" w14:textId="77777777" w:rsidR="00DD7FD7" w:rsidRPr="00F5312E" w:rsidRDefault="00DD7FD7" w:rsidP="00F5312E">
      <w:pPr>
        <w:pStyle w:val="Endnotentext"/>
      </w:pPr>
      <w:r>
        <w:rPr>
          <w:rStyle w:val="Endnotenzeichen"/>
        </w:rPr>
        <w:endnoteRef/>
      </w:r>
      <w:r w:rsidRPr="00F5312E">
        <w:t xml:space="preserve"> Susanne C. Wratschko, </w:t>
      </w:r>
      <w:r>
        <w:t>„</w:t>
      </w:r>
      <w:r w:rsidRPr="00F5312E">
        <w:t>Feste Dispersio</w:t>
      </w:r>
      <w:r>
        <w:t xml:space="preserve">n eines Peptides (Desmopressin) </w:t>
      </w:r>
      <w:r w:rsidRPr="00F5312E">
        <w:t>mit einem</w:t>
      </w:r>
      <w:r>
        <w:t xml:space="preserve"> </w:t>
      </w:r>
      <w:r w:rsidRPr="00F5312E">
        <w:t>multifunktionalen Polymer (Polycarbophil):</w:t>
      </w:r>
      <w:r>
        <w:t xml:space="preserve"> </w:t>
      </w:r>
      <w:r w:rsidRPr="00F5312E">
        <w:t>Untersuchungen zur Herstellung und Stabilität</w:t>
      </w:r>
      <w:r>
        <w:t>“, Dissertation, Universität Hamburg, 1999.</w:t>
      </w:r>
    </w:p>
  </w:endnote>
  <w:endnote w:id="125">
    <w:p w14:paraId="1CEE2D10" w14:textId="77777777" w:rsidR="00DD7FD7" w:rsidRPr="00DB0243" w:rsidRDefault="00DD7FD7">
      <w:pPr>
        <w:pStyle w:val="Endnotentext"/>
      </w:pPr>
      <w:r>
        <w:rPr>
          <w:rStyle w:val="Endnotenzeichen"/>
        </w:rPr>
        <w:endnoteRef/>
      </w:r>
      <w:r w:rsidRPr="00DB0243">
        <w:t xml:space="preserve"> S. Schüle, T. Schulz-Fademrecht, P. Garidel, K. Bechtold-Peters, W. Frieß, „Stabilization of IgG1 in spray-dried powders for inhalation”, </w:t>
      </w:r>
      <w:r w:rsidRPr="00DB0243">
        <w:rPr>
          <w:i/>
        </w:rPr>
        <w:t>Eur. J. Pharm. Biopharm.</w:t>
      </w:r>
      <w:r w:rsidRPr="00DB0243">
        <w:t xml:space="preserve"> 69: 793–807, 2008.</w:t>
      </w:r>
    </w:p>
  </w:endnote>
  <w:endnote w:id="126">
    <w:p w14:paraId="7843888A" w14:textId="77777777" w:rsidR="00DD7FD7" w:rsidRDefault="00DD7FD7">
      <w:pPr>
        <w:pStyle w:val="Endnotentext"/>
      </w:pPr>
      <w:r>
        <w:rPr>
          <w:rStyle w:val="Endnotenzeichen"/>
        </w:rPr>
        <w:endnoteRef/>
      </w:r>
      <w:r>
        <w:t xml:space="preserve"> </w:t>
      </w:r>
      <w:r w:rsidRPr="00144FFB">
        <w:t>M. Stieß, Mechanische Verfahrenstechnik - Partikeltechnologie</w:t>
      </w:r>
      <w:r>
        <w:t xml:space="preserve"> 1, Berlin Heidelberg: Springer Verlag</w:t>
      </w:r>
      <w:r w:rsidRPr="00144FFB">
        <w:t>, 2009</w:t>
      </w:r>
      <w:r>
        <w:t>.</w:t>
      </w:r>
    </w:p>
  </w:endnote>
  <w:endnote w:id="127">
    <w:p w14:paraId="51DA0C25" w14:textId="77777777" w:rsidR="00DD7FD7" w:rsidRDefault="00DD7FD7">
      <w:pPr>
        <w:pStyle w:val="Endnotentext"/>
      </w:pPr>
      <w:r>
        <w:rPr>
          <w:rStyle w:val="Endnotenzeichen"/>
        </w:rPr>
        <w:endnoteRef/>
      </w:r>
      <w:r>
        <w:t xml:space="preserve"> </w:t>
      </w:r>
      <w:r w:rsidRPr="00144FFB">
        <w:t>U. Käzel, M. Stinz und S. Ripperger, „Applikationsuntersuchungen zur Photonenkorrelationsspe</w:t>
      </w:r>
      <w:r>
        <w:t>ktroskopie im Rückstrahlbereich</w:t>
      </w:r>
      <w:r w:rsidRPr="00144FFB">
        <w:t>“</w:t>
      </w:r>
      <w:r>
        <w:t>,</w:t>
      </w:r>
      <w:r w:rsidRPr="00144FFB">
        <w:t xml:space="preserve"> </w:t>
      </w:r>
      <w:r w:rsidRPr="005875DE">
        <w:rPr>
          <w:i/>
        </w:rPr>
        <w:t>Chemie Ingenieur Technik</w:t>
      </w:r>
      <w:r w:rsidRPr="00144FFB">
        <w:t xml:space="preserve"> 66-69, 2004</w:t>
      </w:r>
      <w:r>
        <w:t>.</w:t>
      </w:r>
    </w:p>
  </w:endnote>
  <w:endnote w:id="128">
    <w:p w14:paraId="3510C494" w14:textId="77777777" w:rsidR="00DD7FD7" w:rsidRPr="00C94531" w:rsidRDefault="00DD7FD7">
      <w:pPr>
        <w:pStyle w:val="Endnotentext"/>
        <w:rPr>
          <w:lang w:val="en-US"/>
        </w:rPr>
      </w:pPr>
      <w:r>
        <w:rPr>
          <w:rStyle w:val="Endnotenzeichen"/>
        </w:rPr>
        <w:endnoteRef/>
      </w:r>
      <w:r w:rsidRPr="00C94531">
        <w:rPr>
          <w:lang w:val="en-US"/>
        </w:rPr>
        <w:t xml:space="preserve"> </w:t>
      </w:r>
      <w:r>
        <w:rPr>
          <w:lang w:val="en-US"/>
        </w:rPr>
        <w:t>G. Ellman,</w:t>
      </w:r>
      <w:r w:rsidRPr="00C94531">
        <w:rPr>
          <w:lang w:val="en-US"/>
        </w:rPr>
        <w:t xml:space="preserve"> „A colorimetric method for determining low concentrations of mercaptans.</w:t>
      </w:r>
      <w:r>
        <w:rPr>
          <w:lang w:val="en-US"/>
        </w:rPr>
        <w:t xml:space="preserve">” </w:t>
      </w:r>
      <w:r w:rsidRPr="005875DE">
        <w:rPr>
          <w:i/>
          <w:lang w:val="en-US"/>
        </w:rPr>
        <w:t>Arch. Biochem. Biophys.</w:t>
      </w:r>
      <w:r>
        <w:rPr>
          <w:lang w:val="en-US"/>
        </w:rPr>
        <w:t xml:space="preserve"> 74(2),</w:t>
      </w:r>
      <w:r w:rsidRPr="00C94531">
        <w:rPr>
          <w:lang w:val="en-US"/>
        </w:rPr>
        <w:t xml:space="preserve"> 443-450</w:t>
      </w:r>
      <w:r>
        <w:rPr>
          <w:lang w:val="en-US"/>
        </w:rPr>
        <w:t>, 1958.</w:t>
      </w:r>
    </w:p>
  </w:endnote>
  <w:endnote w:id="129">
    <w:p w14:paraId="5F523323" w14:textId="77777777" w:rsidR="00DD7FD7" w:rsidRPr="00346478" w:rsidRDefault="00DD7FD7">
      <w:pPr>
        <w:pStyle w:val="Endnotentext"/>
        <w:rPr>
          <w:lang w:val="en-US"/>
        </w:rPr>
      </w:pPr>
      <w:r>
        <w:rPr>
          <w:rStyle w:val="Endnotenzeichen"/>
        </w:rPr>
        <w:endnoteRef/>
      </w:r>
      <w:r w:rsidRPr="00346478">
        <w:rPr>
          <w:lang w:val="en-US"/>
        </w:rPr>
        <w:t xml:space="preserve"> </w:t>
      </w:r>
      <w:r>
        <w:rPr>
          <w:lang w:val="en-US"/>
        </w:rPr>
        <w:t>T. Mosmann, “</w:t>
      </w:r>
      <w:r w:rsidRPr="00346478">
        <w:rPr>
          <w:lang w:val="en-US"/>
        </w:rPr>
        <w:t>Rapid colorimetric assay for cellular growth and survival: Application to proliferation and cytotoxicity assays.</w:t>
      </w:r>
      <w:r>
        <w:rPr>
          <w:lang w:val="en-US"/>
        </w:rPr>
        <w:t xml:space="preserve">”, </w:t>
      </w:r>
      <w:r w:rsidRPr="005875DE">
        <w:rPr>
          <w:i/>
          <w:lang w:val="en-US"/>
        </w:rPr>
        <w:t>Journal of Immunological Methods</w:t>
      </w:r>
      <w:r>
        <w:rPr>
          <w:lang w:val="en-US"/>
        </w:rPr>
        <w:t xml:space="preserve"> 65: 55-63, 1983.</w:t>
      </w:r>
    </w:p>
  </w:endnote>
  <w:endnote w:id="130">
    <w:p w14:paraId="6F80A997" w14:textId="77777777" w:rsidR="00DD7FD7" w:rsidRPr="00032AD6" w:rsidRDefault="00DD7FD7">
      <w:pPr>
        <w:pStyle w:val="Endnotentext"/>
        <w:rPr>
          <w:lang w:val="en-US"/>
        </w:rPr>
      </w:pPr>
      <w:r>
        <w:rPr>
          <w:rStyle w:val="Endnotenzeichen"/>
        </w:rPr>
        <w:endnoteRef/>
      </w:r>
      <w:r w:rsidRPr="00032AD6">
        <w:rPr>
          <w:lang w:val="en-US"/>
        </w:rPr>
        <w:t xml:space="preserve"> C. Washington, S.S. Davis, „The production of parenteral feeding emulsions by Microfluidizer“, </w:t>
      </w:r>
      <w:r w:rsidRPr="005875DE">
        <w:rPr>
          <w:i/>
          <w:lang w:val="en-US"/>
        </w:rPr>
        <w:t>Int. J. of Pharm.</w:t>
      </w:r>
      <w:r>
        <w:rPr>
          <w:lang w:val="en-US"/>
        </w:rPr>
        <w:t xml:space="preserve"> 44</w:t>
      </w:r>
      <w:r w:rsidRPr="00032AD6">
        <w:rPr>
          <w:lang w:val="en-US"/>
        </w:rPr>
        <w:t>(1-3): 169-176, 1988.</w:t>
      </w:r>
    </w:p>
  </w:endnote>
  <w:endnote w:id="131">
    <w:p w14:paraId="35F70AEE" w14:textId="77777777" w:rsidR="00DD7FD7" w:rsidRPr="003D6536" w:rsidRDefault="00DD7FD7" w:rsidP="00B16C9E">
      <w:pPr>
        <w:pStyle w:val="Endnotentext"/>
        <w:rPr>
          <w:lang w:val="en-US"/>
        </w:rPr>
      </w:pPr>
      <w:r>
        <w:rPr>
          <w:rStyle w:val="Endnotenzeichen"/>
        </w:rPr>
        <w:endnoteRef/>
      </w:r>
      <w:r w:rsidRPr="003D6536">
        <w:rPr>
          <w:lang w:val="en-US"/>
        </w:rPr>
        <w:t xml:space="preserve"> J. Vandervoort, K. Yoncheva, A. Ludwig, „Influence of the Homogenization Procedure on the Physicochemical Properties of PLGA Nanoparticles“, </w:t>
      </w:r>
      <w:r w:rsidRPr="005875DE">
        <w:rPr>
          <w:i/>
          <w:lang w:val="en-US"/>
        </w:rPr>
        <w:t>Chem. Pharm. Bull.</w:t>
      </w:r>
      <w:r w:rsidRPr="003D6536">
        <w:rPr>
          <w:lang w:val="en-US"/>
        </w:rPr>
        <w:t xml:space="preserve"> 52 (11): 1273-1279, 2004.</w:t>
      </w:r>
    </w:p>
  </w:endnote>
  <w:endnote w:id="132">
    <w:p w14:paraId="616B16B7" w14:textId="77777777" w:rsidR="00DD7FD7" w:rsidRPr="003D6536" w:rsidRDefault="00DD7FD7">
      <w:pPr>
        <w:pStyle w:val="Endnotentext"/>
        <w:rPr>
          <w:lang w:val="en-US"/>
        </w:rPr>
      </w:pPr>
      <w:r>
        <w:rPr>
          <w:rStyle w:val="Endnotenzeichen"/>
        </w:rPr>
        <w:endnoteRef/>
      </w:r>
      <w:r w:rsidRPr="003D6536">
        <w:rPr>
          <w:lang w:val="en-US"/>
        </w:rPr>
        <w:t xml:space="preserve"> G. F. Dawson, G. W. Halbert, „The In Vitro Cell Association of Invasin Coated Polylyctide-Co-Glycolide Nanoparticles“, </w:t>
      </w:r>
      <w:r w:rsidRPr="005875DE">
        <w:rPr>
          <w:i/>
          <w:lang w:val="en-US"/>
        </w:rPr>
        <w:t>Pharmaceutical Research</w:t>
      </w:r>
      <w:r>
        <w:rPr>
          <w:lang w:val="en-US"/>
        </w:rPr>
        <w:t xml:space="preserve"> 7</w:t>
      </w:r>
      <w:r w:rsidRPr="003D6536">
        <w:rPr>
          <w:lang w:val="en-US"/>
        </w:rPr>
        <w:t>(11): 1420-1425, 2000.</w:t>
      </w:r>
    </w:p>
  </w:endnote>
  <w:endnote w:id="133">
    <w:p w14:paraId="6453448B" w14:textId="77777777" w:rsidR="00DD7FD7" w:rsidRPr="00EA2C1B" w:rsidRDefault="00DD7FD7">
      <w:pPr>
        <w:pStyle w:val="Endnotentext"/>
        <w:rPr>
          <w:lang w:val="en-US"/>
        </w:rPr>
      </w:pPr>
      <w:r>
        <w:rPr>
          <w:rStyle w:val="Endnotenzeichen"/>
        </w:rPr>
        <w:endnoteRef/>
      </w:r>
      <w:r w:rsidRPr="00EA2C1B">
        <w:rPr>
          <w:lang w:val="en-US"/>
        </w:rPr>
        <w:t xml:space="preserve"> E. Cohen-Sela, M. Chorny, N. Koroukhov, H. D. Danenberg, G. Golomb, „A new double emulsion solvent diffusion technique for encapsulating hydrophilic molecules in PLGA nanoparticles“, </w:t>
      </w:r>
      <w:r w:rsidRPr="005875DE">
        <w:rPr>
          <w:i/>
          <w:lang w:val="en-US"/>
        </w:rPr>
        <w:t>J. of Controlled Release</w:t>
      </w:r>
      <w:r>
        <w:rPr>
          <w:lang w:val="en-US"/>
        </w:rPr>
        <w:t xml:space="preserve"> 133: 90-95, 2009.</w:t>
      </w:r>
    </w:p>
  </w:endnote>
  <w:endnote w:id="134">
    <w:p w14:paraId="69796F12" w14:textId="77777777" w:rsidR="00DD7FD7" w:rsidRPr="004C3E69" w:rsidRDefault="00DD7FD7">
      <w:pPr>
        <w:pStyle w:val="Endnotentext"/>
        <w:rPr>
          <w:lang w:val="en-US"/>
        </w:rPr>
      </w:pPr>
      <w:r>
        <w:rPr>
          <w:rStyle w:val="Endnotenzeichen"/>
        </w:rPr>
        <w:endnoteRef/>
      </w:r>
      <w:r w:rsidRPr="004C3E69">
        <w:rPr>
          <w:lang w:val="en-US"/>
        </w:rPr>
        <w:t xml:space="preserve"> M.F. Zambaux, F. Bonneaux, R. Gref, P. Maincent, E. Dellacherie, M.J. Alonso, P. Labrude, C. Vigneron, „Influence of experimental parameters on the characteristics of poly(lactic acid) nanoparticles prepared by a double emulsion method“, </w:t>
      </w:r>
      <w:r w:rsidRPr="005875DE">
        <w:rPr>
          <w:i/>
          <w:lang w:val="en-US"/>
        </w:rPr>
        <w:t>J. of Controlled Release</w:t>
      </w:r>
      <w:r>
        <w:rPr>
          <w:lang w:val="en-US"/>
        </w:rPr>
        <w:t xml:space="preserve"> 50: 31-40, 1998.</w:t>
      </w:r>
    </w:p>
  </w:endnote>
  <w:endnote w:id="135">
    <w:p w14:paraId="72A6F8ED" w14:textId="77777777" w:rsidR="00DD7FD7" w:rsidRPr="004767A9" w:rsidRDefault="00DD7FD7" w:rsidP="00D9627F">
      <w:pPr>
        <w:pStyle w:val="Endnotentext"/>
        <w:rPr>
          <w:lang w:val="en-US"/>
        </w:rPr>
      </w:pPr>
      <w:r>
        <w:rPr>
          <w:rStyle w:val="Endnotenzeichen"/>
        </w:rPr>
        <w:endnoteRef/>
      </w:r>
      <w:r w:rsidRPr="004767A9">
        <w:rPr>
          <w:lang w:val="en-US"/>
        </w:rPr>
        <w:t xml:space="preserve"> A. Albert, E.</w:t>
      </w:r>
      <w:r>
        <w:rPr>
          <w:lang w:val="en-US"/>
        </w:rPr>
        <w:t xml:space="preserve"> </w:t>
      </w:r>
      <w:r w:rsidRPr="004767A9">
        <w:rPr>
          <w:lang w:val="en-US"/>
        </w:rPr>
        <w:t>P. Serjeant, „The Determination of Ionization Constants“, Chapman and Hall, London, 1984.</w:t>
      </w:r>
    </w:p>
  </w:endnote>
  <w:endnote w:id="136">
    <w:p w14:paraId="0AA891D0" w14:textId="77777777" w:rsidR="00DD7FD7" w:rsidRPr="004767A9" w:rsidRDefault="00DD7FD7">
      <w:pPr>
        <w:pStyle w:val="Endnotentext"/>
        <w:rPr>
          <w:lang w:val="en-US"/>
        </w:rPr>
      </w:pPr>
      <w:r>
        <w:rPr>
          <w:rStyle w:val="Endnotenzeichen"/>
        </w:rPr>
        <w:endnoteRef/>
      </w:r>
      <w:r w:rsidRPr="004767A9">
        <w:rPr>
          <w:lang w:val="en-US"/>
        </w:rPr>
        <w:t xml:space="preserve"> </w:t>
      </w:r>
      <w:r w:rsidRPr="004767A9">
        <w:rPr>
          <w:rFonts w:eastAsia="Times New Roman" w:cs="Times New Roman"/>
          <w:lang w:val="en-US"/>
        </w:rPr>
        <w:t xml:space="preserve">M. Yasuda, </w:t>
      </w:r>
      <w:r w:rsidRPr="005875DE">
        <w:rPr>
          <w:rFonts w:eastAsia="Times New Roman" w:cs="Times New Roman"/>
          <w:i/>
          <w:lang w:val="en-US"/>
        </w:rPr>
        <w:t>Bull. Chem. Soc. Jpn.</w:t>
      </w:r>
      <w:r>
        <w:rPr>
          <w:rFonts w:eastAsia="Times New Roman" w:cs="Times New Roman"/>
          <w:lang w:val="en-US"/>
        </w:rPr>
        <w:t xml:space="preserve"> 32:</w:t>
      </w:r>
      <w:r w:rsidRPr="004767A9">
        <w:rPr>
          <w:rFonts w:eastAsia="Times New Roman" w:cs="Times New Roman"/>
          <w:lang w:val="en-US"/>
        </w:rPr>
        <w:t xml:space="preserve"> 429 – 432, 1959.</w:t>
      </w:r>
    </w:p>
  </w:endnote>
  <w:endnote w:id="137">
    <w:p w14:paraId="7FEE99D2" w14:textId="77777777" w:rsidR="00DD7FD7" w:rsidRPr="004767A9" w:rsidRDefault="00DD7FD7" w:rsidP="00BE34D8">
      <w:pPr>
        <w:pStyle w:val="Endnotentext"/>
        <w:rPr>
          <w:lang w:val="en-US"/>
        </w:rPr>
      </w:pPr>
      <w:r>
        <w:rPr>
          <w:rStyle w:val="Endnotenzeichen"/>
        </w:rPr>
        <w:endnoteRef/>
      </w:r>
      <w:r>
        <w:rPr>
          <w:lang w:val="en-US"/>
        </w:rPr>
        <w:t xml:space="preserve"> T. Shedlovsky, in: </w:t>
      </w:r>
      <w:r w:rsidRPr="004767A9">
        <w:rPr>
          <w:lang w:val="en-US"/>
        </w:rPr>
        <w:t xml:space="preserve">B. Pesce (Ed.), </w:t>
      </w:r>
      <w:r w:rsidRPr="005875DE">
        <w:rPr>
          <w:i/>
          <w:lang w:val="en-US"/>
        </w:rPr>
        <w:t>Electrolytes</w:t>
      </w:r>
      <w:r w:rsidRPr="004767A9">
        <w:rPr>
          <w:lang w:val="en-US"/>
        </w:rPr>
        <w:t>, Pergamon, New York, 1962.</w:t>
      </w:r>
    </w:p>
  </w:endnote>
  <w:endnote w:id="138">
    <w:p w14:paraId="7F901581" w14:textId="77777777" w:rsidR="00DD7FD7" w:rsidRPr="004767A9" w:rsidRDefault="00DD7FD7" w:rsidP="00AB3B08">
      <w:pPr>
        <w:pStyle w:val="Endnotentext"/>
        <w:rPr>
          <w:lang w:val="en-US"/>
        </w:rPr>
      </w:pPr>
      <w:r>
        <w:rPr>
          <w:rStyle w:val="Endnotenzeichen"/>
        </w:rPr>
        <w:endnoteRef/>
      </w:r>
      <w:r w:rsidRPr="004767A9">
        <w:rPr>
          <w:lang w:val="en-US"/>
        </w:rPr>
        <w:t xml:space="preserve"> A. Avdeef, K.</w:t>
      </w:r>
      <w:r>
        <w:rPr>
          <w:lang w:val="en-US"/>
        </w:rPr>
        <w:t xml:space="preserve"> </w:t>
      </w:r>
      <w:r w:rsidRPr="004767A9">
        <w:rPr>
          <w:lang w:val="en-US"/>
        </w:rPr>
        <w:t>J. Box, J.E.A</w:t>
      </w:r>
      <w:r>
        <w:rPr>
          <w:lang w:val="en-US"/>
        </w:rPr>
        <w:t>.</w:t>
      </w:r>
      <w:r w:rsidRPr="004767A9">
        <w:rPr>
          <w:lang w:val="en-US"/>
        </w:rPr>
        <w:t xml:space="preserve"> Comer, M. Gilges, M. Hadley, C. Hibbert, W. Patterson, K.</w:t>
      </w:r>
      <w:r>
        <w:rPr>
          <w:lang w:val="en-US"/>
        </w:rPr>
        <w:t xml:space="preserve"> </w:t>
      </w:r>
      <w:r w:rsidRPr="004767A9">
        <w:rPr>
          <w:lang w:val="en-US"/>
        </w:rPr>
        <w:t>Y. Tam, „PH-metric logP 11. pK</w:t>
      </w:r>
      <w:r w:rsidRPr="004767A9">
        <w:rPr>
          <w:vertAlign w:val="subscript"/>
          <w:lang w:val="en-US"/>
        </w:rPr>
        <w:t>a</w:t>
      </w:r>
      <w:r w:rsidRPr="004767A9">
        <w:rPr>
          <w:lang w:val="en-US"/>
        </w:rPr>
        <w:t xml:space="preserve"> determination of water-insoluble drugs in organic solvent – water mixtures“, </w:t>
      </w:r>
      <w:r w:rsidRPr="005875DE">
        <w:rPr>
          <w:i/>
          <w:lang w:val="en-US"/>
        </w:rPr>
        <w:t>J. Pharm. Biomed. Anal.</w:t>
      </w:r>
      <w:r>
        <w:rPr>
          <w:lang w:val="en-US"/>
        </w:rPr>
        <w:t xml:space="preserve"> 20: 631-</w:t>
      </w:r>
      <w:r w:rsidRPr="004767A9">
        <w:rPr>
          <w:lang w:val="en-US"/>
        </w:rPr>
        <w:t>641, 1999.</w:t>
      </w:r>
    </w:p>
  </w:endnote>
  <w:endnote w:id="139">
    <w:p w14:paraId="5595FEC2" w14:textId="77777777" w:rsidR="00DD7FD7" w:rsidRPr="00DB0243" w:rsidRDefault="00DD7FD7" w:rsidP="0020196D">
      <w:pPr>
        <w:pStyle w:val="Endnotentext"/>
        <w:rPr>
          <w:rFonts w:eastAsia="Times New Roman" w:cs="Times New Roman"/>
          <w:lang w:val="en-US"/>
        </w:rPr>
      </w:pPr>
      <w:r>
        <w:rPr>
          <w:rStyle w:val="Endnotenzeichen"/>
        </w:rPr>
        <w:endnoteRef/>
      </w:r>
      <w:r w:rsidRPr="00DB0243">
        <w:rPr>
          <w:lang w:val="en-US"/>
        </w:rPr>
        <w:t xml:space="preserve"> M. M. Crowley, F. Zhang, M. A. Repka, S. Thumma, S. B. Upadhye, S. Kumar Battu, J. W. McGinity, C. Martin, „</w:t>
      </w:r>
      <w:r w:rsidRPr="00DB0243">
        <w:rPr>
          <w:rFonts w:eastAsia="Times New Roman" w:cs="Times New Roman"/>
          <w:lang w:val="en-US"/>
        </w:rPr>
        <w:t xml:space="preserve">Pharmaceutical Applications of Hot-Melt Extrusion: Part I“, </w:t>
      </w:r>
      <w:r w:rsidRPr="00DB0243">
        <w:rPr>
          <w:rFonts w:eastAsia="Times New Roman" w:cs="Times New Roman"/>
          <w:i/>
          <w:lang w:val="en-US"/>
        </w:rPr>
        <w:t>Drug Development and Industrial Pharmacy</w:t>
      </w:r>
      <w:r w:rsidRPr="00DB0243">
        <w:rPr>
          <w:rFonts w:eastAsia="Times New Roman" w:cs="Times New Roman"/>
          <w:lang w:val="en-US"/>
        </w:rPr>
        <w:t xml:space="preserve"> 33: 909-926, 2007.</w:t>
      </w:r>
    </w:p>
  </w:endnote>
  <w:endnote w:id="140">
    <w:p w14:paraId="765B2CEB" w14:textId="77777777" w:rsidR="00DD7FD7" w:rsidRPr="00DB0243" w:rsidRDefault="00DD7FD7" w:rsidP="00C84857">
      <w:pPr>
        <w:pStyle w:val="Endnotentext"/>
        <w:rPr>
          <w:lang w:val="en-US"/>
        </w:rPr>
      </w:pPr>
      <w:r>
        <w:rPr>
          <w:rStyle w:val="Endnotenzeichen"/>
        </w:rPr>
        <w:endnoteRef/>
      </w:r>
      <w:r w:rsidRPr="00DB0243">
        <w:rPr>
          <w:lang w:val="en-US"/>
        </w:rPr>
        <w:t xml:space="preserve"> T. Govender, S. Stolnik, M. C. Garnett, L. Illum, S. S. Davis, „PLGA nanoparticles prepared by nanoprecipitation: drug loading and release studies of a water soluble drug“, </w:t>
      </w:r>
      <w:r w:rsidRPr="00DB0243">
        <w:rPr>
          <w:i/>
          <w:lang w:val="en-US"/>
        </w:rPr>
        <w:t>Journal of Controlled Release</w:t>
      </w:r>
      <w:r w:rsidRPr="00DB0243">
        <w:rPr>
          <w:lang w:val="en-US"/>
        </w:rPr>
        <w:t xml:space="preserve"> 57(2): 171-185, 1999.</w:t>
      </w:r>
    </w:p>
  </w:endnote>
  <w:endnote w:id="141">
    <w:p w14:paraId="22D72869" w14:textId="77777777" w:rsidR="00DD7FD7" w:rsidRPr="003D6536" w:rsidRDefault="00DD7FD7">
      <w:pPr>
        <w:pStyle w:val="Endnotentext"/>
        <w:rPr>
          <w:lang w:val="en-US"/>
        </w:rPr>
      </w:pPr>
      <w:r>
        <w:rPr>
          <w:rStyle w:val="Endnotenzeichen"/>
        </w:rPr>
        <w:endnoteRef/>
      </w:r>
      <w:r w:rsidRPr="004767A9">
        <w:rPr>
          <w:lang w:val="en-US"/>
        </w:rPr>
        <w:t xml:space="preserve"> J. Goole, F. Vanderbist, K. Amighi, „Development and evaluation of new multiple-unit levodopa sustained-release floating dosage forms“, </w:t>
      </w:r>
      <w:r w:rsidRPr="005875DE">
        <w:rPr>
          <w:i/>
          <w:lang w:val="en-US"/>
        </w:rPr>
        <w:t>Int. J. Pharm.</w:t>
      </w:r>
      <w:r w:rsidRPr="004767A9">
        <w:rPr>
          <w:lang w:val="en-US"/>
        </w:rPr>
        <w:t xml:space="preserve"> </w:t>
      </w:r>
      <w:r>
        <w:rPr>
          <w:lang w:val="en-US"/>
        </w:rPr>
        <w:t>334</w:t>
      </w:r>
      <w:r w:rsidRPr="003D6536">
        <w:rPr>
          <w:lang w:val="en-US"/>
        </w:rPr>
        <w:t>(1-2): 35-41, 2007.</w:t>
      </w:r>
    </w:p>
  </w:endnote>
  <w:endnote w:id="142">
    <w:p w14:paraId="3336137F" w14:textId="77777777" w:rsidR="00DD7FD7" w:rsidRPr="00DB0243" w:rsidRDefault="00DD7FD7">
      <w:pPr>
        <w:pStyle w:val="Endnotentext"/>
        <w:rPr>
          <w:lang w:val="en-US"/>
        </w:rPr>
      </w:pPr>
      <w:r>
        <w:rPr>
          <w:rStyle w:val="Endnotenzeichen"/>
        </w:rPr>
        <w:endnoteRef/>
      </w:r>
      <w:r w:rsidRPr="004767A9">
        <w:rPr>
          <w:lang w:val="en-US"/>
        </w:rPr>
        <w:t xml:space="preserve"> S. C. Sutton, „Companion animal physiology and dosage form performance.“, </w:t>
      </w:r>
      <w:r w:rsidRPr="005875DE">
        <w:rPr>
          <w:i/>
          <w:lang w:val="en-US"/>
        </w:rPr>
        <w:t xml:space="preserve">Adv. </w:t>
      </w:r>
      <w:r w:rsidRPr="00DB0243">
        <w:rPr>
          <w:i/>
          <w:lang w:val="en-US"/>
        </w:rPr>
        <w:t>Drug Deliv. Rev.</w:t>
      </w:r>
      <w:r w:rsidRPr="00DB0243">
        <w:rPr>
          <w:lang w:val="en-US"/>
        </w:rPr>
        <w:t xml:space="preserve"> 56, 1383-1398, 2004.</w:t>
      </w:r>
    </w:p>
  </w:endnote>
  <w:endnote w:id="143">
    <w:p w14:paraId="3C96B053" w14:textId="77777777" w:rsidR="00DD7FD7" w:rsidRPr="00DB0243" w:rsidRDefault="00DD7FD7" w:rsidP="00C274FE">
      <w:pPr>
        <w:pStyle w:val="Endnotentext"/>
        <w:rPr>
          <w:lang w:val="en-US"/>
        </w:rPr>
      </w:pPr>
      <w:r>
        <w:rPr>
          <w:rStyle w:val="Endnotenzeichen"/>
        </w:rPr>
        <w:endnoteRef/>
      </w:r>
      <w:r w:rsidRPr="00DB0243">
        <w:rPr>
          <w:lang w:val="en-US"/>
        </w:rPr>
        <w:t xml:space="preserve"> Q. Zhu, J. Talton, G. Zhang, T. Cunningham, Z. Wang,</w:t>
      </w:r>
      <w:r w:rsidRPr="00DB0243">
        <w:rPr>
          <w:lang w:val="en-US"/>
        </w:rPr>
        <w:tab/>
        <w:t xml:space="preserve">R. C. Waters, J. Kirk, B. Eppler, D. M. Klinman, Y. Sui, S. Gagnon, I. M. Belyakov, R. J. Mumper, J. A. Berzofsky, „Large intestine–targeted, nanoparticle-releasing oral vaccine to control genitorectal viral infection“, </w:t>
      </w:r>
      <w:r w:rsidRPr="00DB0243">
        <w:rPr>
          <w:i/>
          <w:lang w:val="en-US"/>
        </w:rPr>
        <w:t>Nature Medicine</w:t>
      </w:r>
      <w:r w:rsidRPr="00DB0243">
        <w:rPr>
          <w:lang w:val="en-US"/>
        </w:rPr>
        <w:t xml:space="preserve"> 18: 1291-1296, 2012.</w:t>
      </w:r>
    </w:p>
  </w:endnote>
  <w:endnote w:id="144">
    <w:p w14:paraId="7BF73B09" w14:textId="77777777" w:rsidR="00DD7FD7" w:rsidRPr="00DB0243" w:rsidRDefault="00DD7FD7" w:rsidP="00433FDE">
      <w:pPr>
        <w:pStyle w:val="Endnotentext"/>
        <w:rPr>
          <w:lang w:val="en-US"/>
        </w:rPr>
      </w:pPr>
      <w:r>
        <w:rPr>
          <w:rStyle w:val="Endnotenzeichen"/>
        </w:rPr>
        <w:endnoteRef/>
      </w:r>
      <w:r w:rsidRPr="00DB0243">
        <w:rPr>
          <w:lang w:val="en-US"/>
        </w:rPr>
        <w:t xml:space="preserve"> S. Schiller, A. Hanefeld, M. Schneider, C.-M. Lehr, „Spray encapsulation of PLGA</w:t>
      </w:r>
    </w:p>
    <w:p w14:paraId="56A0D522" w14:textId="77777777" w:rsidR="00DD7FD7" w:rsidRPr="00DB0243" w:rsidRDefault="00DD7FD7" w:rsidP="00433FDE">
      <w:pPr>
        <w:pStyle w:val="Endnotentext"/>
        <w:rPr>
          <w:lang w:val="en-US"/>
        </w:rPr>
      </w:pPr>
      <w:r w:rsidRPr="00DB0243">
        <w:rPr>
          <w:lang w:val="en-US"/>
        </w:rPr>
        <w:t>nanoparticles for oral vaccination“, Abstract book, CRS Germany Local Chapter, Annual meeting 2013.</w:t>
      </w:r>
    </w:p>
  </w:endnote>
  <w:endnote w:id="145">
    <w:p w14:paraId="731D65C5" w14:textId="77777777" w:rsidR="00DD7FD7" w:rsidRPr="006030EF" w:rsidRDefault="00DD7FD7">
      <w:pPr>
        <w:pStyle w:val="Endnotentext"/>
        <w:rPr>
          <w:lang w:val="en-US"/>
        </w:rPr>
      </w:pPr>
      <w:r>
        <w:rPr>
          <w:rStyle w:val="Endnotenzeichen"/>
        </w:rPr>
        <w:endnoteRef/>
      </w:r>
      <w:r w:rsidRPr="006030EF">
        <w:rPr>
          <w:lang w:val="en-US"/>
        </w:rPr>
        <w:t xml:space="preserve"> K. Mishima, K. Matsuyama, D. Tanabe, S. Yamauchi, T. J. Young und K. P. Johnson, „Microencapsulation of proteins by rapid expansion of supercritical solution with a nonsolvent“, </w:t>
      </w:r>
      <w:r w:rsidRPr="005875DE">
        <w:rPr>
          <w:i/>
          <w:lang w:val="en-US"/>
        </w:rPr>
        <w:t>AIChE Journal</w:t>
      </w:r>
      <w:r>
        <w:rPr>
          <w:lang w:val="en-US"/>
        </w:rPr>
        <w:t xml:space="preserve"> 46: </w:t>
      </w:r>
      <w:r w:rsidRPr="006030EF">
        <w:rPr>
          <w:lang w:val="en-US"/>
        </w:rPr>
        <w:t>857-865, 2000.</w:t>
      </w:r>
    </w:p>
  </w:endnote>
  <w:endnote w:id="146">
    <w:p w14:paraId="49D63066" w14:textId="77777777" w:rsidR="00DD7FD7" w:rsidRPr="00F77578" w:rsidRDefault="00DD7FD7" w:rsidP="006318E5">
      <w:pPr>
        <w:pStyle w:val="Endnotentext"/>
        <w:rPr>
          <w:lang w:val="en-US"/>
        </w:rPr>
      </w:pPr>
      <w:r>
        <w:rPr>
          <w:rStyle w:val="Endnotenzeichen"/>
        </w:rPr>
        <w:endnoteRef/>
      </w:r>
      <w:r w:rsidRPr="006030EF">
        <w:rPr>
          <w:lang w:val="en-US"/>
        </w:rPr>
        <w:t xml:space="preserve"> J.</w:t>
      </w:r>
      <w:r>
        <w:rPr>
          <w:lang w:val="en-US"/>
        </w:rPr>
        <w:t xml:space="preserve"> </w:t>
      </w:r>
      <w:r w:rsidRPr="006030EF">
        <w:rPr>
          <w:lang w:val="en-US"/>
        </w:rPr>
        <w:t xml:space="preserve">B. Hannay, J. Hogarth, „On the solubility of solids in gases“, </w:t>
      </w:r>
      <w:r w:rsidRPr="005875DE">
        <w:rPr>
          <w:i/>
          <w:lang w:val="en-US"/>
        </w:rPr>
        <w:t>Proc. Roy. Sec.</w:t>
      </w:r>
      <w:r w:rsidRPr="006030EF">
        <w:rPr>
          <w:lang w:val="en-US"/>
        </w:rPr>
        <w:t xml:space="preserve"> </w:t>
      </w:r>
      <w:r>
        <w:rPr>
          <w:lang w:val="en-US"/>
        </w:rPr>
        <w:t>(London), 29: 324, 1879.</w:t>
      </w:r>
    </w:p>
  </w:endnote>
  <w:endnote w:id="147">
    <w:p w14:paraId="390BA062" w14:textId="77777777" w:rsidR="00DD7FD7" w:rsidRPr="006030EF" w:rsidRDefault="00DD7FD7" w:rsidP="006318E5">
      <w:pPr>
        <w:pStyle w:val="Endnotentext"/>
        <w:rPr>
          <w:lang w:val="en-US"/>
        </w:rPr>
      </w:pPr>
      <w:r>
        <w:rPr>
          <w:rStyle w:val="Endnotenzeichen"/>
        </w:rPr>
        <w:endnoteRef/>
      </w:r>
      <w:r w:rsidRPr="006030EF">
        <w:rPr>
          <w:lang w:val="en-US"/>
        </w:rPr>
        <w:t xml:space="preserve"> R.</w:t>
      </w:r>
      <w:r>
        <w:rPr>
          <w:lang w:val="en-US"/>
        </w:rPr>
        <w:t xml:space="preserve"> </w:t>
      </w:r>
      <w:r w:rsidRPr="006030EF">
        <w:rPr>
          <w:lang w:val="en-US"/>
        </w:rPr>
        <w:t>D. Smith, R. Wash, US Patent 4,582,731, April 15, 1986 (Priority 01/09/1983).</w:t>
      </w:r>
    </w:p>
  </w:endnote>
  <w:endnote w:id="148">
    <w:p w14:paraId="0E149597" w14:textId="77777777" w:rsidR="00DD7FD7" w:rsidRPr="006030EF" w:rsidRDefault="00DD7FD7" w:rsidP="006318E5">
      <w:pPr>
        <w:pStyle w:val="Endnotentext"/>
        <w:rPr>
          <w:lang w:val="en-US"/>
        </w:rPr>
      </w:pPr>
      <w:r>
        <w:rPr>
          <w:rStyle w:val="Endnotenzeichen"/>
        </w:rPr>
        <w:endnoteRef/>
      </w:r>
      <w:r w:rsidRPr="006030EF">
        <w:rPr>
          <w:lang w:val="en-US"/>
        </w:rPr>
        <w:t xml:space="preserve"> D.</w:t>
      </w:r>
      <w:r>
        <w:rPr>
          <w:lang w:val="en-US"/>
        </w:rPr>
        <w:t xml:space="preserve"> </w:t>
      </w:r>
      <w:r w:rsidRPr="006030EF">
        <w:rPr>
          <w:lang w:val="en-US"/>
        </w:rPr>
        <w:t>W. Matson, R.</w:t>
      </w:r>
      <w:r>
        <w:rPr>
          <w:lang w:val="en-US"/>
        </w:rPr>
        <w:t xml:space="preserve"> </w:t>
      </w:r>
      <w:r w:rsidRPr="006030EF">
        <w:rPr>
          <w:lang w:val="en-US"/>
        </w:rPr>
        <w:t>C. Petersen, R.</w:t>
      </w:r>
      <w:r>
        <w:rPr>
          <w:lang w:val="en-US"/>
        </w:rPr>
        <w:t xml:space="preserve"> </w:t>
      </w:r>
      <w:r w:rsidRPr="006030EF">
        <w:rPr>
          <w:lang w:val="en-US"/>
        </w:rPr>
        <w:t xml:space="preserve">D. Smith, „Production of Powders and Films from Supercritical Solutions.“ </w:t>
      </w:r>
      <w:r w:rsidRPr="005875DE">
        <w:rPr>
          <w:i/>
          <w:lang w:val="en-US"/>
        </w:rPr>
        <w:t>Journal of Material Science</w:t>
      </w:r>
      <w:r>
        <w:rPr>
          <w:lang w:val="en-US"/>
        </w:rPr>
        <w:t xml:space="preserve"> 22: 1919–1928, 1987.</w:t>
      </w:r>
    </w:p>
  </w:endnote>
  <w:endnote w:id="149">
    <w:p w14:paraId="46BB67FE" w14:textId="77777777" w:rsidR="00DD7FD7" w:rsidRPr="006030EF" w:rsidRDefault="00DD7FD7" w:rsidP="006318E5">
      <w:pPr>
        <w:pStyle w:val="Endnotentext"/>
        <w:rPr>
          <w:lang w:val="en-US"/>
        </w:rPr>
      </w:pPr>
      <w:r>
        <w:rPr>
          <w:rStyle w:val="Endnotenzeichen"/>
        </w:rPr>
        <w:endnoteRef/>
      </w:r>
      <w:r w:rsidRPr="006030EF">
        <w:rPr>
          <w:lang w:val="en-US"/>
        </w:rPr>
        <w:t xml:space="preserve"> R.</w:t>
      </w:r>
      <w:r>
        <w:rPr>
          <w:lang w:val="en-US"/>
        </w:rPr>
        <w:t xml:space="preserve"> </w:t>
      </w:r>
      <w:r w:rsidRPr="006030EF">
        <w:rPr>
          <w:lang w:val="en-US"/>
        </w:rPr>
        <w:t>D. Smith, US Patent 4 734 451, 1988.</w:t>
      </w:r>
    </w:p>
  </w:endnote>
  <w:endnote w:id="150">
    <w:p w14:paraId="1E916693" w14:textId="77777777" w:rsidR="00DD7FD7" w:rsidRPr="006030EF" w:rsidRDefault="00DD7FD7" w:rsidP="00721170">
      <w:pPr>
        <w:pStyle w:val="Endnotentext"/>
        <w:rPr>
          <w:lang w:val="en-US"/>
        </w:rPr>
      </w:pPr>
      <w:r w:rsidRPr="00EB1576">
        <w:rPr>
          <w:rStyle w:val="Endnotenzeichen"/>
        </w:rPr>
        <w:endnoteRef/>
      </w:r>
      <w:r w:rsidRPr="006030EF">
        <w:rPr>
          <w:lang w:val="en-US"/>
        </w:rPr>
        <w:t xml:space="preserve"> J. Jung und M. Perrut, „Particle design using supercritical fluids: Literature and patent survey,“ </w:t>
      </w:r>
      <w:r w:rsidRPr="005875DE">
        <w:rPr>
          <w:i/>
          <w:lang w:val="en-US"/>
        </w:rPr>
        <w:t>The Journal of Supercritical Fluids</w:t>
      </w:r>
      <w:r>
        <w:rPr>
          <w:lang w:val="en-US"/>
        </w:rPr>
        <w:t xml:space="preserve"> 20:</w:t>
      </w:r>
      <w:r w:rsidRPr="006030EF">
        <w:rPr>
          <w:lang w:val="en-US"/>
        </w:rPr>
        <w:t xml:space="preserve"> 179-219, 2001.</w:t>
      </w:r>
    </w:p>
  </w:endnote>
  <w:endnote w:id="151">
    <w:p w14:paraId="4B18CD13" w14:textId="77777777" w:rsidR="00DD7FD7" w:rsidRPr="006030EF" w:rsidRDefault="00DD7FD7" w:rsidP="00721170">
      <w:pPr>
        <w:pStyle w:val="Endnotentext"/>
        <w:rPr>
          <w:lang w:val="en-US"/>
        </w:rPr>
      </w:pPr>
      <w:r>
        <w:rPr>
          <w:rStyle w:val="Endnotenzeichen"/>
        </w:rPr>
        <w:endnoteRef/>
      </w:r>
      <w:r w:rsidRPr="006030EF">
        <w:rPr>
          <w:lang w:val="en-US"/>
        </w:rPr>
        <w:t xml:space="preserve"> J. Fages, H. Lochard, J.-J. Letourneau, M. Sauceau und E. Rodier, „Particle formation for pharmaceutical applications using supercrirical fluid technology,“ </w:t>
      </w:r>
      <w:r w:rsidRPr="005875DE">
        <w:rPr>
          <w:i/>
          <w:lang w:val="en-US"/>
        </w:rPr>
        <w:t>Powder Technology</w:t>
      </w:r>
      <w:r>
        <w:rPr>
          <w:lang w:val="en-US"/>
        </w:rPr>
        <w:t xml:space="preserve"> 141: </w:t>
      </w:r>
      <w:r w:rsidRPr="006030EF">
        <w:rPr>
          <w:lang w:val="en-US"/>
        </w:rPr>
        <w:t>219-226, 2004.</w:t>
      </w:r>
    </w:p>
  </w:endnote>
  <w:endnote w:id="152">
    <w:p w14:paraId="11802A2C" w14:textId="77777777" w:rsidR="00DD7FD7" w:rsidRPr="006030EF" w:rsidRDefault="00DD7FD7" w:rsidP="00721170">
      <w:pPr>
        <w:pStyle w:val="Endnotentext"/>
        <w:rPr>
          <w:lang w:val="en-US"/>
        </w:rPr>
      </w:pPr>
      <w:r>
        <w:rPr>
          <w:rStyle w:val="Endnotenzeichen"/>
        </w:rPr>
        <w:endnoteRef/>
      </w:r>
      <w:r w:rsidRPr="006030EF">
        <w:rPr>
          <w:lang w:val="en-US"/>
        </w:rPr>
        <w:t xml:space="preserve"> S.-D. Yeo und E. Kiran, „Formation of polymer particles with supercritical fluids: A review“, </w:t>
      </w:r>
      <w:r w:rsidRPr="005875DE">
        <w:rPr>
          <w:i/>
          <w:lang w:val="en-US"/>
        </w:rPr>
        <w:t>The Journal of Supercritical Fluids</w:t>
      </w:r>
      <w:r>
        <w:rPr>
          <w:lang w:val="en-US"/>
        </w:rPr>
        <w:t xml:space="preserve"> 34: </w:t>
      </w:r>
      <w:r w:rsidRPr="006030EF">
        <w:rPr>
          <w:lang w:val="en-US"/>
        </w:rPr>
        <w:t>287-308, 2005.</w:t>
      </w:r>
    </w:p>
  </w:endnote>
  <w:endnote w:id="153">
    <w:p w14:paraId="7CDE8C68" w14:textId="77777777" w:rsidR="00DD7FD7" w:rsidRPr="006030EF" w:rsidRDefault="00DD7FD7" w:rsidP="00721170">
      <w:pPr>
        <w:pStyle w:val="Endnotentext"/>
        <w:rPr>
          <w:lang w:val="en-US"/>
        </w:rPr>
      </w:pPr>
      <w:r>
        <w:rPr>
          <w:rStyle w:val="Endnotenzeichen"/>
        </w:rPr>
        <w:endnoteRef/>
      </w:r>
      <w:r w:rsidRPr="006030EF">
        <w:rPr>
          <w:lang w:val="en-US"/>
        </w:rPr>
        <w:t xml:space="preserve"> M. Kenji, „Biodegradable particle formation for drug and gene delivery using supercritical fluid and dense gas,“ </w:t>
      </w:r>
      <w:r w:rsidRPr="005875DE">
        <w:rPr>
          <w:i/>
          <w:lang w:val="en-US"/>
        </w:rPr>
        <w:t>Advanced Drug Delivery Reviews</w:t>
      </w:r>
      <w:r>
        <w:rPr>
          <w:lang w:val="en-US"/>
        </w:rPr>
        <w:t xml:space="preserve"> 60:</w:t>
      </w:r>
      <w:r w:rsidRPr="006030EF">
        <w:rPr>
          <w:lang w:val="en-US"/>
        </w:rPr>
        <w:t xml:space="preserve"> 411-432, 2008.</w:t>
      </w:r>
    </w:p>
  </w:endnote>
  <w:endnote w:id="154">
    <w:p w14:paraId="00BD7B5B" w14:textId="77777777" w:rsidR="00DD7FD7" w:rsidRPr="006030EF" w:rsidRDefault="00DD7FD7" w:rsidP="00721170">
      <w:pPr>
        <w:pStyle w:val="Endnotentext"/>
        <w:rPr>
          <w:lang w:val="en-US"/>
        </w:rPr>
      </w:pPr>
      <w:r>
        <w:rPr>
          <w:rStyle w:val="Endnotenzeichen"/>
        </w:rPr>
        <w:endnoteRef/>
      </w:r>
      <w:r w:rsidRPr="006030EF">
        <w:rPr>
          <w:lang w:val="en-US"/>
        </w:rPr>
        <w:t xml:space="preserve"> M. Türk, „Manufacture of submicron drug particles with enhanced dissolution behavior by rapid expansion process“, </w:t>
      </w:r>
      <w:r w:rsidRPr="005875DE">
        <w:rPr>
          <w:i/>
          <w:lang w:val="en-US"/>
        </w:rPr>
        <w:t>The Journal of Supercritical Fluids</w:t>
      </w:r>
      <w:r>
        <w:rPr>
          <w:lang w:val="en-US"/>
        </w:rPr>
        <w:t xml:space="preserve"> 47: </w:t>
      </w:r>
      <w:r w:rsidRPr="006030EF">
        <w:rPr>
          <w:lang w:val="en-US"/>
        </w:rPr>
        <w:t>537-545, 2009.</w:t>
      </w:r>
    </w:p>
  </w:endnote>
  <w:endnote w:id="155">
    <w:p w14:paraId="0031F20F" w14:textId="77777777" w:rsidR="00DD7FD7" w:rsidRPr="006030EF" w:rsidRDefault="00DD7FD7" w:rsidP="00721170">
      <w:pPr>
        <w:pStyle w:val="Endnotentext"/>
        <w:rPr>
          <w:lang w:val="en-US"/>
        </w:rPr>
      </w:pPr>
      <w:r>
        <w:rPr>
          <w:rStyle w:val="Endnotenzeichen"/>
        </w:rPr>
        <w:endnoteRef/>
      </w:r>
      <w:r w:rsidRPr="006030EF">
        <w:rPr>
          <w:lang w:val="en-US"/>
        </w:rPr>
        <w:t xml:space="preserve"> E. Reverchon, R. Adami, S. Cardea und G. D. Porta, „Supercritical fluids processing of polymers for pharmaceutical and medical applications,“ </w:t>
      </w:r>
      <w:r w:rsidRPr="005875DE">
        <w:rPr>
          <w:i/>
          <w:lang w:val="en-US"/>
        </w:rPr>
        <w:t>The Journal of Supercritical Fluids</w:t>
      </w:r>
      <w:r>
        <w:rPr>
          <w:lang w:val="en-US"/>
        </w:rPr>
        <w:t xml:space="preserve"> 47: </w:t>
      </w:r>
      <w:r w:rsidRPr="006030EF">
        <w:rPr>
          <w:lang w:val="en-US"/>
        </w:rPr>
        <w:t>484-492, 2009.</w:t>
      </w:r>
    </w:p>
  </w:endnote>
  <w:endnote w:id="156">
    <w:p w14:paraId="171FCC12" w14:textId="77777777" w:rsidR="00DD7FD7" w:rsidRPr="006030EF" w:rsidRDefault="00DD7FD7" w:rsidP="00721170">
      <w:pPr>
        <w:pStyle w:val="Endnotentext"/>
        <w:rPr>
          <w:lang w:val="en-US"/>
        </w:rPr>
      </w:pPr>
      <w:r>
        <w:rPr>
          <w:rStyle w:val="Endnotenzeichen"/>
        </w:rPr>
        <w:endnoteRef/>
      </w:r>
      <w:r w:rsidRPr="006030EF">
        <w:rPr>
          <w:lang w:val="en-US"/>
        </w:rPr>
        <w:t xml:space="preserve"> W. L. Priamo, I. Dalmolin, D. L. Boschoetto, N. Mezzomo, S. R. Salvador Ferreira und J. V. Oliveira, „Mocronization processes by supercritical fluid technologies: a short review on process design (2008-2012)“, </w:t>
      </w:r>
      <w:r w:rsidRPr="005875DE">
        <w:rPr>
          <w:i/>
          <w:lang w:val="en-US"/>
        </w:rPr>
        <w:t>Acta Scientarium Technology</w:t>
      </w:r>
      <w:r w:rsidRPr="006030EF">
        <w:rPr>
          <w:lang w:val="en-US"/>
        </w:rPr>
        <w:t xml:space="preserve"> 695-709, 2013.</w:t>
      </w:r>
    </w:p>
  </w:endnote>
  <w:endnote w:id="157">
    <w:p w14:paraId="39E48A5E" w14:textId="77777777" w:rsidR="00DD7FD7" w:rsidRPr="006030EF" w:rsidRDefault="00DD7FD7" w:rsidP="003B1518">
      <w:pPr>
        <w:spacing w:after="0" w:line="240" w:lineRule="auto"/>
        <w:rPr>
          <w:szCs w:val="24"/>
          <w:lang w:val="en-US"/>
        </w:rPr>
      </w:pPr>
      <w:r>
        <w:rPr>
          <w:rStyle w:val="Endnotenzeichen"/>
        </w:rPr>
        <w:endnoteRef/>
      </w:r>
      <w:r w:rsidRPr="006030EF">
        <w:rPr>
          <w:lang w:val="en-US"/>
        </w:rPr>
        <w:t xml:space="preserve"> </w:t>
      </w:r>
      <w:r w:rsidRPr="006030EF">
        <w:rPr>
          <w:szCs w:val="24"/>
          <w:lang w:val="en-US"/>
        </w:rPr>
        <w:t xml:space="preserve">B. Kongsombut, W. Chen, A. Tsutsumi, W. Tanthapanichakoon und T. Charinpanitkul, „Formation of deagglomerated PLGA particles and PLGA-coated ultra fine powders by rapid expansion of supercritical solution“, </w:t>
      </w:r>
      <w:r w:rsidRPr="005875DE">
        <w:rPr>
          <w:i/>
          <w:szCs w:val="24"/>
          <w:lang w:val="en-US"/>
        </w:rPr>
        <w:t>Korean J. Chem. Eng.</w:t>
      </w:r>
      <w:r>
        <w:rPr>
          <w:szCs w:val="24"/>
          <w:lang w:val="en-US"/>
        </w:rPr>
        <w:t xml:space="preserve"> 25: </w:t>
      </w:r>
      <w:r w:rsidRPr="006030EF">
        <w:rPr>
          <w:szCs w:val="24"/>
          <w:lang w:val="en-US"/>
        </w:rPr>
        <w:t>838-845, 2008.</w:t>
      </w:r>
    </w:p>
  </w:endnote>
  <w:endnote w:id="158">
    <w:p w14:paraId="0F9D1297" w14:textId="77777777" w:rsidR="00DD7FD7" w:rsidRPr="006030EF" w:rsidRDefault="00DD7FD7" w:rsidP="00BC02F1">
      <w:pPr>
        <w:pStyle w:val="Endnotentext"/>
        <w:rPr>
          <w:lang w:val="en-US"/>
        </w:rPr>
      </w:pPr>
      <w:r>
        <w:rPr>
          <w:rStyle w:val="Endnotenzeichen"/>
        </w:rPr>
        <w:endnoteRef/>
      </w:r>
      <w:r w:rsidRPr="006030EF">
        <w:rPr>
          <w:lang w:val="en-US"/>
        </w:rPr>
        <w:t xml:space="preserve"> David R. Lide (Hrsg.): CRC Handbook Of Chemistry And Physics.</w:t>
      </w:r>
      <w:r>
        <w:rPr>
          <w:lang w:val="en-US"/>
        </w:rPr>
        <w:t xml:space="preserve"> 85. Auflage, CRC Press LLC, </w:t>
      </w:r>
      <w:r w:rsidRPr="006030EF">
        <w:rPr>
          <w:lang w:val="en-US"/>
        </w:rPr>
        <w:t>6–53, 2004</w:t>
      </w:r>
    </w:p>
  </w:endnote>
  <w:endnote w:id="159">
    <w:p w14:paraId="17DEE78D" w14:textId="77777777" w:rsidR="00DD7FD7" w:rsidRPr="006030EF" w:rsidRDefault="00DD7FD7" w:rsidP="00BC02F1">
      <w:pPr>
        <w:pStyle w:val="Endnotentext"/>
        <w:rPr>
          <w:lang w:val="en-US"/>
        </w:rPr>
      </w:pPr>
      <w:r>
        <w:rPr>
          <w:rStyle w:val="Endnotenzeichen"/>
        </w:rPr>
        <w:endnoteRef/>
      </w:r>
      <w:r w:rsidRPr="006030EF">
        <w:rPr>
          <w:lang w:val="en-US"/>
        </w:rPr>
        <w:t xml:space="preserve"> C. Secuianu, V. Feroiu und G. Dan, „Phase behaviour for carbon dioxide + ethanol system: Experimental measurements and modeling with cubic equation of state“, </w:t>
      </w:r>
      <w:r w:rsidRPr="005875DE">
        <w:rPr>
          <w:i/>
          <w:lang w:val="en-US"/>
        </w:rPr>
        <w:t>The Journal of supercritical Fluids</w:t>
      </w:r>
      <w:r>
        <w:rPr>
          <w:lang w:val="en-US"/>
        </w:rPr>
        <w:t xml:space="preserve"> 47: </w:t>
      </w:r>
      <w:r w:rsidRPr="006030EF">
        <w:rPr>
          <w:lang w:val="en-US"/>
        </w:rPr>
        <w:t>109-116, 2008</w:t>
      </w:r>
      <w:r>
        <w:rPr>
          <w:lang w:val="en-US"/>
        </w:rPr>
        <w:t>.</w:t>
      </w:r>
    </w:p>
  </w:endnote>
  <w:endnote w:id="160">
    <w:p w14:paraId="5D65C4A4" w14:textId="77777777" w:rsidR="00DD7FD7" w:rsidRPr="0041112C" w:rsidRDefault="00DD7FD7" w:rsidP="005314F7">
      <w:pPr>
        <w:pStyle w:val="Endnotentext"/>
        <w:rPr>
          <w:lang w:val="en-US"/>
        </w:rPr>
      </w:pPr>
      <w:r>
        <w:rPr>
          <w:rStyle w:val="Endnotenzeichen"/>
        </w:rPr>
        <w:endnoteRef/>
      </w:r>
      <w:r w:rsidRPr="00A0224A">
        <w:rPr>
          <w:lang w:val="en-US"/>
        </w:rPr>
        <w:t xml:space="preserve"> S. E. Conway et al., </w:t>
      </w:r>
      <w:r w:rsidRPr="005875DE">
        <w:rPr>
          <w:i/>
          <w:lang w:val="en-US"/>
        </w:rPr>
        <w:t>J. of Appl. Polym. Sc.</w:t>
      </w:r>
      <w:r w:rsidRPr="0041112C">
        <w:rPr>
          <w:lang w:val="en-US"/>
        </w:rPr>
        <w:t xml:space="preserve"> 80: 1155–1161, 2001.</w:t>
      </w:r>
    </w:p>
  </w:endnote>
  <w:endnote w:id="161">
    <w:p w14:paraId="2435BF2A" w14:textId="77777777" w:rsidR="00DD7FD7" w:rsidRPr="00DB0243" w:rsidRDefault="00DD7FD7">
      <w:pPr>
        <w:pStyle w:val="Endnotentext"/>
        <w:rPr>
          <w:lang w:val="en-US"/>
        </w:rPr>
      </w:pPr>
      <w:r>
        <w:rPr>
          <w:rStyle w:val="Endnotenzeichen"/>
        </w:rPr>
        <w:endnoteRef/>
      </w:r>
      <w:r w:rsidRPr="00DB0243">
        <w:rPr>
          <w:lang w:val="en-US"/>
        </w:rPr>
        <w:t xml:space="preserve"> A. Göpferich, „Michanisms of polymer degradation and erosion“, </w:t>
      </w:r>
      <w:r w:rsidRPr="00DB0243">
        <w:rPr>
          <w:i/>
          <w:lang w:val="en-US"/>
        </w:rPr>
        <w:t>Biomaterials</w:t>
      </w:r>
      <w:r w:rsidRPr="00DB0243">
        <w:rPr>
          <w:lang w:val="en-US"/>
        </w:rPr>
        <w:t xml:space="preserve"> 17: 103, 1996. </w:t>
      </w:r>
    </w:p>
  </w:endnote>
  <w:endnote w:id="162">
    <w:p w14:paraId="3CF38433" w14:textId="77777777" w:rsidR="00DD7FD7" w:rsidRPr="00DB0243" w:rsidRDefault="00DD7FD7">
      <w:pPr>
        <w:pStyle w:val="Endnotentext"/>
        <w:rPr>
          <w:lang w:val="en-US"/>
        </w:rPr>
      </w:pPr>
      <w:r>
        <w:rPr>
          <w:rStyle w:val="Endnotenzeichen"/>
        </w:rPr>
        <w:endnoteRef/>
      </w:r>
      <w:r w:rsidRPr="00DB0243">
        <w:rPr>
          <w:lang w:val="en-US"/>
        </w:rPr>
        <w:t xml:space="preserve"> S. Li, „Hydrolytic degradation characteristics of aliphatic polyesters derives from lactic and glycolic acids“, </w:t>
      </w:r>
      <w:r w:rsidRPr="00DB0243">
        <w:rPr>
          <w:i/>
          <w:lang w:val="en-US"/>
        </w:rPr>
        <w:t>J. Biomed. Mater. Res. (Appl. Biomater.)</w:t>
      </w:r>
      <w:r w:rsidRPr="00DB0243">
        <w:rPr>
          <w:lang w:val="en-US"/>
        </w:rPr>
        <w:t xml:space="preserve"> 48: 342, 1999. </w:t>
      </w:r>
    </w:p>
  </w:endnote>
  <w:endnote w:id="163">
    <w:p w14:paraId="65237F7A" w14:textId="77777777" w:rsidR="00DD7FD7" w:rsidRPr="00DB0243" w:rsidRDefault="00DD7FD7">
      <w:pPr>
        <w:pStyle w:val="Endnotentext"/>
        <w:rPr>
          <w:lang w:val="en-US"/>
        </w:rPr>
      </w:pPr>
      <w:r>
        <w:rPr>
          <w:rStyle w:val="Endnotenzeichen"/>
        </w:rPr>
        <w:endnoteRef/>
      </w:r>
      <w:r w:rsidRPr="0041112C">
        <w:rPr>
          <w:lang w:val="en-US"/>
        </w:rPr>
        <w:t xml:space="preserve"> J. W. Tom, P. G. Debenedetti, „Formation of Bioerodible Polymeric Microspheres and Microparticles by Rapid Expansion of Supercritical Solutions“, </w:t>
      </w:r>
      <w:r w:rsidRPr="005875DE">
        <w:rPr>
          <w:i/>
          <w:lang w:val="en-US"/>
        </w:rPr>
        <w:t xml:space="preserve">Biotechnol. </w:t>
      </w:r>
      <w:r w:rsidRPr="00DB0243">
        <w:rPr>
          <w:i/>
          <w:lang w:val="en-US"/>
        </w:rPr>
        <w:t>Prog.</w:t>
      </w:r>
      <w:r w:rsidRPr="00DB0243">
        <w:rPr>
          <w:lang w:val="en-US"/>
        </w:rPr>
        <w:t xml:space="preserve"> 7: 403-411, 1991.</w:t>
      </w:r>
    </w:p>
  </w:endnote>
  <w:endnote w:id="164">
    <w:p w14:paraId="1DDE5B31" w14:textId="77777777" w:rsidR="00DD7FD7" w:rsidRPr="00DB0243" w:rsidRDefault="00DD7FD7" w:rsidP="00A7497E">
      <w:pPr>
        <w:pStyle w:val="Endnotentext"/>
        <w:rPr>
          <w:lang w:val="en-US"/>
        </w:rPr>
      </w:pPr>
      <w:r>
        <w:rPr>
          <w:rStyle w:val="Endnotenzeichen"/>
        </w:rPr>
        <w:endnoteRef/>
      </w:r>
      <w:r w:rsidRPr="00DB0243">
        <w:rPr>
          <w:lang w:val="en-US"/>
        </w:rPr>
        <w:t xml:space="preserve"> J. Hao, M. J. Whitaker, B. Wong, G. Serhatkulu, K. M. Shakesheff, S. M. Howdle, „Plasticization and Spraying of Poly (DL-lactic acid) using Supercritical Carbon Dioxide: Control of Particle Size“, </w:t>
      </w:r>
      <w:r w:rsidRPr="00DB0243">
        <w:rPr>
          <w:i/>
          <w:lang w:val="en-US"/>
        </w:rPr>
        <w:t xml:space="preserve">Journal of Pharmaceutical Sciences </w:t>
      </w:r>
      <w:r w:rsidRPr="00DB0243">
        <w:rPr>
          <w:lang w:val="en-US"/>
        </w:rPr>
        <w:t>93(4): 1083-1090, 2004.</w:t>
      </w:r>
    </w:p>
  </w:endnote>
  <w:endnote w:id="165">
    <w:p w14:paraId="765D218B" w14:textId="77777777" w:rsidR="00DD7FD7" w:rsidRDefault="00DD7FD7">
      <w:pPr>
        <w:pStyle w:val="Endnotentext"/>
      </w:pPr>
      <w:r>
        <w:rPr>
          <w:rStyle w:val="Endnotenzeichen"/>
        </w:rPr>
        <w:endnoteRef/>
      </w:r>
      <w:r>
        <w:t xml:space="preserve"> Zwischenbericht zum Teilvorhaben „Intestinale Gewebemodelle“ im Verbundprojekt PeTrA, „private communication“, Fraunhofer-Gesellschaft e.V. IGB Stuttgart, Jahresbericht 2012.</w:t>
      </w:r>
    </w:p>
  </w:endnote>
  <w:endnote w:id="166">
    <w:p w14:paraId="6DDCBAEB" w14:textId="77777777" w:rsidR="00DD7FD7" w:rsidRPr="000B7416" w:rsidRDefault="00DD7FD7">
      <w:pPr>
        <w:pStyle w:val="Endnotentext"/>
        <w:rPr>
          <w:lang w:val="en-US"/>
        </w:rPr>
      </w:pPr>
      <w:r>
        <w:rPr>
          <w:rStyle w:val="Endnotenzeichen"/>
        </w:rPr>
        <w:endnoteRef/>
      </w:r>
      <w:r w:rsidRPr="0057193B">
        <w:rPr>
          <w:lang w:val="en-US"/>
        </w:rPr>
        <w:t xml:space="preserve"> A. H. Kahns, A. Buur, H. Bundgaard, „Prodrugs of Peptides. </w:t>
      </w:r>
      <w:r>
        <w:rPr>
          <w:lang w:val="en-US"/>
        </w:rPr>
        <w:t xml:space="preserve">18. Synthesis and Evaluation of Various Esters of Desmopressin (dDAVP)”, </w:t>
      </w:r>
      <w:r>
        <w:rPr>
          <w:i/>
          <w:lang w:val="en-US"/>
        </w:rPr>
        <w:t>Pharmaceutical Research</w:t>
      </w:r>
      <w:r>
        <w:rPr>
          <w:lang w:val="en-US"/>
        </w:rPr>
        <w:t xml:space="preserve"> 10(1): 68-74, 1993.</w:t>
      </w:r>
    </w:p>
  </w:endnote>
  <w:endnote w:id="167">
    <w:p w14:paraId="47FBB917" w14:textId="77777777" w:rsidR="00DD7FD7" w:rsidRPr="00356649" w:rsidRDefault="00DD7FD7" w:rsidP="00356649">
      <w:pPr>
        <w:spacing w:after="0" w:line="240" w:lineRule="auto"/>
        <w:contextualSpacing/>
        <w:rPr>
          <w:szCs w:val="24"/>
          <w:lang w:val="en-US"/>
        </w:rPr>
      </w:pPr>
      <w:r>
        <w:rPr>
          <w:rStyle w:val="Endnotenzeichen"/>
        </w:rPr>
        <w:endnoteRef/>
      </w:r>
      <w:r w:rsidRPr="00880C1B">
        <w:rPr>
          <w:lang w:val="en-US"/>
        </w:rPr>
        <w:t xml:space="preserve"> V. Gupta, N. Doshi, S. Mitragotri, „Permeation of Insulin, Calcitonin and Exenatide across Caco-2 Monolayers: Measurement U</w:t>
      </w:r>
      <w:r>
        <w:rPr>
          <w:lang w:val="en-US"/>
        </w:rPr>
        <w:t xml:space="preserve">sing a Rapid, 3-Day System”, </w:t>
      </w:r>
      <w:r w:rsidRPr="00341559">
        <w:rPr>
          <w:i/>
          <w:lang w:val="en-US"/>
        </w:rPr>
        <w:t>PLOS ONE</w:t>
      </w:r>
      <w:r>
        <w:rPr>
          <w:lang w:val="en-US"/>
        </w:rPr>
        <w:t xml:space="preserve">, </w:t>
      </w:r>
      <w:r w:rsidRPr="00880C1B">
        <w:rPr>
          <w:szCs w:val="24"/>
          <w:lang w:val="en-US"/>
        </w:rPr>
        <w:t>DOI: 10.1371/journal.pone.0057136</w:t>
      </w:r>
      <w:r>
        <w:rPr>
          <w:szCs w:val="24"/>
          <w:lang w:val="en-US"/>
        </w:rPr>
        <w:t>, 2013.</w:t>
      </w:r>
    </w:p>
  </w:endnote>
  <w:endnote w:id="168">
    <w:p w14:paraId="1EF87A9A" w14:textId="77777777" w:rsidR="00DD7FD7" w:rsidRPr="00244150" w:rsidRDefault="00DD7FD7">
      <w:pPr>
        <w:pStyle w:val="Endnotentext"/>
        <w:rPr>
          <w:lang w:val="en-US"/>
        </w:rPr>
      </w:pPr>
      <w:r>
        <w:rPr>
          <w:rStyle w:val="Endnotenzeichen"/>
        </w:rPr>
        <w:endnoteRef/>
      </w:r>
      <w:r w:rsidRPr="00244150">
        <w:rPr>
          <w:lang w:val="en-US"/>
        </w:rPr>
        <w:t xml:space="preserve"> M. Hammer, H. Vilhardt, „Peroral treatment of diabetes insipidus with a polypeptide hormone analog, desmopressin“, </w:t>
      </w:r>
      <w:r w:rsidRPr="00244150">
        <w:rPr>
          <w:i/>
          <w:lang w:val="en-US"/>
        </w:rPr>
        <w:t>JPET</w:t>
      </w:r>
      <w:r w:rsidRPr="00244150">
        <w:rPr>
          <w:lang w:val="en-US"/>
        </w:rPr>
        <w:t xml:space="preserve"> 234(3): 754-760, 1985.</w:t>
      </w:r>
    </w:p>
  </w:endnote>
  <w:endnote w:id="169">
    <w:p w14:paraId="3D843838" w14:textId="77777777" w:rsidR="00DD7FD7" w:rsidRPr="00DB0243" w:rsidRDefault="00DD7FD7">
      <w:pPr>
        <w:pStyle w:val="Endnotentext"/>
        <w:rPr>
          <w:lang w:val="en-US"/>
        </w:rPr>
      </w:pPr>
      <w:r>
        <w:rPr>
          <w:rStyle w:val="Endnotenzeichen"/>
        </w:rPr>
        <w:endnoteRef/>
      </w:r>
      <w:r w:rsidRPr="00DB0243">
        <w:rPr>
          <w:lang w:val="en-US"/>
        </w:rPr>
        <w:t xml:space="preserve"> H. Agersø, L. S. Larsen, A. Riis, U. Lövgren, M. O. Karlsson, T. Senderovitz, „Pharmacokinetics and renal excretion of desmopressin after intravenous administration to healthy subjects and renally impaired patients“, </w:t>
      </w:r>
      <w:r w:rsidRPr="00DB0243">
        <w:rPr>
          <w:i/>
          <w:lang w:val="en-US"/>
        </w:rPr>
        <w:t>Br J Clin Pharmacol.</w:t>
      </w:r>
      <w:r w:rsidRPr="00DB0243">
        <w:rPr>
          <w:lang w:val="en-US"/>
        </w:rPr>
        <w:t xml:space="preserve"> 58(4): 352-358, 2004.</w:t>
      </w:r>
    </w:p>
  </w:endnote>
  <w:endnote w:id="170">
    <w:p w14:paraId="146D80C2" w14:textId="77777777" w:rsidR="00DD7FD7" w:rsidRPr="00DB0243" w:rsidRDefault="00DD7FD7" w:rsidP="00DE598D">
      <w:pPr>
        <w:pStyle w:val="Endnotentext"/>
        <w:rPr>
          <w:lang w:val="en-US"/>
        </w:rPr>
      </w:pPr>
      <w:r>
        <w:rPr>
          <w:rStyle w:val="Endnotenzeichen"/>
        </w:rPr>
        <w:endnoteRef/>
      </w:r>
      <w:r w:rsidRPr="00DB0243">
        <w:rPr>
          <w:lang w:val="en-US"/>
        </w:rPr>
        <w:t xml:space="preserve"> S. Wolfensohn, M. Lloyd, "Handbook of Laboratory Animal Management and Welfare", Third Edition, Blackwell Publishing, 2003.</w:t>
      </w:r>
    </w:p>
  </w:endnote>
  <w:endnote w:id="171">
    <w:p w14:paraId="47F13FBC" w14:textId="77777777" w:rsidR="00DD7FD7" w:rsidRPr="007A69E9" w:rsidRDefault="00DD7FD7" w:rsidP="007A69E9">
      <w:pPr>
        <w:pStyle w:val="Endnotentext"/>
      </w:pPr>
      <w:r>
        <w:rPr>
          <w:rStyle w:val="Endnotenzeichen"/>
        </w:rPr>
        <w:endnoteRef/>
      </w:r>
      <w:r>
        <w:t xml:space="preserve"> C. Greiner, „Verteilungsvolumen – Wie sich Substanzen im Körper verteilen“, </w:t>
      </w:r>
      <w:r>
        <w:rPr>
          <w:i/>
        </w:rPr>
        <w:t>NeuroTransmitter</w:t>
      </w:r>
      <w:r>
        <w:t xml:space="preserve"> 3: 36-37, 2011.</w:t>
      </w:r>
    </w:p>
  </w:endnote>
  <w:endnote w:id="172">
    <w:p w14:paraId="0D26DE0D" w14:textId="77777777" w:rsidR="00DD7FD7" w:rsidRPr="00115A6A" w:rsidRDefault="00DD7FD7">
      <w:pPr>
        <w:pStyle w:val="Endnotentext"/>
        <w:rPr>
          <w:lang w:val="en-US"/>
        </w:rPr>
      </w:pPr>
      <w:r>
        <w:rPr>
          <w:rStyle w:val="Endnotenzeichen"/>
        </w:rPr>
        <w:endnoteRef/>
      </w:r>
      <w:r w:rsidRPr="00DB0243">
        <w:rPr>
          <w:lang w:val="en-US"/>
        </w:rPr>
        <w:t xml:space="preserve"> K. Vinter Juul, L. Erichsen, G. L. Robertson, „Temporal delays and individual variation in antidiuretic response to desmopressin“, </w:t>
      </w:r>
      <w:r w:rsidRPr="00DB0243">
        <w:rPr>
          <w:i/>
          <w:iCs/>
          <w:lang w:val="en-US"/>
        </w:rPr>
        <w:t xml:space="preserve">Am J Physiol Renal Physiol. </w:t>
      </w:r>
      <w:r w:rsidRPr="00115A6A">
        <w:rPr>
          <w:lang w:val="en-US"/>
        </w:rPr>
        <w:t>304: F268–F278, 2013.</w:t>
      </w:r>
    </w:p>
  </w:endnote>
  <w:endnote w:id="173">
    <w:p w14:paraId="27214887" w14:textId="77777777" w:rsidR="00DD7FD7" w:rsidRPr="008445C4" w:rsidRDefault="00DD7FD7">
      <w:pPr>
        <w:pStyle w:val="Endnotentext"/>
      </w:pPr>
      <w:r>
        <w:rPr>
          <w:rStyle w:val="Endnotenzeichen"/>
        </w:rPr>
        <w:endnoteRef/>
      </w:r>
      <w:r w:rsidRPr="00115A6A">
        <w:rPr>
          <w:lang w:val="en-US"/>
        </w:rPr>
        <w:t xml:space="preserve"> S. Lundin, P. Melin, H. Vilhardt, „Plasma concentrations of 1-deamino-8-d-arginine vasopressin after intragastric administration in the rat“, </w:t>
      </w:r>
      <w:r w:rsidRPr="00115A6A">
        <w:rPr>
          <w:rStyle w:val="HTMLZitat"/>
          <w:rFonts w:eastAsia="Times New Roman" w:cs="Times New Roman"/>
          <w:lang w:val="en-US"/>
        </w:rPr>
        <w:t>Acta Endocrinol</w:t>
      </w:r>
      <w:r w:rsidRPr="00115A6A">
        <w:rPr>
          <w:rStyle w:val="slug-pub-date"/>
          <w:rFonts w:eastAsia="Times New Roman" w:cs="Times New Roman"/>
          <w:i/>
          <w:iCs/>
          <w:lang w:val="en-US"/>
        </w:rPr>
        <w:t xml:space="preserve">. </w:t>
      </w:r>
      <w:r>
        <w:rPr>
          <w:rStyle w:val="slug-pub-date"/>
          <w:rFonts w:eastAsia="Times New Roman" w:cs="Times New Roman"/>
          <w:iCs/>
        </w:rPr>
        <w:t>108: 179-183, 1985.</w:t>
      </w:r>
    </w:p>
  </w:endnote>
  <w:endnote w:id="174">
    <w:p w14:paraId="42E83889" w14:textId="77777777" w:rsidR="00DD7FD7" w:rsidRDefault="00DD7FD7">
      <w:pPr>
        <w:pStyle w:val="Endnotentext"/>
      </w:pPr>
      <w:r>
        <w:rPr>
          <w:rStyle w:val="Endnotenzeichen"/>
        </w:rPr>
        <w:endnoteRef/>
      </w:r>
      <w:r>
        <w:t xml:space="preserve"> C.-J. Estler, H. Schmidt, „Pharmakologie und Toxikologie: für Studium und Praxis“, Hrsg.: H. Schmidt, Schattauer Verlag, 2007. </w:t>
      </w:r>
    </w:p>
  </w:endnote>
  <w:endnote w:id="175">
    <w:p w14:paraId="61CDC346" w14:textId="77777777" w:rsidR="00DD7FD7" w:rsidRPr="00DB0243" w:rsidRDefault="00DD7FD7" w:rsidP="00FB3436">
      <w:pPr>
        <w:pStyle w:val="Endnotentext"/>
        <w:rPr>
          <w:lang w:val="en-US"/>
        </w:rPr>
      </w:pPr>
      <w:r>
        <w:rPr>
          <w:rStyle w:val="Endnotenzeichen"/>
        </w:rPr>
        <w:endnoteRef/>
      </w:r>
      <w:r w:rsidRPr="00DB0243">
        <w:rPr>
          <w:lang w:val="en-US"/>
        </w:rPr>
        <w:t xml:space="preserve"> J. Wanga, G. Zhoua, C. Chena, H. Yua, T. Wangc, Y. Mad, G. Jiae, Y. Gaoa, B. Lia, J. Suna, Y. Lia, F. Jiaoa, Y. Zhaoa, Z. Chaia, „Acute toxicity and biodistribution of different sized titanium dioxide particles in mice after oral administration“, </w:t>
      </w:r>
      <w:r w:rsidRPr="00DB0243">
        <w:rPr>
          <w:i/>
          <w:lang w:val="en-US"/>
        </w:rPr>
        <w:t>Toxicology Letters</w:t>
      </w:r>
      <w:r w:rsidRPr="00DB0243">
        <w:rPr>
          <w:lang w:val="en-US"/>
        </w:rPr>
        <w:t xml:space="preserve"> 168(2): 176-185, 2007.</w:t>
      </w:r>
    </w:p>
  </w:endnote>
  <w:endnote w:id="176">
    <w:p w14:paraId="2DC936AA" w14:textId="77777777" w:rsidR="00DD7FD7" w:rsidRDefault="00DD7FD7">
      <w:pPr>
        <w:pStyle w:val="Endnotentext"/>
      </w:pPr>
      <w:r>
        <w:rPr>
          <w:rStyle w:val="Endnotenzeichen"/>
        </w:rPr>
        <w:endnoteRef/>
      </w:r>
      <w:r>
        <w:t xml:space="preserve"> Rote Liste 2010, Rote Liste Service GmbH, Auflage 1, April 2010.</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SimSun">
    <w:altName w:val="宋体"/>
    <w:charset w:val="86"/>
    <w:family w:val="auto"/>
    <w:pitch w:val="variable"/>
    <w:sig w:usb0="00000003" w:usb1="288F0000" w:usb2="00000016" w:usb3="00000000" w:csb0="00040001"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00000001" w:usb1="08070000" w:usb2="00000010" w:usb3="00000000" w:csb0="00020000" w:csb1="00000000"/>
  </w:font>
  <w:font w:name="Cambria Math">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MS PGothic">
    <w:charset w:val="80"/>
    <w:family w:val="swiss"/>
    <w:pitch w:val="variable"/>
    <w:sig w:usb0="E00002FF" w:usb1="6AC7FDFB" w:usb2="00000012" w:usb3="00000000" w:csb0="0002009F" w:csb1="00000000"/>
  </w:font>
  <w:font w:name="STIXGeneral-Regular">
    <w:panose1 w:val="000000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0CF5EE61" w14:textId="77777777" w:rsidR="00DD7FD7" w:rsidRDefault="00DD7FD7" w:rsidP="00831E75">
      <w:pPr>
        <w:spacing w:after="0" w:line="240" w:lineRule="auto"/>
      </w:pPr>
      <w:r>
        <w:separator/>
      </w:r>
    </w:p>
  </w:footnote>
  <w:footnote w:type="continuationSeparator" w:id="0">
    <w:p w14:paraId="4D2D9A63" w14:textId="77777777" w:rsidR="00DD7FD7" w:rsidRDefault="00DD7FD7" w:rsidP="00831E75">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3411143" w14:textId="77777777" w:rsidR="00DD7FD7" w:rsidRDefault="00D16240" w:rsidP="00F54D5A">
    <w:pPr>
      <w:pStyle w:val="Kopfzeile"/>
      <w:framePr w:wrap="around" w:vAnchor="text" w:hAnchor="margin" w:xAlign="right" w:y="1"/>
      <w:rPr>
        <w:rStyle w:val="Seitenzahl"/>
      </w:rPr>
    </w:pPr>
    <w:r>
      <w:rPr>
        <w:rStyle w:val="Seitenzahl"/>
      </w:rPr>
      <w:fldChar w:fldCharType="begin"/>
    </w:r>
    <w:r w:rsidR="00DD7FD7">
      <w:rPr>
        <w:rStyle w:val="Seitenzahl"/>
      </w:rPr>
      <w:instrText xml:space="preserve">PAGE  </w:instrText>
    </w:r>
    <w:r>
      <w:rPr>
        <w:rStyle w:val="Seitenzahl"/>
      </w:rPr>
      <w:fldChar w:fldCharType="end"/>
    </w:r>
  </w:p>
  <w:p w14:paraId="62400018" w14:textId="77777777" w:rsidR="00DD7FD7" w:rsidRDefault="00D16240" w:rsidP="000B495F">
    <w:pPr>
      <w:pStyle w:val="Kopfzeile"/>
      <w:framePr w:wrap="around" w:vAnchor="text" w:hAnchor="margin" w:xAlign="right" w:y="1"/>
      <w:ind w:right="360"/>
      <w:rPr>
        <w:rStyle w:val="Seitenzahl"/>
      </w:rPr>
    </w:pPr>
    <w:r>
      <w:rPr>
        <w:rStyle w:val="Seitenzahl"/>
      </w:rPr>
      <w:fldChar w:fldCharType="begin"/>
    </w:r>
    <w:r w:rsidR="00DD7FD7">
      <w:rPr>
        <w:rStyle w:val="Seitenzahl"/>
      </w:rPr>
      <w:instrText xml:space="preserve">PAGE  </w:instrText>
    </w:r>
    <w:r>
      <w:rPr>
        <w:rStyle w:val="Seitenzahl"/>
      </w:rPr>
      <w:fldChar w:fldCharType="end"/>
    </w:r>
  </w:p>
  <w:p w14:paraId="4C5080DE" w14:textId="77777777" w:rsidR="00DD7FD7" w:rsidRDefault="00DD7FD7" w:rsidP="000B495F">
    <w:pPr>
      <w:pStyle w:val="Kopfzeile"/>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FCC1345" w14:textId="77777777" w:rsidR="00DD7FD7" w:rsidRDefault="00D16240" w:rsidP="00F54D5A">
    <w:pPr>
      <w:pStyle w:val="Kopfzeile"/>
      <w:framePr w:wrap="around" w:vAnchor="text" w:hAnchor="margin" w:xAlign="right" w:y="1"/>
      <w:rPr>
        <w:rStyle w:val="Seitenzahl"/>
      </w:rPr>
    </w:pPr>
    <w:r>
      <w:rPr>
        <w:rStyle w:val="Seitenzahl"/>
      </w:rPr>
      <w:fldChar w:fldCharType="begin"/>
    </w:r>
    <w:r w:rsidR="00DD7FD7">
      <w:rPr>
        <w:rStyle w:val="Seitenzahl"/>
      </w:rPr>
      <w:instrText xml:space="preserve">PAGE  </w:instrText>
    </w:r>
    <w:r>
      <w:rPr>
        <w:rStyle w:val="Seitenzahl"/>
      </w:rPr>
      <w:fldChar w:fldCharType="separate"/>
    </w:r>
    <w:r w:rsidR="00DE258C">
      <w:rPr>
        <w:rStyle w:val="Seitenzahl"/>
        <w:noProof/>
      </w:rPr>
      <w:t>VII</w:t>
    </w:r>
    <w:r>
      <w:rPr>
        <w:rStyle w:val="Seitenzahl"/>
      </w:rPr>
      <w:fldChar w:fldCharType="end"/>
    </w:r>
  </w:p>
  <w:p w14:paraId="430C071F" w14:textId="77777777" w:rsidR="00DD7FD7" w:rsidRDefault="00DD7FD7" w:rsidP="000B495F">
    <w:pPr>
      <w:pStyle w:val="Kopfzeile"/>
      <w:ind w:right="360"/>
    </w:pPr>
    <w:r>
      <w:t>Inhaltsverzeichnis</w:t>
    </w:r>
    <w:r>
      <w:tab/>
    </w:r>
    <w:r>
      <w:tab/>
    </w:r>
  </w:p>
  <w:p w14:paraId="3F7A0DEC" w14:textId="77777777" w:rsidR="00DD7FD7" w:rsidRDefault="00DE258C">
    <w:pPr>
      <w:pStyle w:val="Kopfzeile"/>
    </w:pPr>
    <w:r>
      <w:rPr>
        <w:noProof/>
        <w:lang w:eastAsia="de-DE"/>
      </w:rPr>
      <w:pict w14:anchorId="21F2D8D1">
        <v:line id="Gerade Verbindung 17526" o:spid="_x0000_s4098" style="position:absolute;left:0;text-align:lef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1.75pt" to="459.1pt,2.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" strokecolor="black [3200]" strokeweight="1.25pt">
          <o:lock v:ext="edit" shapetype="f"/>
        </v:lin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988C5B6" w14:textId="77777777" w:rsidR="00DD7FD7" w:rsidRDefault="00DD7FD7" w:rsidP="0035356A">
    <w:pPr>
      <w:pStyle w:val="Kopfzeile"/>
      <w:framePr w:wrap="around" w:vAnchor="text" w:hAnchor="page" w:x="1958" w:y="33"/>
      <w:rPr>
        <w:rStyle w:val="Seitenzahl"/>
      </w:rPr>
    </w:pPr>
    <w:r>
      <w:rPr>
        <w:rStyle w:val="Seitenzahl"/>
      </w:rPr>
      <w:tab/>
    </w:r>
    <w:r>
      <w:rPr>
        <w:rStyle w:val="Seitenzahl"/>
      </w:rPr>
      <w:tab/>
    </w:r>
    <w:r w:rsidR="00D16240">
      <w:rPr>
        <w:rStyle w:val="Seitenzahl"/>
      </w:rPr>
      <w:fldChar w:fldCharType="begin"/>
    </w:r>
    <w:r>
      <w:rPr>
        <w:rStyle w:val="Seitenzahl"/>
      </w:rPr>
      <w:instrText xml:space="preserve">PAGE  </w:instrText>
    </w:r>
    <w:r w:rsidR="00D16240">
      <w:rPr>
        <w:rStyle w:val="Seitenzahl"/>
      </w:rPr>
      <w:fldChar w:fldCharType="separate"/>
    </w:r>
    <w:r w:rsidR="00DE258C">
      <w:rPr>
        <w:rStyle w:val="Seitenzahl"/>
        <w:noProof/>
      </w:rPr>
      <w:t>111</w:t>
    </w:r>
    <w:r w:rsidR="00D16240">
      <w:rPr>
        <w:rStyle w:val="Seitenzahl"/>
      </w:rPr>
      <w:fldChar w:fldCharType="end"/>
    </w:r>
  </w:p>
  <w:p w14:paraId="1F15B874" w14:textId="77777777" w:rsidR="00DD7FD7" w:rsidRDefault="00057BAF" w:rsidP="000B495F">
    <w:pPr>
      <w:pStyle w:val="Kopfzeile"/>
      <w:ind w:right="360"/>
    </w:pPr>
    <w:fldSimple w:instr=" STYLEREF  &quot;Überschrift 1&quot;  \* MERGEFORMAT ">
      <w:r w:rsidR="00DE258C">
        <w:rPr>
          <w:noProof/>
        </w:rPr>
        <w:t>Formulierung und Charakterisierung nanopartikulärer Trägersysteme</w:t>
      </w:r>
    </w:fldSimple>
    <w:r w:rsidR="00DD7FD7">
      <w:rPr>
        <w:noProof/>
      </w:rPr>
      <w:tab/>
    </w:r>
    <w:r w:rsidR="00DD7FD7">
      <w:tab/>
    </w:r>
    <w:r w:rsidR="00DD7FD7">
      <w:tab/>
    </w:r>
  </w:p>
  <w:p w14:paraId="1F51EBBF" w14:textId="77777777" w:rsidR="00DD7FD7" w:rsidRDefault="00DE258C">
    <w:pPr>
      <w:pStyle w:val="Kopfzeile"/>
    </w:pPr>
    <w:r>
      <w:rPr>
        <w:noProof/>
        <w:lang w:eastAsia="de-DE"/>
      </w:rPr>
      <w:pict w14:anchorId="7C748A49">
        <v:line id="Gerade Verbindung 17523" o:spid="_x0000_s4097" style="position:absolute;left:0;text-align:lef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pt,1.75pt" to="482.85pt,3.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" strokecolor="black [3200]" strokeweight="1.25pt">
          <o:lock v:ext="edit" shapetype="f"/>
        </v:line>
      </w:pic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3976CAA" w14:textId="77777777" w:rsidR="00DD7FD7" w:rsidRDefault="00057BAF">
    <w:pPr>
      <w:pStyle w:val="Kopfzeile"/>
    </w:pPr>
    <w:fldSimple w:instr=" STYLEREF  &quot;Überschrift 1&quot;  \* MERGEFORMAT ">
      <w:r w:rsidR="00711AB8">
        <w:rPr>
          <w:noProof/>
        </w:rPr>
        <w:t>Allgemeiner Teil und Stand der Technik</w:t>
      </w:r>
    </w:fldSimple>
    <w:r w:rsidR="00DD7FD7">
      <w:tab/>
    </w:r>
    <w:r w:rsidR="00DD7FD7">
      <w:tab/>
    </w:r>
    <w:sdt>
      <w:sdtPr>
        <w:id w:val="390000112"/>
        <w:docPartObj>
          <w:docPartGallery w:val="Page Numbers (Top of Page)"/>
          <w:docPartUnique/>
        </w:docPartObj>
      </w:sdtPr>
      <w:sdtEndPr/>
      <w:sdtContent>
        <w:r w:rsidR="00D16240">
          <w:fldChar w:fldCharType="begin"/>
        </w:r>
        <w:r w:rsidR="00DD7FD7">
          <w:instrText>PAGE   \* MERGEFORMAT</w:instrText>
        </w:r>
        <w:r w:rsidR="00D16240">
          <w:fldChar w:fldCharType="separate"/>
        </w:r>
        <w:r w:rsidR="00DD7FD7">
          <w:rPr>
            <w:noProof/>
          </w:rPr>
          <w:t>10</w:t>
        </w:r>
        <w:r w:rsidR="00D16240">
          <w:rPr>
            <w:noProof/>
          </w:rPr>
          <w:fldChar w:fldCharType="end"/>
        </w:r>
      </w:sdtContent>
    </w:sdt>
  </w:p>
  <w:p w14:paraId="63307A9D" w14:textId="77777777" w:rsidR="00DD7FD7" w:rsidRDefault="00DD7FD7">
    <w:pPr>
      <w:pStyle w:val="Kopfzeil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6D9645D"/>
    <w:multiLevelType w:val="hybridMultilevel"/>
    <w:tmpl w:val="22AC7C0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088D38F0"/>
    <w:multiLevelType w:val="multilevel"/>
    <w:tmpl w:val="BCD02FB8"/>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
    <w:nsid w:val="09B811ED"/>
    <w:multiLevelType w:val="multilevel"/>
    <w:tmpl w:val="D05A8F16"/>
    <w:lvl w:ilvl="0">
      <w:start w:val="1"/>
      <w:numFmt w:val="decimal"/>
      <w:lvlText w:val="%1."/>
      <w:lvlJc w:val="left"/>
      <w:pPr>
        <w:ind w:left="720" w:hanging="360"/>
      </w:pPr>
      <w:rPr>
        <w:rFonts w:hint="default"/>
      </w:rPr>
    </w:lvl>
    <w:lvl w:ilvl="1">
      <w:numFmt w:val="decimalZero"/>
      <w:isLgl/>
      <w:lvlText w:val="%1.%2"/>
      <w:lvlJc w:val="left"/>
      <w:pPr>
        <w:ind w:left="800" w:hanging="440"/>
      </w:pPr>
      <w:rPr>
        <w:rFonts w:hint="default"/>
      </w:rPr>
    </w:lvl>
    <w:lvl w:ilvl="2">
      <w:start w:val="1"/>
      <w:numFmt w:val="decimal"/>
      <w:isLgl/>
      <w:lvlText w:val="%1.%2.%3"/>
      <w:lvlJc w:val="left"/>
      <w:pPr>
        <w:ind w:left="800" w:hanging="44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3">
    <w:nsid w:val="10107507"/>
    <w:multiLevelType w:val="multilevel"/>
    <w:tmpl w:val="8DF0928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
    <w:nsid w:val="153417BE"/>
    <w:multiLevelType w:val="multilevel"/>
    <w:tmpl w:val="7D9C2EF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18E42AAB"/>
    <w:multiLevelType w:val="multilevel"/>
    <w:tmpl w:val="CAEC612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Restart w:val="0"/>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1A6B2000"/>
    <w:multiLevelType w:val="hybridMultilevel"/>
    <w:tmpl w:val="7D4C6FCC"/>
    <w:lvl w:ilvl="0" w:tplc="63505702">
      <w:start w:val="1"/>
      <w:numFmt w:val="lowerLetter"/>
      <w:lvlText w:val="(%1)"/>
      <w:lvlJc w:val="left"/>
      <w:pPr>
        <w:ind w:left="2490" w:hanging="360"/>
      </w:pPr>
      <w:rPr>
        <w:rFonts w:hint="default"/>
      </w:rPr>
    </w:lvl>
    <w:lvl w:ilvl="1" w:tplc="04070019" w:tentative="1">
      <w:start w:val="1"/>
      <w:numFmt w:val="lowerLetter"/>
      <w:lvlText w:val="%2."/>
      <w:lvlJc w:val="left"/>
      <w:pPr>
        <w:ind w:left="3210" w:hanging="360"/>
      </w:pPr>
    </w:lvl>
    <w:lvl w:ilvl="2" w:tplc="0407001B" w:tentative="1">
      <w:start w:val="1"/>
      <w:numFmt w:val="lowerRoman"/>
      <w:lvlText w:val="%3."/>
      <w:lvlJc w:val="right"/>
      <w:pPr>
        <w:ind w:left="3930" w:hanging="180"/>
      </w:pPr>
    </w:lvl>
    <w:lvl w:ilvl="3" w:tplc="0407000F" w:tentative="1">
      <w:start w:val="1"/>
      <w:numFmt w:val="decimal"/>
      <w:lvlText w:val="%4."/>
      <w:lvlJc w:val="left"/>
      <w:pPr>
        <w:ind w:left="4650" w:hanging="360"/>
      </w:pPr>
    </w:lvl>
    <w:lvl w:ilvl="4" w:tplc="04070019" w:tentative="1">
      <w:start w:val="1"/>
      <w:numFmt w:val="lowerLetter"/>
      <w:lvlText w:val="%5."/>
      <w:lvlJc w:val="left"/>
      <w:pPr>
        <w:ind w:left="5370" w:hanging="360"/>
      </w:pPr>
    </w:lvl>
    <w:lvl w:ilvl="5" w:tplc="0407001B" w:tentative="1">
      <w:start w:val="1"/>
      <w:numFmt w:val="lowerRoman"/>
      <w:lvlText w:val="%6."/>
      <w:lvlJc w:val="right"/>
      <w:pPr>
        <w:ind w:left="6090" w:hanging="180"/>
      </w:pPr>
    </w:lvl>
    <w:lvl w:ilvl="6" w:tplc="0407000F" w:tentative="1">
      <w:start w:val="1"/>
      <w:numFmt w:val="decimal"/>
      <w:lvlText w:val="%7."/>
      <w:lvlJc w:val="left"/>
      <w:pPr>
        <w:ind w:left="6810" w:hanging="360"/>
      </w:pPr>
    </w:lvl>
    <w:lvl w:ilvl="7" w:tplc="04070019" w:tentative="1">
      <w:start w:val="1"/>
      <w:numFmt w:val="lowerLetter"/>
      <w:lvlText w:val="%8."/>
      <w:lvlJc w:val="left"/>
      <w:pPr>
        <w:ind w:left="7530" w:hanging="360"/>
      </w:pPr>
    </w:lvl>
    <w:lvl w:ilvl="8" w:tplc="0407001B" w:tentative="1">
      <w:start w:val="1"/>
      <w:numFmt w:val="lowerRoman"/>
      <w:lvlText w:val="%9."/>
      <w:lvlJc w:val="right"/>
      <w:pPr>
        <w:ind w:left="8250" w:hanging="180"/>
      </w:pPr>
    </w:lvl>
  </w:abstractNum>
  <w:abstractNum w:abstractNumId="7">
    <w:nsid w:val="1ACA6965"/>
    <w:multiLevelType w:val="hybridMultilevel"/>
    <w:tmpl w:val="BFBE6AE8"/>
    <w:lvl w:ilvl="0" w:tplc="0407000F">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8">
    <w:nsid w:val="24452A4D"/>
    <w:multiLevelType w:val="hybridMultilevel"/>
    <w:tmpl w:val="7D0467BE"/>
    <w:lvl w:ilvl="0" w:tplc="1A5C97A8">
      <w:start w:val="1"/>
      <w:numFmt w:val="lowerLetter"/>
      <w:lvlText w:val="(%1)"/>
      <w:lvlJc w:val="left"/>
      <w:pPr>
        <w:ind w:left="3900" w:hanging="360"/>
      </w:pPr>
      <w:rPr>
        <w:rFonts w:hint="default"/>
      </w:rPr>
    </w:lvl>
    <w:lvl w:ilvl="1" w:tplc="04070019" w:tentative="1">
      <w:start w:val="1"/>
      <w:numFmt w:val="lowerLetter"/>
      <w:lvlText w:val="%2."/>
      <w:lvlJc w:val="left"/>
      <w:pPr>
        <w:ind w:left="4620" w:hanging="360"/>
      </w:pPr>
    </w:lvl>
    <w:lvl w:ilvl="2" w:tplc="0407001B" w:tentative="1">
      <w:start w:val="1"/>
      <w:numFmt w:val="lowerRoman"/>
      <w:lvlText w:val="%3."/>
      <w:lvlJc w:val="right"/>
      <w:pPr>
        <w:ind w:left="5340" w:hanging="180"/>
      </w:pPr>
    </w:lvl>
    <w:lvl w:ilvl="3" w:tplc="0407000F" w:tentative="1">
      <w:start w:val="1"/>
      <w:numFmt w:val="decimal"/>
      <w:lvlText w:val="%4."/>
      <w:lvlJc w:val="left"/>
      <w:pPr>
        <w:ind w:left="6060" w:hanging="360"/>
      </w:pPr>
    </w:lvl>
    <w:lvl w:ilvl="4" w:tplc="04070019" w:tentative="1">
      <w:start w:val="1"/>
      <w:numFmt w:val="lowerLetter"/>
      <w:lvlText w:val="%5."/>
      <w:lvlJc w:val="left"/>
      <w:pPr>
        <w:ind w:left="6780" w:hanging="360"/>
      </w:pPr>
    </w:lvl>
    <w:lvl w:ilvl="5" w:tplc="0407001B" w:tentative="1">
      <w:start w:val="1"/>
      <w:numFmt w:val="lowerRoman"/>
      <w:lvlText w:val="%6."/>
      <w:lvlJc w:val="right"/>
      <w:pPr>
        <w:ind w:left="7500" w:hanging="180"/>
      </w:pPr>
    </w:lvl>
    <w:lvl w:ilvl="6" w:tplc="0407000F" w:tentative="1">
      <w:start w:val="1"/>
      <w:numFmt w:val="decimal"/>
      <w:lvlText w:val="%7."/>
      <w:lvlJc w:val="left"/>
      <w:pPr>
        <w:ind w:left="8220" w:hanging="360"/>
      </w:pPr>
    </w:lvl>
    <w:lvl w:ilvl="7" w:tplc="04070019" w:tentative="1">
      <w:start w:val="1"/>
      <w:numFmt w:val="lowerLetter"/>
      <w:lvlText w:val="%8."/>
      <w:lvlJc w:val="left"/>
      <w:pPr>
        <w:ind w:left="8940" w:hanging="360"/>
      </w:pPr>
    </w:lvl>
    <w:lvl w:ilvl="8" w:tplc="0407001B" w:tentative="1">
      <w:start w:val="1"/>
      <w:numFmt w:val="lowerRoman"/>
      <w:lvlText w:val="%9."/>
      <w:lvlJc w:val="right"/>
      <w:pPr>
        <w:ind w:left="9660" w:hanging="180"/>
      </w:pPr>
    </w:lvl>
  </w:abstractNum>
  <w:abstractNum w:abstractNumId="9">
    <w:nsid w:val="24D1208B"/>
    <w:multiLevelType w:val="multilevel"/>
    <w:tmpl w:val="7D0CCCA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2D874F4D"/>
    <w:multiLevelType w:val="hybridMultilevel"/>
    <w:tmpl w:val="28DE26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2E31435D"/>
    <w:multiLevelType w:val="multilevel"/>
    <w:tmpl w:val="CAEC612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Restart w:val="0"/>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30364D73"/>
    <w:multiLevelType w:val="multilevel"/>
    <w:tmpl w:val="B966EDD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3123369A"/>
    <w:multiLevelType w:val="hybridMultilevel"/>
    <w:tmpl w:val="EDC411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36244F5A"/>
    <w:multiLevelType w:val="multilevel"/>
    <w:tmpl w:val="04070025"/>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rPr>
        <w:color w:val="auto"/>
      </w:rPr>
    </w:lvl>
    <w:lvl w:ilvl="3">
      <w:start w:val="1"/>
      <w:numFmt w:val="decimal"/>
      <w:pStyle w:val="berschrift4"/>
      <w:lvlText w:val="%1.%2.%3.%4"/>
      <w:lvlJc w:val="left"/>
      <w:pPr>
        <w:ind w:left="864" w:hanging="864"/>
      </w:pPr>
    </w:lvl>
    <w:lvl w:ilvl="4">
      <w:start w:val="1"/>
      <w:numFmt w:val="decimal"/>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5">
    <w:nsid w:val="3B8807F4"/>
    <w:multiLevelType w:val="multilevel"/>
    <w:tmpl w:val="16261D4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42E92296"/>
    <w:multiLevelType w:val="hybridMultilevel"/>
    <w:tmpl w:val="4FB677AE"/>
    <w:lvl w:ilvl="0" w:tplc="E39681C8">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17">
    <w:nsid w:val="43CD4967"/>
    <w:multiLevelType w:val="multilevel"/>
    <w:tmpl w:val="653C390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550262E9"/>
    <w:multiLevelType w:val="hybridMultilevel"/>
    <w:tmpl w:val="80780C7E"/>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59973B27"/>
    <w:multiLevelType w:val="hybridMultilevel"/>
    <w:tmpl w:val="35649544"/>
    <w:lvl w:ilvl="0" w:tplc="2D4409C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nsid w:val="5AC32F3B"/>
    <w:multiLevelType w:val="hybridMultilevel"/>
    <w:tmpl w:val="9CE6D558"/>
    <w:lvl w:ilvl="0" w:tplc="20B0659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nsid w:val="60334436"/>
    <w:multiLevelType w:val="multilevel"/>
    <w:tmpl w:val="F2AC77FA"/>
    <w:lvl w:ilvl="0">
      <w:start w:val="1"/>
      <w:numFmt w:val="decimal"/>
      <w:lvlText w:val="%1."/>
      <w:lvlJc w:val="left"/>
      <w:pPr>
        <w:ind w:left="1440" w:hanging="360"/>
      </w:pPr>
      <w:rPr>
        <w:rFonts w:hint="default"/>
      </w:rPr>
    </w:lvl>
    <w:lvl w:ilvl="1">
      <w:start w:val="1"/>
      <w:numFmt w:val="decimal"/>
      <w:lvlText w:val="%1.%2."/>
      <w:lvlJc w:val="left"/>
      <w:pPr>
        <w:ind w:left="1872" w:hanging="432"/>
      </w:pPr>
      <w:rPr>
        <w:rFonts w:hint="default"/>
      </w:rPr>
    </w:lvl>
    <w:lvl w:ilvl="2">
      <w:start w:val="1"/>
      <w:numFmt w:val="decimal"/>
      <w:lvlText w:val="%1.%2.%3."/>
      <w:lvlJc w:val="left"/>
      <w:pPr>
        <w:ind w:left="2304" w:hanging="504"/>
      </w:pPr>
      <w:rPr>
        <w:rFonts w:hint="default"/>
      </w:rPr>
    </w:lvl>
    <w:lvl w:ilvl="3">
      <w:start w:val="1"/>
      <w:numFmt w:val="decimal"/>
      <w:lvlRestart w:val="0"/>
      <w:lvlText w:val="%1.%2.%3.%4."/>
      <w:lvlJc w:val="left"/>
      <w:pPr>
        <w:ind w:left="2808" w:hanging="648"/>
      </w:pPr>
      <w:rPr>
        <w:rFonts w:hint="default"/>
      </w:rPr>
    </w:lvl>
    <w:lvl w:ilvl="4">
      <w:start w:val="1"/>
      <w:numFmt w:val="decimal"/>
      <w:lvlText w:val="%1.%2.%3.%4.%5."/>
      <w:lvlJc w:val="left"/>
      <w:pPr>
        <w:ind w:left="3312" w:hanging="792"/>
      </w:pPr>
      <w:rPr>
        <w:rFonts w:hint="default"/>
      </w:rPr>
    </w:lvl>
    <w:lvl w:ilvl="5">
      <w:start w:val="1"/>
      <w:numFmt w:val="decimal"/>
      <w:lvlText w:val="%1.%2.%3.%4.%5.%6."/>
      <w:lvlJc w:val="left"/>
      <w:pPr>
        <w:ind w:left="3816" w:hanging="936"/>
      </w:pPr>
      <w:rPr>
        <w:rFonts w:hint="default"/>
      </w:rPr>
    </w:lvl>
    <w:lvl w:ilvl="6">
      <w:start w:val="1"/>
      <w:numFmt w:val="decimal"/>
      <w:lvlText w:val="%1.%2.%3.%4.%5.%6.%7."/>
      <w:lvlJc w:val="left"/>
      <w:pPr>
        <w:ind w:left="4320" w:hanging="1080"/>
      </w:pPr>
      <w:rPr>
        <w:rFonts w:hint="default"/>
      </w:rPr>
    </w:lvl>
    <w:lvl w:ilvl="7">
      <w:start w:val="1"/>
      <w:numFmt w:val="decimal"/>
      <w:lvlText w:val="%1.%2.%3.%4.%5.%6.%7.%8."/>
      <w:lvlJc w:val="left"/>
      <w:pPr>
        <w:ind w:left="4824" w:hanging="1224"/>
      </w:pPr>
      <w:rPr>
        <w:rFonts w:hint="default"/>
      </w:rPr>
    </w:lvl>
    <w:lvl w:ilvl="8">
      <w:start w:val="1"/>
      <w:numFmt w:val="decimal"/>
      <w:lvlText w:val="%1.%2.%3.%4.%5.%6.%7.%8.%9."/>
      <w:lvlJc w:val="left"/>
      <w:pPr>
        <w:ind w:left="5400" w:hanging="1440"/>
      </w:pPr>
      <w:rPr>
        <w:rFonts w:hint="default"/>
      </w:rPr>
    </w:lvl>
  </w:abstractNum>
  <w:abstractNum w:abstractNumId="22">
    <w:nsid w:val="6376711B"/>
    <w:multiLevelType w:val="multilevel"/>
    <w:tmpl w:val="7932E22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4DB702B"/>
    <w:multiLevelType w:val="hybridMultilevel"/>
    <w:tmpl w:val="C3A882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65F777CA"/>
    <w:multiLevelType w:val="hybridMultilevel"/>
    <w:tmpl w:val="51466A80"/>
    <w:lvl w:ilvl="0" w:tplc="34367344">
      <w:start w:val="1"/>
      <w:numFmt w:val="lowerLetter"/>
      <w:lvlText w:val="(%1)"/>
      <w:lvlJc w:val="left"/>
      <w:pPr>
        <w:ind w:left="2835" w:hanging="705"/>
      </w:pPr>
      <w:rPr>
        <w:rFonts w:hint="default"/>
      </w:rPr>
    </w:lvl>
    <w:lvl w:ilvl="1" w:tplc="04070019" w:tentative="1">
      <w:start w:val="1"/>
      <w:numFmt w:val="lowerLetter"/>
      <w:lvlText w:val="%2."/>
      <w:lvlJc w:val="left"/>
      <w:pPr>
        <w:ind w:left="3210" w:hanging="360"/>
      </w:pPr>
    </w:lvl>
    <w:lvl w:ilvl="2" w:tplc="0407001B" w:tentative="1">
      <w:start w:val="1"/>
      <w:numFmt w:val="lowerRoman"/>
      <w:lvlText w:val="%3."/>
      <w:lvlJc w:val="right"/>
      <w:pPr>
        <w:ind w:left="3930" w:hanging="180"/>
      </w:pPr>
    </w:lvl>
    <w:lvl w:ilvl="3" w:tplc="0407000F" w:tentative="1">
      <w:start w:val="1"/>
      <w:numFmt w:val="decimal"/>
      <w:lvlText w:val="%4."/>
      <w:lvlJc w:val="left"/>
      <w:pPr>
        <w:ind w:left="4650" w:hanging="360"/>
      </w:pPr>
    </w:lvl>
    <w:lvl w:ilvl="4" w:tplc="04070019" w:tentative="1">
      <w:start w:val="1"/>
      <w:numFmt w:val="lowerLetter"/>
      <w:lvlText w:val="%5."/>
      <w:lvlJc w:val="left"/>
      <w:pPr>
        <w:ind w:left="5370" w:hanging="360"/>
      </w:pPr>
    </w:lvl>
    <w:lvl w:ilvl="5" w:tplc="0407001B" w:tentative="1">
      <w:start w:val="1"/>
      <w:numFmt w:val="lowerRoman"/>
      <w:lvlText w:val="%6."/>
      <w:lvlJc w:val="right"/>
      <w:pPr>
        <w:ind w:left="6090" w:hanging="180"/>
      </w:pPr>
    </w:lvl>
    <w:lvl w:ilvl="6" w:tplc="0407000F" w:tentative="1">
      <w:start w:val="1"/>
      <w:numFmt w:val="decimal"/>
      <w:lvlText w:val="%7."/>
      <w:lvlJc w:val="left"/>
      <w:pPr>
        <w:ind w:left="6810" w:hanging="360"/>
      </w:pPr>
    </w:lvl>
    <w:lvl w:ilvl="7" w:tplc="04070019" w:tentative="1">
      <w:start w:val="1"/>
      <w:numFmt w:val="lowerLetter"/>
      <w:lvlText w:val="%8."/>
      <w:lvlJc w:val="left"/>
      <w:pPr>
        <w:ind w:left="7530" w:hanging="360"/>
      </w:pPr>
    </w:lvl>
    <w:lvl w:ilvl="8" w:tplc="0407001B" w:tentative="1">
      <w:start w:val="1"/>
      <w:numFmt w:val="lowerRoman"/>
      <w:lvlText w:val="%9."/>
      <w:lvlJc w:val="right"/>
      <w:pPr>
        <w:ind w:left="8250" w:hanging="180"/>
      </w:pPr>
    </w:lvl>
  </w:abstractNum>
  <w:abstractNum w:abstractNumId="25">
    <w:nsid w:val="677B143A"/>
    <w:multiLevelType w:val="hybridMultilevel"/>
    <w:tmpl w:val="4D3E9B7A"/>
    <w:lvl w:ilvl="0" w:tplc="DDBC1AE0">
      <w:start w:val="1"/>
      <w:numFmt w:val="lowerLetter"/>
      <w:lvlText w:val="(%1)"/>
      <w:lvlJc w:val="left"/>
      <w:pPr>
        <w:ind w:left="2490" w:hanging="360"/>
      </w:pPr>
      <w:rPr>
        <w:rFonts w:hint="default"/>
      </w:rPr>
    </w:lvl>
    <w:lvl w:ilvl="1" w:tplc="04070019" w:tentative="1">
      <w:start w:val="1"/>
      <w:numFmt w:val="lowerLetter"/>
      <w:lvlText w:val="%2."/>
      <w:lvlJc w:val="left"/>
      <w:pPr>
        <w:ind w:left="3210" w:hanging="360"/>
      </w:pPr>
    </w:lvl>
    <w:lvl w:ilvl="2" w:tplc="0407001B" w:tentative="1">
      <w:start w:val="1"/>
      <w:numFmt w:val="lowerRoman"/>
      <w:lvlText w:val="%3."/>
      <w:lvlJc w:val="right"/>
      <w:pPr>
        <w:ind w:left="3930" w:hanging="180"/>
      </w:pPr>
    </w:lvl>
    <w:lvl w:ilvl="3" w:tplc="0407000F" w:tentative="1">
      <w:start w:val="1"/>
      <w:numFmt w:val="decimal"/>
      <w:lvlText w:val="%4."/>
      <w:lvlJc w:val="left"/>
      <w:pPr>
        <w:ind w:left="4650" w:hanging="360"/>
      </w:pPr>
    </w:lvl>
    <w:lvl w:ilvl="4" w:tplc="04070019" w:tentative="1">
      <w:start w:val="1"/>
      <w:numFmt w:val="lowerLetter"/>
      <w:lvlText w:val="%5."/>
      <w:lvlJc w:val="left"/>
      <w:pPr>
        <w:ind w:left="5370" w:hanging="360"/>
      </w:pPr>
    </w:lvl>
    <w:lvl w:ilvl="5" w:tplc="0407001B" w:tentative="1">
      <w:start w:val="1"/>
      <w:numFmt w:val="lowerRoman"/>
      <w:lvlText w:val="%6."/>
      <w:lvlJc w:val="right"/>
      <w:pPr>
        <w:ind w:left="6090" w:hanging="180"/>
      </w:pPr>
    </w:lvl>
    <w:lvl w:ilvl="6" w:tplc="0407000F" w:tentative="1">
      <w:start w:val="1"/>
      <w:numFmt w:val="decimal"/>
      <w:lvlText w:val="%7."/>
      <w:lvlJc w:val="left"/>
      <w:pPr>
        <w:ind w:left="6810" w:hanging="360"/>
      </w:pPr>
    </w:lvl>
    <w:lvl w:ilvl="7" w:tplc="04070019" w:tentative="1">
      <w:start w:val="1"/>
      <w:numFmt w:val="lowerLetter"/>
      <w:lvlText w:val="%8."/>
      <w:lvlJc w:val="left"/>
      <w:pPr>
        <w:ind w:left="7530" w:hanging="360"/>
      </w:pPr>
    </w:lvl>
    <w:lvl w:ilvl="8" w:tplc="0407001B" w:tentative="1">
      <w:start w:val="1"/>
      <w:numFmt w:val="lowerRoman"/>
      <w:lvlText w:val="%9."/>
      <w:lvlJc w:val="right"/>
      <w:pPr>
        <w:ind w:left="8250" w:hanging="180"/>
      </w:pPr>
    </w:lvl>
  </w:abstractNum>
  <w:abstractNum w:abstractNumId="26">
    <w:nsid w:val="6AC31478"/>
    <w:multiLevelType w:val="multilevel"/>
    <w:tmpl w:val="8DF0928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7">
    <w:nsid w:val="6AF505CD"/>
    <w:multiLevelType w:val="multilevel"/>
    <w:tmpl w:val="16261D4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70A253C2"/>
    <w:multiLevelType w:val="hybridMultilevel"/>
    <w:tmpl w:val="2A1487C0"/>
    <w:lvl w:ilvl="0" w:tplc="04070001">
      <w:start w:val="1"/>
      <w:numFmt w:val="bullet"/>
      <w:lvlText w:val=""/>
      <w:lvlJc w:val="left"/>
      <w:pPr>
        <w:ind w:left="1068" w:hanging="360"/>
      </w:pPr>
      <w:rPr>
        <w:rFonts w:ascii="Symbol" w:hAnsi="Symbol" w:hint="default"/>
      </w:rPr>
    </w:lvl>
    <w:lvl w:ilvl="1" w:tplc="04070003" w:tentative="1">
      <w:start w:val="1"/>
      <w:numFmt w:val="bullet"/>
      <w:lvlText w:val="o"/>
      <w:lvlJc w:val="left"/>
      <w:pPr>
        <w:ind w:left="1788" w:hanging="360"/>
      </w:pPr>
      <w:rPr>
        <w:rFonts w:ascii="Courier New" w:hAnsi="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29">
    <w:nsid w:val="72265D54"/>
    <w:multiLevelType w:val="hybridMultilevel"/>
    <w:tmpl w:val="292CC9F8"/>
    <w:lvl w:ilvl="0" w:tplc="C57CC9E0">
      <w:start w:val="1"/>
      <w:numFmt w:val="lowerLetter"/>
      <w:lvlText w:val="(%1)"/>
      <w:lvlJc w:val="left"/>
      <w:pPr>
        <w:ind w:left="3540" w:hanging="1410"/>
      </w:pPr>
      <w:rPr>
        <w:rFonts w:hint="default"/>
      </w:rPr>
    </w:lvl>
    <w:lvl w:ilvl="1" w:tplc="04070019" w:tentative="1">
      <w:start w:val="1"/>
      <w:numFmt w:val="lowerLetter"/>
      <w:lvlText w:val="%2."/>
      <w:lvlJc w:val="left"/>
      <w:pPr>
        <w:ind w:left="3210" w:hanging="360"/>
      </w:pPr>
    </w:lvl>
    <w:lvl w:ilvl="2" w:tplc="0407001B" w:tentative="1">
      <w:start w:val="1"/>
      <w:numFmt w:val="lowerRoman"/>
      <w:lvlText w:val="%3."/>
      <w:lvlJc w:val="right"/>
      <w:pPr>
        <w:ind w:left="3930" w:hanging="180"/>
      </w:pPr>
    </w:lvl>
    <w:lvl w:ilvl="3" w:tplc="0407000F" w:tentative="1">
      <w:start w:val="1"/>
      <w:numFmt w:val="decimal"/>
      <w:lvlText w:val="%4."/>
      <w:lvlJc w:val="left"/>
      <w:pPr>
        <w:ind w:left="4650" w:hanging="360"/>
      </w:pPr>
    </w:lvl>
    <w:lvl w:ilvl="4" w:tplc="04070019" w:tentative="1">
      <w:start w:val="1"/>
      <w:numFmt w:val="lowerLetter"/>
      <w:lvlText w:val="%5."/>
      <w:lvlJc w:val="left"/>
      <w:pPr>
        <w:ind w:left="5370" w:hanging="360"/>
      </w:pPr>
    </w:lvl>
    <w:lvl w:ilvl="5" w:tplc="0407001B" w:tentative="1">
      <w:start w:val="1"/>
      <w:numFmt w:val="lowerRoman"/>
      <w:lvlText w:val="%6."/>
      <w:lvlJc w:val="right"/>
      <w:pPr>
        <w:ind w:left="6090" w:hanging="180"/>
      </w:pPr>
    </w:lvl>
    <w:lvl w:ilvl="6" w:tplc="0407000F" w:tentative="1">
      <w:start w:val="1"/>
      <w:numFmt w:val="decimal"/>
      <w:lvlText w:val="%7."/>
      <w:lvlJc w:val="left"/>
      <w:pPr>
        <w:ind w:left="6810" w:hanging="360"/>
      </w:pPr>
    </w:lvl>
    <w:lvl w:ilvl="7" w:tplc="04070019" w:tentative="1">
      <w:start w:val="1"/>
      <w:numFmt w:val="lowerLetter"/>
      <w:lvlText w:val="%8."/>
      <w:lvlJc w:val="left"/>
      <w:pPr>
        <w:ind w:left="7530" w:hanging="360"/>
      </w:pPr>
    </w:lvl>
    <w:lvl w:ilvl="8" w:tplc="0407001B" w:tentative="1">
      <w:start w:val="1"/>
      <w:numFmt w:val="lowerRoman"/>
      <w:lvlText w:val="%9."/>
      <w:lvlJc w:val="right"/>
      <w:pPr>
        <w:ind w:left="8250" w:hanging="180"/>
      </w:pPr>
    </w:lvl>
  </w:abstractNum>
  <w:abstractNum w:abstractNumId="30">
    <w:nsid w:val="72A45DA2"/>
    <w:multiLevelType w:val="multilevel"/>
    <w:tmpl w:val="481EFAB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1">
    <w:nsid w:val="736F30EC"/>
    <w:multiLevelType w:val="multilevel"/>
    <w:tmpl w:val="0407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nsid w:val="745665FE"/>
    <w:multiLevelType w:val="multilevel"/>
    <w:tmpl w:val="072EAC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78C44674"/>
    <w:multiLevelType w:val="multilevel"/>
    <w:tmpl w:val="F2AC77FA"/>
    <w:lvl w:ilvl="0">
      <w:start w:val="1"/>
      <w:numFmt w:val="decimal"/>
      <w:lvlText w:val="%1."/>
      <w:lvlJc w:val="left"/>
      <w:pPr>
        <w:ind w:left="1440" w:hanging="360"/>
      </w:pPr>
      <w:rPr>
        <w:rFonts w:hint="default"/>
      </w:rPr>
    </w:lvl>
    <w:lvl w:ilvl="1">
      <w:start w:val="1"/>
      <w:numFmt w:val="decimal"/>
      <w:lvlText w:val="%1.%2."/>
      <w:lvlJc w:val="left"/>
      <w:pPr>
        <w:ind w:left="1872" w:hanging="432"/>
      </w:pPr>
      <w:rPr>
        <w:rFonts w:hint="default"/>
      </w:rPr>
    </w:lvl>
    <w:lvl w:ilvl="2">
      <w:start w:val="1"/>
      <w:numFmt w:val="decimal"/>
      <w:lvlText w:val="%1.%2.%3."/>
      <w:lvlJc w:val="left"/>
      <w:pPr>
        <w:ind w:left="2304" w:hanging="504"/>
      </w:pPr>
      <w:rPr>
        <w:rFonts w:hint="default"/>
      </w:rPr>
    </w:lvl>
    <w:lvl w:ilvl="3">
      <w:start w:val="1"/>
      <w:numFmt w:val="decimal"/>
      <w:lvlRestart w:val="0"/>
      <w:lvlText w:val="%1.%2.%3.%4."/>
      <w:lvlJc w:val="left"/>
      <w:pPr>
        <w:ind w:left="2808" w:hanging="648"/>
      </w:pPr>
      <w:rPr>
        <w:rFonts w:hint="default"/>
      </w:rPr>
    </w:lvl>
    <w:lvl w:ilvl="4">
      <w:start w:val="1"/>
      <w:numFmt w:val="decimal"/>
      <w:lvlText w:val="%1.%2.%3.%4.%5."/>
      <w:lvlJc w:val="left"/>
      <w:pPr>
        <w:ind w:left="3312" w:hanging="792"/>
      </w:pPr>
      <w:rPr>
        <w:rFonts w:hint="default"/>
      </w:rPr>
    </w:lvl>
    <w:lvl w:ilvl="5">
      <w:start w:val="1"/>
      <w:numFmt w:val="decimal"/>
      <w:lvlText w:val="%1.%2.%3.%4.%5.%6."/>
      <w:lvlJc w:val="left"/>
      <w:pPr>
        <w:ind w:left="3816" w:hanging="936"/>
      </w:pPr>
      <w:rPr>
        <w:rFonts w:hint="default"/>
      </w:rPr>
    </w:lvl>
    <w:lvl w:ilvl="6">
      <w:start w:val="1"/>
      <w:numFmt w:val="decimal"/>
      <w:lvlText w:val="%1.%2.%3.%4.%5.%6.%7."/>
      <w:lvlJc w:val="left"/>
      <w:pPr>
        <w:ind w:left="4320" w:hanging="1080"/>
      </w:pPr>
      <w:rPr>
        <w:rFonts w:hint="default"/>
      </w:rPr>
    </w:lvl>
    <w:lvl w:ilvl="7">
      <w:start w:val="1"/>
      <w:numFmt w:val="decimal"/>
      <w:lvlText w:val="%1.%2.%3.%4.%5.%6.%7.%8."/>
      <w:lvlJc w:val="left"/>
      <w:pPr>
        <w:ind w:left="4824" w:hanging="1224"/>
      </w:pPr>
      <w:rPr>
        <w:rFonts w:hint="default"/>
      </w:rPr>
    </w:lvl>
    <w:lvl w:ilvl="8">
      <w:start w:val="1"/>
      <w:numFmt w:val="decimal"/>
      <w:lvlText w:val="%1.%2.%3.%4.%5.%6.%7.%8.%9."/>
      <w:lvlJc w:val="left"/>
      <w:pPr>
        <w:ind w:left="5400" w:hanging="1440"/>
      </w:pPr>
      <w:rPr>
        <w:rFonts w:hint="default"/>
      </w:rPr>
    </w:lvl>
  </w:abstractNum>
  <w:num w:numId="1">
    <w:abstractNumId w:val="16"/>
  </w:num>
  <w:num w:numId="2">
    <w:abstractNumId w:val="0"/>
  </w:num>
  <w:num w:numId="3">
    <w:abstractNumId w:val="1"/>
  </w:num>
  <w:num w:numId="4">
    <w:abstractNumId w:val="32"/>
  </w:num>
  <w:num w:numId="5">
    <w:abstractNumId w:val="22"/>
  </w:num>
  <w:num w:numId="6">
    <w:abstractNumId w:val="9"/>
  </w:num>
  <w:num w:numId="7">
    <w:abstractNumId w:val="14"/>
  </w:num>
  <w:num w:numId="8">
    <w:abstractNumId w:val="33"/>
  </w:num>
  <w:num w:numId="9">
    <w:abstractNumId w:val="17"/>
  </w:num>
  <w:num w:numId="10">
    <w:abstractNumId w:val="12"/>
  </w:num>
  <w:num w:numId="11">
    <w:abstractNumId w:val="4"/>
  </w:num>
  <w:num w:numId="12">
    <w:abstractNumId w:val="21"/>
  </w:num>
  <w:num w:numId="13">
    <w:abstractNumId w:val="5"/>
  </w:num>
  <w:num w:numId="14">
    <w:abstractNumId w:val="11"/>
  </w:num>
  <w:num w:numId="15">
    <w:abstractNumId w:val="23"/>
  </w:num>
  <w:num w:numId="16">
    <w:abstractNumId w:val="10"/>
  </w:num>
  <w:num w:numId="17">
    <w:abstractNumId w:val="8"/>
  </w:num>
  <w:num w:numId="18">
    <w:abstractNumId w:val="25"/>
  </w:num>
  <w:num w:numId="19">
    <w:abstractNumId w:val="6"/>
  </w:num>
  <w:num w:numId="20">
    <w:abstractNumId w:val="24"/>
  </w:num>
  <w:num w:numId="21">
    <w:abstractNumId w:val="29"/>
  </w:num>
  <w:num w:numId="22">
    <w:abstractNumId w:val="18"/>
  </w:num>
  <w:num w:numId="23">
    <w:abstractNumId w:val="26"/>
  </w:num>
  <w:num w:numId="24">
    <w:abstractNumId w:val="3"/>
  </w:num>
  <w:num w:numId="25">
    <w:abstractNumId w:val="30"/>
  </w:num>
  <w:num w:numId="26">
    <w:abstractNumId w:val="13"/>
  </w:num>
  <w:num w:numId="27">
    <w:abstractNumId w:val="19"/>
  </w:num>
  <w:num w:numId="28">
    <w:abstractNumId w:val="20"/>
  </w:num>
  <w:num w:numId="29">
    <w:abstractNumId w:val="28"/>
  </w:num>
  <w:num w:numId="30">
    <w:abstractNumId w:val="7"/>
  </w:num>
  <w:num w:numId="31">
    <w:abstractNumId w:val="2"/>
  </w:num>
  <w:num w:numId="32">
    <w:abstractNumId w:val="15"/>
  </w:num>
  <w:num w:numId="33">
    <w:abstractNumId w:val="27"/>
  </w:num>
  <w:num w:numId="3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hideSpellingErrors/>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4101"/>
    <o:shapelayout v:ext="edit">
      <o:idmap v:ext="edit" data="4"/>
    </o:shapelayout>
  </w:hdrShapeDefaults>
  <w:footnotePr>
    <w:footnote w:id="-1"/>
    <w:footnote w:id="0"/>
  </w:footnotePr>
  <w:endnotePr>
    <w:numFmt w:val="decimal"/>
    <w:endnote w:id="-1"/>
    <w:endnote w:id="0"/>
  </w:endnotePr>
  <w:compat>
    <w:compatSetting w:name="compatibilityMode" w:uri="http://schemas.microsoft.com/office/word" w:val="12"/>
  </w:compat>
  <w:docVars>
    <w:docVar w:name="MacDisableGlyphATSUI" w:val="0"/>
  </w:docVars>
  <w:rsids>
    <w:rsidRoot w:val="00391870"/>
    <w:rsid w:val="00000568"/>
    <w:rsid w:val="00000D99"/>
    <w:rsid w:val="00001916"/>
    <w:rsid w:val="00001E43"/>
    <w:rsid w:val="000023F6"/>
    <w:rsid w:val="0000377A"/>
    <w:rsid w:val="0000409E"/>
    <w:rsid w:val="00004346"/>
    <w:rsid w:val="00005099"/>
    <w:rsid w:val="00006D9C"/>
    <w:rsid w:val="000070F3"/>
    <w:rsid w:val="00007689"/>
    <w:rsid w:val="00010404"/>
    <w:rsid w:val="00010BEE"/>
    <w:rsid w:val="00011005"/>
    <w:rsid w:val="00011318"/>
    <w:rsid w:val="000139C0"/>
    <w:rsid w:val="00013C7A"/>
    <w:rsid w:val="00014260"/>
    <w:rsid w:val="00014CA8"/>
    <w:rsid w:val="00015466"/>
    <w:rsid w:val="0001610B"/>
    <w:rsid w:val="00016794"/>
    <w:rsid w:val="00016B33"/>
    <w:rsid w:val="00016C66"/>
    <w:rsid w:val="00016F57"/>
    <w:rsid w:val="000177AA"/>
    <w:rsid w:val="00020319"/>
    <w:rsid w:val="00020E10"/>
    <w:rsid w:val="00021667"/>
    <w:rsid w:val="00022AAE"/>
    <w:rsid w:val="00024A25"/>
    <w:rsid w:val="000251EC"/>
    <w:rsid w:val="0002544D"/>
    <w:rsid w:val="00025912"/>
    <w:rsid w:val="0002621B"/>
    <w:rsid w:val="00026465"/>
    <w:rsid w:val="0003082E"/>
    <w:rsid w:val="00030E18"/>
    <w:rsid w:val="00031AE9"/>
    <w:rsid w:val="0003226E"/>
    <w:rsid w:val="00032599"/>
    <w:rsid w:val="00032AD6"/>
    <w:rsid w:val="00033C9B"/>
    <w:rsid w:val="00034D61"/>
    <w:rsid w:val="00035EA0"/>
    <w:rsid w:val="0003615C"/>
    <w:rsid w:val="00036226"/>
    <w:rsid w:val="000367D8"/>
    <w:rsid w:val="00040215"/>
    <w:rsid w:val="00040533"/>
    <w:rsid w:val="000406CC"/>
    <w:rsid w:val="00040E17"/>
    <w:rsid w:val="00041AA7"/>
    <w:rsid w:val="00041C0E"/>
    <w:rsid w:val="00041CF0"/>
    <w:rsid w:val="00041EE6"/>
    <w:rsid w:val="00041FCE"/>
    <w:rsid w:val="00042546"/>
    <w:rsid w:val="00044C01"/>
    <w:rsid w:val="00045315"/>
    <w:rsid w:val="00045A17"/>
    <w:rsid w:val="00045BC0"/>
    <w:rsid w:val="00045C9F"/>
    <w:rsid w:val="000460FB"/>
    <w:rsid w:val="00047513"/>
    <w:rsid w:val="00047934"/>
    <w:rsid w:val="000500C1"/>
    <w:rsid w:val="0005011F"/>
    <w:rsid w:val="000527F3"/>
    <w:rsid w:val="00052B7D"/>
    <w:rsid w:val="000535DB"/>
    <w:rsid w:val="000545B3"/>
    <w:rsid w:val="000550BE"/>
    <w:rsid w:val="000564D5"/>
    <w:rsid w:val="00056BF1"/>
    <w:rsid w:val="0005711F"/>
    <w:rsid w:val="00057BAF"/>
    <w:rsid w:val="00060244"/>
    <w:rsid w:val="000612BB"/>
    <w:rsid w:val="0006266E"/>
    <w:rsid w:val="0006270E"/>
    <w:rsid w:val="00062A48"/>
    <w:rsid w:val="00062BDD"/>
    <w:rsid w:val="00063874"/>
    <w:rsid w:val="00063926"/>
    <w:rsid w:val="00063B13"/>
    <w:rsid w:val="00063FDA"/>
    <w:rsid w:val="0006407F"/>
    <w:rsid w:val="00064F9B"/>
    <w:rsid w:val="000654BF"/>
    <w:rsid w:val="00065611"/>
    <w:rsid w:val="00066733"/>
    <w:rsid w:val="00067A86"/>
    <w:rsid w:val="0007000C"/>
    <w:rsid w:val="0007004F"/>
    <w:rsid w:val="00070B25"/>
    <w:rsid w:val="00070F0A"/>
    <w:rsid w:val="00071063"/>
    <w:rsid w:val="00071D7E"/>
    <w:rsid w:val="00072586"/>
    <w:rsid w:val="000726D9"/>
    <w:rsid w:val="00074A05"/>
    <w:rsid w:val="00074C69"/>
    <w:rsid w:val="0007516B"/>
    <w:rsid w:val="00075C53"/>
    <w:rsid w:val="00076153"/>
    <w:rsid w:val="000766F6"/>
    <w:rsid w:val="00076969"/>
    <w:rsid w:val="00076E9C"/>
    <w:rsid w:val="00077E38"/>
    <w:rsid w:val="0008041E"/>
    <w:rsid w:val="00080FF0"/>
    <w:rsid w:val="0008182E"/>
    <w:rsid w:val="000824E1"/>
    <w:rsid w:val="00082523"/>
    <w:rsid w:val="0008253F"/>
    <w:rsid w:val="00082B03"/>
    <w:rsid w:val="00084090"/>
    <w:rsid w:val="000848A4"/>
    <w:rsid w:val="000852A0"/>
    <w:rsid w:val="00085499"/>
    <w:rsid w:val="00085908"/>
    <w:rsid w:val="000859BB"/>
    <w:rsid w:val="00085EB3"/>
    <w:rsid w:val="0008627D"/>
    <w:rsid w:val="00086695"/>
    <w:rsid w:val="00086A02"/>
    <w:rsid w:val="0008744C"/>
    <w:rsid w:val="000875B0"/>
    <w:rsid w:val="00090AB0"/>
    <w:rsid w:val="000932DF"/>
    <w:rsid w:val="000934AE"/>
    <w:rsid w:val="000939E1"/>
    <w:rsid w:val="000940C7"/>
    <w:rsid w:val="00094CBC"/>
    <w:rsid w:val="00095C0D"/>
    <w:rsid w:val="00095DCC"/>
    <w:rsid w:val="00096D94"/>
    <w:rsid w:val="0009705C"/>
    <w:rsid w:val="00097B32"/>
    <w:rsid w:val="000A0566"/>
    <w:rsid w:val="000A1C05"/>
    <w:rsid w:val="000A22E2"/>
    <w:rsid w:val="000A2DCC"/>
    <w:rsid w:val="000A30C5"/>
    <w:rsid w:val="000A3505"/>
    <w:rsid w:val="000A35A2"/>
    <w:rsid w:val="000A35C3"/>
    <w:rsid w:val="000A378A"/>
    <w:rsid w:val="000A40D5"/>
    <w:rsid w:val="000A4F8F"/>
    <w:rsid w:val="000A614D"/>
    <w:rsid w:val="000A6444"/>
    <w:rsid w:val="000A6796"/>
    <w:rsid w:val="000A695C"/>
    <w:rsid w:val="000A69E1"/>
    <w:rsid w:val="000A73AE"/>
    <w:rsid w:val="000A7F36"/>
    <w:rsid w:val="000B0D4A"/>
    <w:rsid w:val="000B17F4"/>
    <w:rsid w:val="000B1A5B"/>
    <w:rsid w:val="000B2388"/>
    <w:rsid w:val="000B367D"/>
    <w:rsid w:val="000B495F"/>
    <w:rsid w:val="000B4C9C"/>
    <w:rsid w:val="000B4E44"/>
    <w:rsid w:val="000B55BD"/>
    <w:rsid w:val="000B7416"/>
    <w:rsid w:val="000B7996"/>
    <w:rsid w:val="000B7ED8"/>
    <w:rsid w:val="000C031C"/>
    <w:rsid w:val="000C03D1"/>
    <w:rsid w:val="000C0E90"/>
    <w:rsid w:val="000C1175"/>
    <w:rsid w:val="000C2F96"/>
    <w:rsid w:val="000C366E"/>
    <w:rsid w:val="000C397A"/>
    <w:rsid w:val="000C39B6"/>
    <w:rsid w:val="000C44B6"/>
    <w:rsid w:val="000C522C"/>
    <w:rsid w:val="000C5374"/>
    <w:rsid w:val="000C56EF"/>
    <w:rsid w:val="000C5D51"/>
    <w:rsid w:val="000C62C8"/>
    <w:rsid w:val="000C67C3"/>
    <w:rsid w:val="000C6826"/>
    <w:rsid w:val="000C6C74"/>
    <w:rsid w:val="000C7288"/>
    <w:rsid w:val="000D0893"/>
    <w:rsid w:val="000D0AFC"/>
    <w:rsid w:val="000D3475"/>
    <w:rsid w:val="000D3514"/>
    <w:rsid w:val="000D393C"/>
    <w:rsid w:val="000D3F0B"/>
    <w:rsid w:val="000D44E0"/>
    <w:rsid w:val="000D47E5"/>
    <w:rsid w:val="000D4C16"/>
    <w:rsid w:val="000D4D5C"/>
    <w:rsid w:val="000D5823"/>
    <w:rsid w:val="000D5DF2"/>
    <w:rsid w:val="000D5F55"/>
    <w:rsid w:val="000D60DA"/>
    <w:rsid w:val="000E0E5F"/>
    <w:rsid w:val="000E21A8"/>
    <w:rsid w:val="000E325E"/>
    <w:rsid w:val="000E3A9E"/>
    <w:rsid w:val="000E3AB8"/>
    <w:rsid w:val="000E4156"/>
    <w:rsid w:val="000E4F5E"/>
    <w:rsid w:val="000E505F"/>
    <w:rsid w:val="000E5204"/>
    <w:rsid w:val="000E57FB"/>
    <w:rsid w:val="000E58DC"/>
    <w:rsid w:val="000E60F9"/>
    <w:rsid w:val="000E75A9"/>
    <w:rsid w:val="000F022C"/>
    <w:rsid w:val="000F07CD"/>
    <w:rsid w:val="000F0ACB"/>
    <w:rsid w:val="000F11A3"/>
    <w:rsid w:val="000F2617"/>
    <w:rsid w:val="000F3452"/>
    <w:rsid w:val="000F378C"/>
    <w:rsid w:val="000F6861"/>
    <w:rsid w:val="000F6C75"/>
    <w:rsid w:val="000F6E28"/>
    <w:rsid w:val="000F6F2F"/>
    <w:rsid w:val="000F7821"/>
    <w:rsid w:val="000F7E0E"/>
    <w:rsid w:val="00100131"/>
    <w:rsid w:val="00100B81"/>
    <w:rsid w:val="00101268"/>
    <w:rsid w:val="00101927"/>
    <w:rsid w:val="00101ED5"/>
    <w:rsid w:val="001025F6"/>
    <w:rsid w:val="001028E5"/>
    <w:rsid w:val="0010329F"/>
    <w:rsid w:val="001032DA"/>
    <w:rsid w:val="00103AF7"/>
    <w:rsid w:val="0010442C"/>
    <w:rsid w:val="00104942"/>
    <w:rsid w:val="00104984"/>
    <w:rsid w:val="00104D57"/>
    <w:rsid w:val="00105C71"/>
    <w:rsid w:val="00105E6B"/>
    <w:rsid w:val="00106BF9"/>
    <w:rsid w:val="001077A2"/>
    <w:rsid w:val="00111446"/>
    <w:rsid w:val="00111CB7"/>
    <w:rsid w:val="00113630"/>
    <w:rsid w:val="001138F4"/>
    <w:rsid w:val="0011417A"/>
    <w:rsid w:val="001143EB"/>
    <w:rsid w:val="00115158"/>
    <w:rsid w:val="00115A6A"/>
    <w:rsid w:val="00115E18"/>
    <w:rsid w:val="00115E8C"/>
    <w:rsid w:val="001162E4"/>
    <w:rsid w:val="00117243"/>
    <w:rsid w:val="0012063F"/>
    <w:rsid w:val="001207E1"/>
    <w:rsid w:val="00120AAF"/>
    <w:rsid w:val="00120F00"/>
    <w:rsid w:val="00121746"/>
    <w:rsid w:val="0012344B"/>
    <w:rsid w:val="0012384C"/>
    <w:rsid w:val="00124A30"/>
    <w:rsid w:val="00124E53"/>
    <w:rsid w:val="00125E49"/>
    <w:rsid w:val="00126B25"/>
    <w:rsid w:val="00126BAA"/>
    <w:rsid w:val="00127053"/>
    <w:rsid w:val="001271E0"/>
    <w:rsid w:val="00127DF2"/>
    <w:rsid w:val="00130345"/>
    <w:rsid w:val="00130DCC"/>
    <w:rsid w:val="00130EC7"/>
    <w:rsid w:val="001317EB"/>
    <w:rsid w:val="00131EC8"/>
    <w:rsid w:val="00132B28"/>
    <w:rsid w:val="00133A31"/>
    <w:rsid w:val="001351BB"/>
    <w:rsid w:val="00135B84"/>
    <w:rsid w:val="00136714"/>
    <w:rsid w:val="00137F91"/>
    <w:rsid w:val="0014085F"/>
    <w:rsid w:val="001409D0"/>
    <w:rsid w:val="00140BE2"/>
    <w:rsid w:val="00140C8D"/>
    <w:rsid w:val="0014189B"/>
    <w:rsid w:val="00141EFA"/>
    <w:rsid w:val="0014395F"/>
    <w:rsid w:val="00144FFB"/>
    <w:rsid w:val="00145EAF"/>
    <w:rsid w:val="00146597"/>
    <w:rsid w:val="00146DD9"/>
    <w:rsid w:val="00147EE0"/>
    <w:rsid w:val="001504B3"/>
    <w:rsid w:val="00151D45"/>
    <w:rsid w:val="00152512"/>
    <w:rsid w:val="00152921"/>
    <w:rsid w:val="00152F85"/>
    <w:rsid w:val="0015379B"/>
    <w:rsid w:val="001539E5"/>
    <w:rsid w:val="00154E9D"/>
    <w:rsid w:val="00155A60"/>
    <w:rsid w:val="00156B32"/>
    <w:rsid w:val="00156D9E"/>
    <w:rsid w:val="00157851"/>
    <w:rsid w:val="00157A58"/>
    <w:rsid w:val="00157DF9"/>
    <w:rsid w:val="00160386"/>
    <w:rsid w:val="001607D2"/>
    <w:rsid w:val="00160F18"/>
    <w:rsid w:val="00161701"/>
    <w:rsid w:val="00162E9D"/>
    <w:rsid w:val="001630B5"/>
    <w:rsid w:val="001632A1"/>
    <w:rsid w:val="0016342E"/>
    <w:rsid w:val="00163452"/>
    <w:rsid w:val="00163573"/>
    <w:rsid w:val="00163E55"/>
    <w:rsid w:val="00164B7D"/>
    <w:rsid w:val="00164E24"/>
    <w:rsid w:val="001651EE"/>
    <w:rsid w:val="0016520F"/>
    <w:rsid w:val="001652C6"/>
    <w:rsid w:val="0016618A"/>
    <w:rsid w:val="00166A66"/>
    <w:rsid w:val="00167651"/>
    <w:rsid w:val="00171320"/>
    <w:rsid w:val="001715FD"/>
    <w:rsid w:val="00171EB1"/>
    <w:rsid w:val="00171ECF"/>
    <w:rsid w:val="00171F86"/>
    <w:rsid w:val="00172526"/>
    <w:rsid w:val="0017279D"/>
    <w:rsid w:val="00172F5C"/>
    <w:rsid w:val="001758C6"/>
    <w:rsid w:val="001759B7"/>
    <w:rsid w:val="00176D30"/>
    <w:rsid w:val="00176FD4"/>
    <w:rsid w:val="001778CF"/>
    <w:rsid w:val="001813F2"/>
    <w:rsid w:val="00182157"/>
    <w:rsid w:val="001828CE"/>
    <w:rsid w:val="00182B86"/>
    <w:rsid w:val="001846EA"/>
    <w:rsid w:val="00184835"/>
    <w:rsid w:val="00184E2A"/>
    <w:rsid w:val="00185271"/>
    <w:rsid w:val="001856C4"/>
    <w:rsid w:val="0018589B"/>
    <w:rsid w:val="00185AF7"/>
    <w:rsid w:val="00186C2E"/>
    <w:rsid w:val="00187366"/>
    <w:rsid w:val="00187D81"/>
    <w:rsid w:val="0019024B"/>
    <w:rsid w:val="00190DCB"/>
    <w:rsid w:val="00190F2E"/>
    <w:rsid w:val="001912DF"/>
    <w:rsid w:val="00193D15"/>
    <w:rsid w:val="00194EC5"/>
    <w:rsid w:val="0019688E"/>
    <w:rsid w:val="00196971"/>
    <w:rsid w:val="00196EDE"/>
    <w:rsid w:val="0019707A"/>
    <w:rsid w:val="0019717F"/>
    <w:rsid w:val="001971FF"/>
    <w:rsid w:val="00197D90"/>
    <w:rsid w:val="001A1254"/>
    <w:rsid w:val="001A31B7"/>
    <w:rsid w:val="001A3588"/>
    <w:rsid w:val="001A4967"/>
    <w:rsid w:val="001A54D7"/>
    <w:rsid w:val="001A572F"/>
    <w:rsid w:val="001A6528"/>
    <w:rsid w:val="001A6BA1"/>
    <w:rsid w:val="001A6E90"/>
    <w:rsid w:val="001A6F89"/>
    <w:rsid w:val="001B07B5"/>
    <w:rsid w:val="001B11D7"/>
    <w:rsid w:val="001B1341"/>
    <w:rsid w:val="001B1798"/>
    <w:rsid w:val="001B186A"/>
    <w:rsid w:val="001B197D"/>
    <w:rsid w:val="001B1A82"/>
    <w:rsid w:val="001B233D"/>
    <w:rsid w:val="001B2E0E"/>
    <w:rsid w:val="001B2EAA"/>
    <w:rsid w:val="001B340D"/>
    <w:rsid w:val="001B5EA6"/>
    <w:rsid w:val="001B6398"/>
    <w:rsid w:val="001B6D02"/>
    <w:rsid w:val="001B760E"/>
    <w:rsid w:val="001B7774"/>
    <w:rsid w:val="001C03BA"/>
    <w:rsid w:val="001C138D"/>
    <w:rsid w:val="001C1628"/>
    <w:rsid w:val="001C21EF"/>
    <w:rsid w:val="001C22D7"/>
    <w:rsid w:val="001C23FC"/>
    <w:rsid w:val="001C2AA6"/>
    <w:rsid w:val="001C38F8"/>
    <w:rsid w:val="001C4483"/>
    <w:rsid w:val="001C44ED"/>
    <w:rsid w:val="001C498F"/>
    <w:rsid w:val="001C4B61"/>
    <w:rsid w:val="001C4F2D"/>
    <w:rsid w:val="001C5DC4"/>
    <w:rsid w:val="001C6474"/>
    <w:rsid w:val="001C6849"/>
    <w:rsid w:val="001C71B0"/>
    <w:rsid w:val="001D050F"/>
    <w:rsid w:val="001D05EB"/>
    <w:rsid w:val="001D0806"/>
    <w:rsid w:val="001D0B18"/>
    <w:rsid w:val="001D1029"/>
    <w:rsid w:val="001D1096"/>
    <w:rsid w:val="001D13BF"/>
    <w:rsid w:val="001D19A7"/>
    <w:rsid w:val="001D1AE3"/>
    <w:rsid w:val="001D29D2"/>
    <w:rsid w:val="001D2E4F"/>
    <w:rsid w:val="001D310C"/>
    <w:rsid w:val="001D3380"/>
    <w:rsid w:val="001D367F"/>
    <w:rsid w:val="001D3823"/>
    <w:rsid w:val="001D4120"/>
    <w:rsid w:val="001D4B18"/>
    <w:rsid w:val="001D5874"/>
    <w:rsid w:val="001D6D31"/>
    <w:rsid w:val="001D701F"/>
    <w:rsid w:val="001D74A6"/>
    <w:rsid w:val="001E034E"/>
    <w:rsid w:val="001E12E7"/>
    <w:rsid w:val="001E1F5D"/>
    <w:rsid w:val="001E3898"/>
    <w:rsid w:val="001E4C59"/>
    <w:rsid w:val="001E5003"/>
    <w:rsid w:val="001E56FD"/>
    <w:rsid w:val="001E6561"/>
    <w:rsid w:val="001E7252"/>
    <w:rsid w:val="001E735E"/>
    <w:rsid w:val="001E783C"/>
    <w:rsid w:val="001E7C44"/>
    <w:rsid w:val="001F0005"/>
    <w:rsid w:val="001F000B"/>
    <w:rsid w:val="001F05E1"/>
    <w:rsid w:val="001F1263"/>
    <w:rsid w:val="001F1364"/>
    <w:rsid w:val="001F35E2"/>
    <w:rsid w:val="001F364A"/>
    <w:rsid w:val="001F4C93"/>
    <w:rsid w:val="001F5583"/>
    <w:rsid w:val="001F5F2B"/>
    <w:rsid w:val="001F5F60"/>
    <w:rsid w:val="00200060"/>
    <w:rsid w:val="002006C5"/>
    <w:rsid w:val="0020154F"/>
    <w:rsid w:val="0020196D"/>
    <w:rsid w:val="0020306C"/>
    <w:rsid w:val="00203349"/>
    <w:rsid w:val="00204547"/>
    <w:rsid w:val="00204A88"/>
    <w:rsid w:val="00206D30"/>
    <w:rsid w:val="00207831"/>
    <w:rsid w:val="00207859"/>
    <w:rsid w:val="00207E4F"/>
    <w:rsid w:val="00207EB1"/>
    <w:rsid w:val="0021290A"/>
    <w:rsid w:val="002137F1"/>
    <w:rsid w:val="00213ED1"/>
    <w:rsid w:val="002141C2"/>
    <w:rsid w:val="0021506B"/>
    <w:rsid w:val="00215EBA"/>
    <w:rsid w:val="002161BE"/>
    <w:rsid w:val="0021622B"/>
    <w:rsid w:val="00216741"/>
    <w:rsid w:val="00223E01"/>
    <w:rsid w:val="002243E9"/>
    <w:rsid w:val="00224DD0"/>
    <w:rsid w:val="00225184"/>
    <w:rsid w:val="002304F3"/>
    <w:rsid w:val="0023137F"/>
    <w:rsid w:val="002315A7"/>
    <w:rsid w:val="0023160A"/>
    <w:rsid w:val="00232E73"/>
    <w:rsid w:val="00233519"/>
    <w:rsid w:val="002337B0"/>
    <w:rsid w:val="002347BF"/>
    <w:rsid w:val="0023645E"/>
    <w:rsid w:val="002367E6"/>
    <w:rsid w:val="0023721A"/>
    <w:rsid w:val="00237350"/>
    <w:rsid w:val="002407AD"/>
    <w:rsid w:val="00241838"/>
    <w:rsid w:val="00241B2A"/>
    <w:rsid w:val="00242C12"/>
    <w:rsid w:val="00242CDF"/>
    <w:rsid w:val="00244150"/>
    <w:rsid w:val="00244604"/>
    <w:rsid w:val="0024469D"/>
    <w:rsid w:val="00244C72"/>
    <w:rsid w:val="00244D25"/>
    <w:rsid w:val="002450DC"/>
    <w:rsid w:val="002452AD"/>
    <w:rsid w:val="002457E0"/>
    <w:rsid w:val="0024599C"/>
    <w:rsid w:val="00245AEA"/>
    <w:rsid w:val="002461E0"/>
    <w:rsid w:val="0024687E"/>
    <w:rsid w:val="00250BED"/>
    <w:rsid w:val="00250D23"/>
    <w:rsid w:val="002510FA"/>
    <w:rsid w:val="00251133"/>
    <w:rsid w:val="00251874"/>
    <w:rsid w:val="00252861"/>
    <w:rsid w:val="00253003"/>
    <w:rsid w:val="0025378F"/>
    <w:rsid w:val="00254858"/>
    <w:rsid w:val="00254AF2"/>
    <w:rsid w:val="002550DF"/>
    <w:rsid w:val="00255578"/>
    <w:rsid w:val="002555F3"/>
    <w:rsid w:val="00255B17"/>
    <w:rsid w:val="00255D02"/>
    <w:rsid w:val="00256490"/>
    <w:rsid w:val="002567C2"/>
    <w:rsid w:val="00256AA4"/>
    <w:rsid w:val="002572EA"/>
    <w:rsid w:val="002578FE"/>
    <w:rsid w:val="0026009E"/>
    <w:rsid w:val="0026025C"/>
    <w:rsid w:val="00260505"/>
    <w:rsid w:val="00260B8F"/>
    <w:rsid w:val="00260E13"/>
    <w:rsid w:val="00261C48"/>
    <w:rsid w:val="00262229"/>
    <w:rsid w:val="002627F7"/>
    <w:rsid w:val="00262CA1"/>
    <w:rsid w:val="00262D0B"/>
    <w:rsid w:val="0026350F"/>
    <w:rsid w:val="002635B7"/>
    <w:rsid w:val="0026515B"/>
    <w:rsid w:val="00265668"/>
    <w:rsid w:val="00267279"/>
    <w:rsid w:val="00270279"/>
    <w:rsid w:val="00270CB1"/>
    <w:rsid w:val="00272680"/>
    <w:rsid w:val="0027358C"/>
    <w:rsid w:val="00273F43"/>
    <w:rsid w:val="0027426E"/>
    <w:rsid w:val="002743A5"/>
    <w:rsid w:val="00274E42"/>
    <w:rsid w:val="00274E56"/>
    <w:rsid w:val="002759E7"/>
    <w:rsid w:val="00275EFC"/>
    <w:rsid w:val="00276583"/>
    <w:rsid w:val="00276636"/>
    <w:rsid w:val="002806F7"/>
    <w:rsid w:val="00280E97"/>
    <w:rsid w:val="002812FC"/>
    <w:rsid w:val="00281647"/>
    <w:rsid w:val="00281C03"/>
    <w:rsid w:val="002821D4"/>
    <w:rsid w:val="00282EFC"/>
    <w:rsid w:val="00283B79"/>
    <w:rsid w:val="002844AC"/>
    <w:rsid w:val="00287A42"/>
    <w:rsid w:val="00290923"/>
    <w:rsid w:val="00290F01"/>
    <w:rsid w:val="0029144F"/>
    <w:rsid w:val="00292200"/>
    <w:rsid w:val="00292326"/>
    <w:rsid w:val="00292C41"/>
    <w:rsid w:val="002938EE"/>
    <w:rsid w:val="00293B04"/>
    <w:rsid w:val="00293D74"/>
    <w:rsid w:val="00293F8B"/>
    <w:rsid w:val="00294084"/>
    <w:rsid w:val="00294AB2"/>
    <w:rsid w:val="00295491"/>
    <w:rsid w:val="002958AE"/>
    <w:rsid w:val="00295A0B"/>
    <w:rsid w:val="002A02C2"/>
    <w:rsid w:val="002A1B5B"/>
    <w:rsid w:val="002A1EB1"/>
    <w:rsid w:val="002A2681"/>
    <w:rsid w:val="002A27BB"/>
    <w:rsid w:val="002A2ED8"/>
    <w:rsid w:val="002A310F"/>
    <w:rsid w:val="002A3C8D"/>
    <w:rsid w:val="002A520F"/>
    <w:rsid w:val="002A53DD"/>
    <w:rsid w:val="002A6B04"/>
    <w:rsid w:val="002A6BC3"/>
    <w:rsid w:val="002B095D"/>
    <w:rsid w:val="002B0FD3"/>
    <w:rsid w:val="002B14F1"/>
    <w:rsid w:val="002B1802"/>
    <w:rsid w:val="002B3AE4"/>
    <w:rsid w:val="002B3D11"/>
    <w:rsid w:val="002B5036"/>
    <w:rsid w:val="002B578D"/>
    <w:rsid w:val="002B6776"/>
    <w:rsid w:val="002B7EE0"/>
    <w:rsid w:val="002C0C50"/>
    <w:rsid w:val="002C1925"/>
    <w:rsid w:val="002C1F56"/>
    <w:rsid w:val="002C2C74"/>
    <w:rsid w:val="002C339B"/>
    <w:rsid w:val="002C3E03"/>
    <w:rsid w:val="002C6675"/>
    <w:rsid w:val="002C6C38"/>
    <w:rsid w:val="002C6E3A"/>
    <w:rsid w:val="002C6F7E"/>
    <w:rsid w:val="002C7265"/>
    <w:rsid w:val="002D2A6C"/>
    <w:rsid w:val="002D2E01"/>
    <w:rsid w:val="002D4128"/>
    <w:rsid w:val="002D45B4"/>
    <w:rsid w:val="002D55FA"/>
    <w:rsid w:val="002E1F31"/>
    <w:rsid w:val="002E25F1"/>
    <w:rsid w:val="002E27BB"/>
    <w:rsid w:val="002E366F"/>
    <w:rsid w:val="002E36DC"/>
    <w:rsid w:val="002E36FF"/>
    <w:rsid w:val="002E5767"/>
    <w:rsid w:val="002E668B"/>
    <w:rsid w:val="002E69D6"/>
    <w:rsid w:val="002E6D37"/>
    <w:rsid w:val="002E7095"/>
    <w:rsid w:val="002E7486"/>
    <w:rsid w:val="002E7B04"/>
    <w:rsid w:val="002E7E19"/>
    <w:rsid w:val="002F05D6"/>
    <w:rsid w:val="002F1D64"/>
    <w:rsid w:val="002F208E"/>
    <w:rsid w:val="002F2140"/>
    <w:rsid w:val="002F4DBA"/>
    <w:rsid w:val="002F5E0F"/>
    <w:rsid w:val="002F5E9D"/>
    <w:rsid w:val="002F614D"/>
    <w:rsid w:val="002F69E4"/>
    <w:rsid w:val="002F75C7"/>
    <w:rsid w:val="00300532"/>
    <w:rsid w:val="0030223C"/>
    <w:rsid w:val="00302842"/>
    <w:rsid w:val="003031D6"/>
    <w:rsid w:val="00303412"/>
    <w:rsid w:val="00303550"/>
    <w:rsid w:val="00303B4A"/>
    <w:rsid w:val="00304A64"/>
    <w:rsid w:val="003053A1"/>
    <w:rsid w:val="0030578C"/>
    <w:rsid w:val="00307CF5"/>
    <w:rsid w:val="003114B2"/>
    <w:rsid w:val="00311A21"/>
    <w:rsid w:val="00311CC4"/>
    <w:rsid w:val="00311D6F"/>
    <w:rsid w:val="00311FF2"/>
    <w:rsid w:val="00312491"/>
    <w:rsid w:val="00312CFF"/>
    <w:rsid w:val="00313237"/>
    <w:rsid w:val="00313845"/>
    <w:rsid w:val="00313F5D"/>
    <w:rsid w:val="00314496"/>
    <w:rsid w:val="00314B12"/>
    <w:rsid w:val="003162B5"/>
    <w:rsid w:val="00316AC2"/>
    <w:rsid w:val="003222D7"/>
    <w:rsid w:val="00322DE8"/>
    <w:rsid w:val="00322E64"/>
    <w:rsid w:val="00324C67"/>
    <w:rsid w:val="003252BE"/>
    <w:rsid w:val="0032616C"/>
    <w:rsid w:val="0032620D"/>
    <w:rsid w:val="003266CF"/>
    <w:rsid w:val="00326846"/>
    <w:rsid w:val="0033213F"/>
    <w:rsid w:val="00332AE2"/>
    <w:rsid w:val="00332FB9"/>
    <w:rsid w:val="003335EA"/>
    <w:rsid w:val="00334022"/>
    <w:rsid w:val="00334081"/>
    <w:rsid w:val="00334DA8"/>
    <w:rsid w:val="003367C0"/>
    <w:rsid w:val="00336B2F"/>
    <w:rsid w:val="00336EEF"/>
    <w:rsid w:val="00336F05"/>
    <w:rsid w:val="003375F3"/>
    <w:rsid w:val="00337AB2"/>
    <w:rsid w:val="003403B0"/>
    <w:rsid w:val="00340715"/>
    <w:rsid w:val="00340CA9"/>
    <w:rsid w:val="00340DBE"/>
    <w:rsid w:val="00341559"/>
    <w:rsid w:val="003426AF"/>
    <w:rsid w:val="0034285C"/>
    <w:rsid w:val="00342F0D"/>
    <w:rsid w:val="00342F75"/>
    <w:rsid w:val="00343516"/>
    <w:rsid w:val="00343941"/>
    <w:rsid w:val="00344539"/>
    <w:rsid w:val="00344548"/>
    <w:rsid w:val="003449AC"/>
    <w:rsid w:val="00345897"/>
    <w:rsid w:val="00346440"/>
    <w:rsid w:val="00346478"/>
    <w:rsid w:val="003466F7"/>
    <w:rsid w:val="00346B04"/>
    <w:rsid w:val="0035009F"/>
    <w:rsid w:val="00350C53"/>
    <w:rsid w:val="00350F6B"/>
    <w:rsid w:val="00351516"/>
    <w:rsid w:val="00351A07"/>
    <w:rsid w:val="00351A0E"/>
    <w:rsid w:val="00351F84"/>
    <w:rsid w:val="00352D37"/>
    <w:rsid w:val="00353443"/>
    <w:rsid w:val="0035345F"/>
    <w:rsid w:val="0035356A"/>
    <w:rsid w:val="00353720"/>
    <w:rsid w:val="003540F6"/>
    <w:rsid w:val="0035461C"/>
    <w:rsid w:val="00354869"/>
    <w:rsid w:val="00355F16"/>
    <w:rsid w:val="00356649"/>
    <w:rsid w:val="00356EAB"/>
    <w:rsid w:val="00357EEA"/>
    <w:rsid w:val="00360CF4"/>
    <w:rsid w:val="003611D0"/>
    <w:rsid w:val="00361636"/>
    <w:rsid w:val="00361C9D"/>
    <w:rsid w:val="00362632"/>
    <w:rsid w:val="00362BAB"/>
    <w:rsid w:val="003642FC"/>
    <w:rsid w:val="00364548"/>
    <w:rsid w:val="0036458A"/>
    <w:rsid w:val="00365666"/>
    <w:rsid w:val="003666E2"/>
    <w:rsid w:val="00366DD2"/>
    <w:rsid w:val="00366EC1"/>
    <w:rsid w:val="00367064"/>
    <w:rsid w:val="00367912"/>
    <w:rsid w:val="00371E7F"/>
    <w:rsid w:val="003721D2"/>
    <w:rsid w:val="00372BAC"/>
    <w:rsid w:val="00373723"/>
    <w:rsid w:val="00373C0A"/>
    <w:rsid w:val="003745A5"/>
    <w:rsid w:val="00374760"/>
    <w:rsid w:val="0037693D"/>
    <w:rsid w:val="003772FB"/>
    <w:rsid w:val="003775D3"/>
    <w:rsid w:val="00380C4B"/>
    <w:rsid w:val="00380FF0"/>
    <w:rsid w:val="00381AF8"/>
    <w:rsid w:val="00381B4F"/>
    <w:rsid w:val="00381DDC"/>
    <w:rsid w:val="0038257C"/>
    <w:rsid w:val="00382DFE"/>
    <w:rsid w:val="00383576"/>
    <w:rsid w:val="00383BFE"/>
    <w:rsid w:val="003840E1"/>
    <w:rsid w:val="00384431"/>
    <w:rsid w:val="00384513"/>
    <w:rsid w:val="00385125"/>
    <w:rsid w:val="00385618"/>
    <w:rsid w:val="0038669F"/>
    <w:rsid w:val="0038761A"/>
    <w:rsid w:val="00387D05"/>
    <w:rsid w:val="00390AE0"/>
    <w:rsid w:val="0039142E"/>
    <w:rsid w:val="00391870"/>
    <w:rsid w:val="00392547"/>
    <w:rsid w:val="00392B1E"/>
    <w:rsid w:val="00394471"/>
    <w:rsid w:val="00394702"/>
    <w:rsid w:val="0039472D"/>
    <w:rsid w:val="003968C5"/>
    <w:rsid w:val="00397B88"/>
    <w:rsid w:val="00397F6B"/>
    <w:rsid w:val="003A06C9"/>
    <w:rsid w:val="003A0E6A"/>
    <w:rsid w:val="003A1069"/>
    <w:rsid w:val="003A1909"/>
    <w:rsid w:val="003A252F"/>
    <w:rsid w:val="003A37AC"/>
    <w:rsid w:val="003A3B92"/>
    <w:rsid w:val="003A4048"/>
    <w:rsid w:val="003A42DA"/>
    <w:rsid w:val="003A562A"/>
    <w:rsid w:val="003A6B39"/>
    <w:rsid w:val="003A6CA7"/>
    <w:rsid w:val="003A76F1"/>
    <w:rsid w:val="003B05B8"/>
    <w:rsid w:val="003B0DBC"/>
    <w:rsid w:val="003B1105"/>
    <w:rsid w:val="003B1518"/>
    <w:rsid w:val="003B20A0"/>
    <w:rsid w:val="003B338C"/>
    <w:rsid w:val="003B33A0"/>
    <w:rsid w:val="003B37C5"/>
    <w:rsid w:val="003B43A2"/>
    <w:rsid w:val="003B575E"/>
    <w:rsid w:val="003B69EB"/>
    <w:rsid w:val="003B72BC"/>
    <w:rsid w:val="003C016C"/>
    <w:rsid w:val="003C02CA"/>
    <w:rsid w:val="003C0F5F"/>
    <w:rsid w:val="003C1010"/>
    <w:rsid w:val="003C2731"/>
    <w:rsid w:val="003C33A2"/>
    <w:rsid w:val="003C3EF9"/>
    <w:rsid w:val="003C44F6"/>
    <w:rsid w:val="003C4541"/>
    <w:rsid w:val="003C4662"/>
    <w:rsid w:val="003C53FD"/>
    <w:rsid w:val="003C59A3"/>
    <w:rsid w:val="003C5A37"/>
    <w:rsid w:val="003C6024"/>
    <w:rsid w:val="003C637E"/>
    <w:rsid w:val="003C651B"/>
    <w:rsid w:val="003C7325"/>
    <w:rsid w:val="003D0C03"/>
    <w:rsid w:val="003D15B9"/>
    <w:rsid w:val="003D26A8"/>
    <w:rsid w:val="003D44FF"/>
    <w:rsid w:val="003D52B1"/>
    <w:rsid w:val="003D6536"/>
    <w:rsid w:val="003D6D5A"/>
    <w:rsid w:val="003D753B"/>
    <w:rsid w:val="003D7907"/>
    <w:rsid w:val="003E04BE"/>
    <w:rsid w:val="003E04DF"/>
    <w:rsid w:val="003E061C"/>
    <w:rsid w:val="003E07D5"/>
    <w:rsid w:val="003E09F7"/>
    <w:rsid w:val="003E0D93"/>
    <w:rsid w:val="003E0E63"/>
    <w:rsid w:val="003E3207"/>
    <w:rsid w:val="003E32A5"/>
    <w:rsid w:val="003E3398"/>
    <w:rsid w:val="003E3644"/>
    <w:rsid w:val="003E3F69"/>
    <w:rsid w:val="003E4485"/>
    <w:rsid w:val="003E4C52"/>
    <w:rsid w:val="003E5A3D"/>
    <w:rsid w:val="003E7BCF"/>
    <w:rsid w:val="003F164B"/>
    <w:rsid w:val="003F1926"/>
    <w:rsid w:val="003F1DCF"/>
    <w:rsid w:val="003F46E7"/>
    <w:rsid w:val="003F59B1"/>
    <w:rsid w:val="003F5F69"/>
    <w:rsid w:val="003F61EF"/>
    <w:rsid w:val="003F6697"/>
    <w:rsid w:val="003F6FE1"/>
    <w:rsid w:val="00401F03"/>
    <w:rsid w:val="00402CAF"/>
    <w:rsid w:val="00402D60"/>
    <w:rsid w:val="004033DC"/>
    <w:rsid w:val="004034E1"/>
    <w:rsid w:val="00404053"/>
    <w:rsid w:val="004056CD"/>
    <w:rsid w:val="00407942"/>
    <w:rsid w:val="00410B95"/>
    <w:rsid w:val="00410DBE"/>
    <w:rsid w:val="0041112C"/>
    <w:rsid w:val="004115A1"/>
    <w:rsid w:val="0041197E"/>
    <w:rsid w:val="00412D85"/>
    <w:rsid w:val="00413E09"/>
    <w:rsid w:val="00414B47"/>
    <w:rsid w:val="004155C2"/>
    <w:rsid w:val="00415A2D"/>
    <w:rsid w:val="00416145"/>
    <w:rsid w:val="004164BC"/>
    <w:rsid w:val="00416793"/>
    <w:rsid w:val="004179CF"/>
    <w:rsid w:val="00421974"/>
    <w:rsid w:val="0042332E"/>
    <w:rsid w:val="004236B1"/>
    <w:rsid w:val="004238B2"/>
    <w:rsid w:val="0042395A"/>
    <w:rsid w:val="00423D66"/>
    <w:rsid w:val="00423E47"/>
    <w:rsid w:val="0042467A"/>
    <w:rsid w:val="00424B0E"/>
    <w:rsid w:val="0042570E"/>
    <w:rsid w:val="0042603B"/>
    <w:rsid w:val="004260A9"/>
    <w:rsid w:val="00426166"/>
    <w:rsid w:val="00426FE9"/>
    <w:rsid w:val="00427CD0"/>
    <w:rsid w:val="004303D0"/>
    <w:rsid w:val="00430C03"/>
    <w:rsid w:val="00431B90"/>
    <w:rsid w:val="00433285"/>
    <w:rsid w:val="00433FDE"/>
    <w:rsid w:val="00434180"/>
    <w:rsid w:val="00435950"/>
    <w:rsid w:val="00435ED4"/>
    <w:rsid w:val="00436106"/>
    <w:rsid w:val="0043615A"/>
    <w:rsid w:val="0043682D"/>
    <w:rsid w:val="00437C76"/>
    <w:rsid w:val="004403FD"/>
    <w:rsid w:val="00440FDD"/>
    <w:rsid w:val="00441473"/>
    <w:rsid w:val="004429B3"/>
    <w:rsid w:val="00443455"/>
    <w:rsid w:val="004448DB"/>
    <w:rsid w:val="00444947"/>
    <w:rsid w:val="00444A6A"/>
    <w:rsid w:val="00444E0A"/>
    <w:rsid w:val="00445FA1"/>
    <w:rsid w:val="00447587"/>
    <w:rsid w:val="004475C4"/>
    <w:rsid w:val="00447AE2"/>
    <w:rsid w:val="00447EEA"/>
    <w:rsid w:val="0045121C"/>
    <w:rsid w:val="004529F4"/>
    <w:rsid w:val="0045339E"/>
    <w:rsid w:val="00453AE2"/>
    <w:rsid w:val="004549B1"/>
    <w:rsid w:val="00457A9D"/>
    <w:rsid w:val="0046018A"/>
    <w:rsid w:val="00460FB3"/>
    <w:rsid w:val="00461376"/>
    <w:rsid w:val="00461CC5"/>
    <w:rsid w:val="0046272E"/>
    <w:rsid w:val="00463CF1"/>
    <w:rsid w:val="0046589E"/>
    <w:rsid w:val="00465968"/>
    <w:rsid w:val="00466C42"/>
    <w:rsid w:val="00467126"/>
    <w:rsid w:val="00467557"/>
    <w:rsid w:val="00472C1E"/>
    <w:rsid w:val="00474DBF"/>
    <w:rsid w:val="00474E4C"/>
    <w:rsid w:val="004752D7"/>
    <w:rsid w:val="00475B55"/>
    <w:rsid w:val="00476074"/>
    <w:rsid w:val="004764BE"/>
    <w:rsid w:val="004767A9"/>
    <w:rsid w:val="0047755D"/>
    <w:rsid w:val="00477A22"/>
    <w:rsid w:val="00477A74"/>
    <w:rsid w:val="00477BEF"/>
    <w:rsid w:val="00477E54"/>
    <w:rsid w:val="004806B4"/>
    <w:rsid w:val="004807CF"/>
    <w:rsid w:val="00482268"/>
    <w:rsid w:val="004851F1"/>
    <w:rsid w:val="00485F26"/>
    <w:rsid w:val="00485F43"/>
    <w:rsid w:val="00486031"/>
    <w:rsid w:val="004861A4"/>
    <w:rsid w:val="00486DF3"/>
    <w:rsid w:val="0048722D"/>
    <w:rsid w:val="00487466"/>
    <w:rsid w:val="004877C9"/>
    <w:rsid w:val="00487DD6"/>
    <w:rsid w:val="004906DA"/>
    <w:rsid w:val="004912DC"/>
    <w:rsid w:val="00491612"/>
    <w:rsid w:val="004917CA"/>
    <w:rsid w:val="00491ACD"/>
    <w:rsid w:val="00491B58"/>
    <w:rsid w:val="00491CCB"/>
    <w:rsid w:val="00491F81"/>
    <w:rsid w:val="00492C6B"/>
    <w:rsid w:val="004941C9"/>
    <w:rsid w:val="004942CC"/>
    <w:rsid w:val="00494DAF"/>
    <w:rsid w:val="004974EC"/>
    <w:rsid w:val="00497F6B"/>
    <w:rsid w:val="004A167D"/>
    <w:rsid w:val="004A16C3"/>
    <w:rsid w:val="004A2BF5"/>
    <w:rsid w:val="004A37AC"/>
    <w:rsid w:val="004A4539"/>
    <w:rsid w:val="004A4619"/>
    <w:rsid w:val="004A64E1"/>
    <w:rsid w:val="004A6D3F"/>
    <w:rsid w:val="004B079F"/>
    <w:rsid w:val="004B0A79"/>
    <w:rsid w:val="004B0F5B"/>
    <w:rsid w:val="004B12D9"/>
    <w:rsid w:val="004B1DA0"/>
    <w:rsid w:val="004B1FB1"/>
    <w:rsid w:val="004B27C6"/>
    <w:rsid w:val="004B556D"/>
    <w:rsid w:val="004B5B8E"/>
    <w:rsid w:val="004B67B4"/>
    <w:rsid w:val="004B6C4D"/>
    <w:rsid w:val="004B7A75"/>
    <w:rsid w:val="004B7D43"/>
    <w:rsid w:val="004B7E7A"/>
    <w:rsid w:val="004C02D2"/>
    <w:rsid w:val="004C059B"/>
    <w:rsid w:val="004C0E4C"/>
    <w:rsid w:val="004C111B"/>
    <w:rsid w:val="004C1D05"/>
    <w:rsid w:val="004C1F86"/>
    <w:rsid w:val="004C270D"/>
    <w:rsid w:val="004C3093"/>
    <w:rsid w:val="004C3E69"/>
    <w:rsid w:val="004C4579"/>
    <w:rsid w:val="004C4B68"/>
    <w:rsid w:val="004C64A5"/>
    <w:rsid w:val="004C64C2"/>
    <w:rsid w:val="004C69C6"/>
    <w:rsid w:val="004C7210"/>
    <w:rsid w:val="004C7B36"/>
    <w:rsid w:val="004C7D63"/>
    <w:rsid w:val="004C7DB0"/>
    <w:rsid w:val="004D0D5A"/>
    <w:rsid w:val="004D0E23"/>
    <w:rsid w:val="004D1949"/>
    <w:rsid w:val="004D2036"/>
    <w:rsid w:val="004D3594"/>
    <w:rsid w:val="004D5642"/>
    <w:rsid w:val="004E001F"/>
    <w:rsid w:val="004E0916"/>
    <w:rsid w:val="004E2226"/>
    <w:rsid w:val="004E3178"/>
    <w:rsid w:val="004E39D5"/>
    <w:rsid w:val="004E3F96"/>
    <w:rsid w:val="004E42E1"/>
    <w:rsid w:val="004E582E"/>
    <w:rsid w:val="004E5E8E"/>
    <w:rsid w:val="004E7825"/>
    <w:rsid w:val="004F019A"/>
    <w:rsid w:val="004F0ED3"/>
    <w:rsid w:val="004F1DAE"/>
    <w:rsid w:val="004F336F"/>
    <w:rsid w:val="004F3389"/>
    <w:rsid w:val="004F397F"/>
    <w:rsid w:val="004F3B04"/>
    <w:rsid w:val="004F40CC"/>
    <w:rsid w:val="004F4D4F"/>
    <w:rsid w:val="004F5831"/>
    <w:rsid w:val="004F62F7"/>
    <w:rsid w:val="004F6361"/>
    <w:rsid w:val="004F6778"/>
    <w:rsid w:val="004F7709"/>
    <w:rsid w:val="00501308"/>
    <w:rsid w:val="0050164D"/>
    <w:rsid w:val="00501895"/>
    <w:rsid w:val="00501E8E"/>
    <w:rsid w:val="00504348"/>
    <w:rsid w:val="00505EF6"/>
    <w:rsid w:val="005070D3"/>
    <w:rsid w:val="00512727"/>
    <w:rsid w:val="00513419"/>
    <w:rsid w:val="005139A7"/>
    <w:rsid w:val="00514A40"/>
    <w:rsid w:val="00514C3F"/>
    <w:rsid w:val="005155E5"/>
    <w:rsid w:val="00515F4C"/>
    <w:rsid w:val="00515F61"/>
    <w:rsid w:val="00516B7A"/>
    <w:rsid w:val="0051791E"/>
    <w:rsid w:val="005218F7"/>
    <w:rsid w:val="00521E50"/>
    <w:rsid w:val="00522432"/>
    <w:rsid w:val="0052286F"/>
    <w:rsid w:val="00522C35"/>
    <w:rsid w:val="005230F5"/>
    <w:rsid w:val="0052371A"/>
    <w:rsid w:val="0052487F"/>
    <w:rsid w:val="00525466"/>
    <w:rsid w:val="005257CD"/>
    <w:rsid w:val="00525A1F"/>
    <w:rsid w:val="00525D2A"/>
    <w:rsid w:val="0052707B"/>
    <w:rsid w:val="00530E85"/>
    <w:rsid w:val="00531316"/>
    <w:rsid w:val="005314F7"/>
    <w:rsid w:val="0053243D"/>
    <w:rsid w:val="0053246D"/>
    <w:rsid w:val="00532ACC"/>
    <w:rsid w:val="00533AA6"/>
    <w:rsid w:val="00534324"/>
    <w:rsid w:val="00534412"/>
    <w:rsid w:val="00535B54"/>
    <w:rsid w:val="00537CC5"/>
    <w:rsid w:val="0054071F"/>
    <w:rsid w:val="005412FD"/>
    <w:rsid w:val="0054170A"/>
    <w:rsid w:val="00542635"/>
    <w:rsid w:val="00542EC6"/>
    <w:rsid w:val="00546BBB"/>
    <w:rsid w:val="00546DD8"/>
    <w:rsid w:val="00550F80"/>
    <w:rsid w:val="00551197"/>
    <w:rsid w:val="005515CE"/>
    <w:rsid w:val="00551DA4"/>
    <w:rsid w:val="00552102"/>
    <w:rsid w:val="00552821"/>
    <w:rsid w:val="0055291A"/>
    <w:rsid w:val="00552B90"/>
    <w:rsid w:val="0055388E"/>
    <w:rsid w:val="005544BC"/>
    <w:rsid w:val="005544C8"/>
    <w:rsid w:val="00554C17"/>
    <w:rsid w:val="00554CE4"/>
    <w:rsid w:val="005552E5"/>
    <w:rsid w:val="005557CB"/>
    <w:rsid w:val="005559C3"/>
    <w:rsid w:val="0055625E"/>
    <w:rsid w:val="0055773B"/>
    <w:rsid w:val="0055782D"/>
    <w:rsid w:val="005600B4"/>
    <w:rsid w:val="00561437"/>
    <w:rsid w:val="00561E48"/>
    <w:rsid w:val="00562166"/>
    <w:rsid w:val="00562E3C"/>
    <w:rsid w:val="00563E46"/>
    <w:rsid w:val="005640D8"/>
    <w:rsid w:val="00564C7B"/>
    <w:rsid w:val="005653E4"/>
    <w:rsid w:val="0056603B"/>
    <w:rsid w:val="00567A89"/>
    <w:rsid w:val="00567A8F"/>
    <w:rsid w:val="0057015B"/>
    <w:rsid w:val="0057070E"/>
    <w:rsid w:val="00570862"/>
    <w:rsid w:val="0057193B"/>
    <w:rsid w:val="00572F13"/>
    <w:rsid w:val="00573304"/>
    <w:rsid w:val="005736C9"/>
    <w:rsid w:val="00573B86"/>
    <w:rsid w:val="00573F34"/>
    <w:rsid w:val="005763F5"/>
    <w:rsid w:val="00577B53"/>
    <w:rsid w:val="00580585"/>
    <w:rsid w:val="00581A51"/>
    <w:rsid w:val="00582654"/>
    <w:rsid w:val="00582C8E"/>
    <w:rsid w:val="00582F3D"/>
    <w:rsid w:val="00583489"/>
    <w:rsid w:val="005844F7"/>
    <w:rsid w:val="00584A0D"/>
    <w:rsid w:val="005851C7"/>
    <w:rsid w:val="0058634B"/>
    <w:rsid w:val="005875DE"/>
    <w:rsid w:val="005907C7"/>
    <w:rsid w:val="005908CA"/>
    <w:rsid w:val="005924E8"/>
    <w:rsid w:val="0059272C"/>
    <w:rsid w:val="005941BE"/>
    <w:rsid w:val="005943B9"/>
    <w:rsid w:val="005943C5"/>
    <w:rsid w:val="005A0461"/>
    <w:rsid w:val="005A102B"/>
    <w:rsid w:val="005A1762"/>
    <w:rsid w:val="005A207C"/>
    <w:rsid w:val="005A2D87"/>
    <w:rsid w:val="005A37AF"/>
    <w:rsid w:val="005A72F0"/>
    <w:rsid w:val="005A786D"/>
    <w:rsid w:val="005A7FFA"/>
    <w:rsid w:val="005B0DE7"/>
    <w:rsid w:val="005B128F"/>
    <w:rsid w:val="005B1A20"/>
    <w:rsid w:val="005B20C4"/>
    <w:rsid w:val="005B2871"/>
    <w:rsid w:val="005B2CE3"/>
    <w:rsid w:val="005B42AC"/>
    <w:rsid w:val="005B4B5C"/>
    <w:rsid w:val="005B5655"/>
    <w:rsid w:val="005B6B14"/>
    <w:rsid w:val="005B6F52"/>
    <w:rsid w:val="005C0016"/>
    <w:rsid w:val="005C067B"/>
    <w:rsid w:val="005C0C84"/>
    <w:rsid w:val="005C118C"/>
    <w:rsid w:val="005C2526"/>
    <w:rsid w:val="005C3189"/>
    <w:rsid w:val="005C4647"/>
    <w:rsid w:val="005C475C"/>
    <w:rsid w:val="005C47C6"/>
    <w:rsid w:val="005C5370"/>
    <w:rsid w:val="005C59DA"/>
    <w:rsid w:val="005C629B"/>
    <w:rsid w:val="005C64A7"/>
    <w:rsid w:val="005C6537"/>
    <w:rsid w:val="005C73AE"/>
    <w:rsid w:val="005C7456"/>
    <w:rsid w:val="005D09C6"/>
    <w:rsid w:val="005D100E"/>
    <w:rsid w:val="005D1867"/>
    <w:rsid w:val="005D1929"/>
    <w:rsid w:val="005D1F40"/>
    <w:rsid w:val="005D1F81"/>
    <w:rsid w:val="005D2429"/>
    <w:rsid w:val="005D272F"/>
    <w:rsid w:val="005D2AB8"/>
    <w:rsid w:val="005D2F2B"/>
    <w:rsid w:val="005D329A"/>
    <w:rsid w:val="005D4259"/>
    <w:rsid w:val="005D4F7B"/>
    <w:rsid w:val="005D50CA"/>
    <w:rsid w:val="005D5C21"/>
    <w:rsid w:val="005D60A7"/>
    <w:rsid w:val="005D6662"/>
    <w:rsid w:val="005D6747"/>
    <w:rsid w:val="005D6ABE"/>
    <w:rsid w:val="005E1536"/>
    <w:rsid w:val="005E1C3E"/>
    <w:rsid w:val="005E26E0"/>
    <w:rsid w:val="005E3B52"/>
    <w:rsid w:val="005E4A2D"/>
    <w:rsid w:val="005E5EBF"/>
    <w:rsid w:val="005E6582"/>
    <w:rsid w:val="005F14C6"/>
    <w:rsid w:val="005F2B9F"/>
    <w:rsid w:val="005F434E"/>
    <w:rsid w:val="005F4790"/>
    <w:rsid w:val="005F48A5"/>
    <w:rsid w:val="005F4C5A"/>
    <w:rsid w:val="005F4DD5"/>
    <w:rsid w:val="005F4F7F"/>
    <w:rsid w:val="005F51F7"/>
    <w:rsid w:val="005F5E9A"/>
    <w:rsid w:val="005F63A6"/>
    <w:rsid w:val="005F6A55"/>
    <w:rsid w:val="005F75CD"/>
    <w:rsid w:val="005F7C8B"/>
    <w:rsid w:val="00601D45"/>
    <w:rsid w:val="00602585"/>
    <w:rsid w:val="006030EF"/>
    <w:rsid w:val="006040E4"/>
    <w:rsid w:val="00604CDF"/>
    <w:rsid w:val="0060528A"/>
    <w:rsid w:val="006054E6"/>
    <w:rsid w:val="006059D9"/>
    <w:rsid w:val="00605BFC"/>
    <w:rsid w:val="00606365"/>
    <w:rsid w:val="006064E1"/>
    <w:rsid w:val="00606C23"/>
    <w:rsid w:val="006074CE"/>
    <w:rsid w:val="00607A39"/>
    <w:rsid w:val="00607A6E"/>
    <w:rsid w:val="00607FFC"/>
    <w:rsid w:val="00611141"/>
    <w:rsid w:val="006111E2"/>
    <w:rsid w:val="00612975"/>
    <w:rsid w:val="006129AA"/>
    <w:rsid w:val="00612D73"/>
    <w:rsid w:val="00613161"/>
    <w:rsid w:val="0061418A"/>
    <w:rsid w:val="006149F5"/>
    <w:rsid w:val="00615939"/>
    <w:rsid w:val="00615B0E"/>
    <w:rsid w:val="0061657F"/>
    <w:rsid w:val="00616668"/>
    <w:rsid w:val="00616B61"/>
    <w:rsid w:val="00620569"/>
    <w:rsid w:val="0062128B"/>
    <w:rsid w:val="006213DE"/>
    <w:rsid w:val="006215D2"/>
    <w:rsid w:val="00621671"/>
    <w:rsid w:val="00621B58"/>
    <w:rsid w:val="0062208E"/>
    <w:rsid w:val="006226E4"/>
    <w:rsid w:val="00622BDB"/>
    <w:rsid w:val="006233CD"/>
    <w:rsid w:val="0062438A"/>
    <w:rsid w:val="00624E07"/>
    <w:rsid w:val="00625C22"/>
    <w:rsid w:val="00625DD9"/>
    <w:rsid w:val="00630538"/>
    <w:rsid w:val="00630E96"/>
    <w:rsid w:val="006310F2"/>
    <w:rsid w:val="006318E5"/>
    <w:rsid w:val="00632D1F"/>
    <w:rsid w:val="00632FCF"/>
    <w:rsid w:val="006343A7"/>
    <w:rsid w:val="00634787"/>
    <w:rsid w:val="00634D97"/>
    <w:rsid w:val="00634ECE"/>
    <w:rsid w:val="00635735"/>
    <w:rsid w:val="006360D4"/>
    <w:rsid w:val="00636EF2"/>
    <w:rsid w:val="0063716E"/>
    <w:rsid w:val="00637D32"/>
    <w:rsid w:val="0064152C"/>
    <w:rsid w:val="00641856"/>
    <w:rsid w:val="00641CBB"/>
    <w:rsid w:val="0064322C"/>
    <w:rsid w:val="00643DBE"/>
    <w:rsid w:val="00643F36"/>
    <w:rsid w:val="00644126"/>
    <w:rsid w:val="00644FE9"/>
    <w:rsid w:val="00646392"/>
    <w:rsid w:val="006477A3"/>
    <w:rsid w:val="00647F93"/>
    <w:rsid w:val="0065001B"/>
    <w:rsid w:val="00650088"/>
    <w:rsid w:val="006501B8"/>
    <w:rsid w:val="006505EF"/>
    <w:rsid w:val="00650787"/>
    <w:rsid w:val="00650A75"/>
    <w:rsid w:val="00650FDB"/>
    <w:rsid w:val="006513A7"/>
    <w:rsid w:val="00651F1E"/>
    <w:rsid w:val="00653164"/>
    <w:rsid w:val="006552F6"/>
    <w:rsid w:val="006558DD"/>
    <w:rsid w:val="00655E8F"/>
    <w:rsid w:val="006571D3"/>
    <w:rsid w:val="00660BF8"/>
    <w:rsid w:val="006616B0"/>
    <w:rsid w:val="00661CFB"/>
    <w:rsid w:val="00662794"/>
    <w:rsid w:val="00662B07"/>
    <w:rsid w:val="006631DA"/>
    <w:rsid w:val="00663435"/>
    <w:rsid w:val="00663ADB"/>
    <w:rsid w:val="00663D19"/>
    <w:rsid w:val="00665797"/>
    <w:rsid w:val="00666AA6"/>
    <w:rsid w:val="00666B3F"/>
    <w:rsid w:val="00666D10"/>
    <w:rsid w:val="006718B7"/>
    <w:rsid w:val="00671A8D"/>
    <w:rsid w:val="00671FAA"/>
    <w:rsid w:val="00672317"/>
    <w:rsid w:val="00672938"/>
    <w:rsid w:val="00673CD9"/>
    <w:rsid w:val="00674061"/>
    <w:rsid w:val="0067588D"/>
    <w:rsid w:val="006771F3"/>
    <w:rsid w:val="006772C6"/>
    <w:rsid w:val="00677733"/>
    <w:rsid w:val="00677E35"/>
    <w:rsid w:val="0068274B"/>
    <w:rsid w:val="00683CF1"/>
    <w:rsid w:val="006847FB"/>
    <w:rsid w:val="00684FD5"/>
    <w:rsid w:val="00685622"/>
    <w:rsid w:val="0068562C"/>
    <w:rsid w:val="00685E07"/>
    <w:rsid w:val="00685F19"/>
    <w:rsid w:val="00685F91"/>
    <w:rsid w:val="00686346"/>
    <w:rsid w:val="00686BEB"/>
    <w:rsid w:val="00687C7A"/>
    <w:rsid w:val="006901F1"/>
    <w:rsid w:val="00690288"/>
    <w:rsid w:val="00690CD9"/>
    <w:rsid w:val="006918DA"/>
    <w:rsid w:val="0069229A"/>
    <w:rsid w:val="0069261C"/>
    <w:rsid w:val="00694612"/>
    <w:rsid w:val="00694654"/>
    <w:rsid w:val="006959B8"/>
    <w:rsid w:val="00695F93"/>
    <w:rsid w:val="0069650A"/>
    <w:rsid w:val="00696D6F"/>
    <w:rsid w:val="00697604"/>
    <w:rsid w:val="006A01AB"/>
    <w:rsid w:val="006A0E72"/>
    <w:rsid w:val="006A162A"/>
    <w:rsid w:val="006A1B34"/>
    <w:rsid w:val="006A2038"/>
    <w:rsid w:val="006A241B"/>
    <w:rsid w:val="006A2C89"/>
    <w:rsid w:val="006A361D"/>
    <w:rsid w:val="006A388E"/>
    <w:rsid w:val="006A3A87"/>
    <w:rsid w:val="006A3B20"/>
    <w:rsid w:val="006A49CC"/>
    <w:rsid w:val="006A5525"/>
    <w:rsid w:val="006A55B4"/>
    <w:rsid w:val="006A56A6"/>
    <w:rsid w:val="006A580C"/>
    <w:rsid w:val="006A62BF"/>
    <w:rsid w:val="006A7661"/>
    <w:rsid w:val="006B04D6"/>
    <w:rsid w:val="006B0BF4"/>
    <w:rsid w:val="006B2616"/>
    <w:rsid w:val="006B29A7"/>
    <w:rsid w:val="006B2BE3"/>
    <w:rsid w:val="006B2D67"/>
    <w:rsid w:val="006B32BC"/>
    <w:rsid w:val="006B4550"/>
    <w:rsid w:val="006B49D2"/>
    <w:rsid w:val="006B4B01"/>
    <w:rsid w:val="006B51D5"/>
    <w:rsid w:val="006B5919"/>
    <w:rsid w:val="006B6086"/>
    <w:rsid w:val="006B67ED"/>
    <w:rsid w:val="006B6A0C"/>
    <w:rsid w:val="006B7349"/>
    <w:rsid w:val="006B7785"/>
    <w:rsid w:val="006C0446"/>
    <w:rsid w:val="006C05E6"/>
    <w:rsid w:val="006C1E1A"/>
    <w:rsid w:val="006C2F25"/>
    <w:rsid w:val="006C35C7"/>
    <w:rsid w:val="006C3694"/>
    <w:rsid w:val="006C39BC"/>
    <w:rsid w:val="006C3ABC"/>
    <w:rsid w:val="006C42A2"/>
    <w:rsid w:val="006C46B5"/>
    <w:rsid w:val="006C73A6"/>
    <w:rsid w:val="006C77DD"/>
    <w:rsid w:val="006C7C5D"/>
    <w:rsid w:val="006D0409"/>
    <w:rsid w:val="006D0B16"/>
    <w:rsid w:val="006D0CF6"/>
    <w:rsid w:val="006D0DC6"/>
    <w:rsid w:val="006D119C"/>
    <w:rsid w:val="006D2292"/>
    <w:rsid w:val="006D23C8"/>
    <w:rsid w:val="006D23E7"/>
    <w:rsid w:val="006D28C8"/>
    <w:rsid w:val="006D382E"/>
    <w:rsid w:val="006D79AC"/>
    <w:rsid w:val="006E0BC3"/>
    <w:rsid w:val="006E0CF6"/>
    <w:rsid w:val="006E0E0D"/>
    <w:rsid w:val="006E0F64"/>
    <w:rsid w:val="006E0F73"/>
    <w:rsid w:val="006E25BD"/>
    <w:rsid w:val="006E42D1"/>
    <w:rsid w:val="006E53BA"/>
    <w:rsid w:val="006E5FD9"/>
    <w:rsid w:val="006E6A4C"/>
    <w:rsid w:val="006E718B"/>
    <w:rsid w:val="006E7D83"/>
    <w:rsid w:val="006F102D"/>
    <w:rsid w:val="006F2953"/>
    <w:rsid w:val="006F3369"/>
    <w:rsid w:val="006F3F26"/>
    <w:rsid w:val="006F4F4E"/>
    <w:rsid w:val="006F525A"/>
    <w:rsid w:val="006F53FF"/>
    <w:rsid w:val="006F54BA"/>
    <w:rsid w:val="006F58BF"/>
    <w:rsid w:val="006F5CB1"/>
    <w:rsid w:val="006F6996"/>
    <w:rsid w:val="007009C3"/>
    <w:rsid w:val="00701B6A"/>
    <w:rsid w:val="007021C3"/>
    <w:rsid w:val="00702BE5"/>
    <w:rsid w:val="007033EE"/>
    <w:rsid w:val="00703CB9"/>
    <w:rsid w:val="00705E6B"/>
    <w:rsid w:val="00707469"/>
    <w:rsid w:val="00707D85"/>
    <w:rsid w:val="0071035B"/>
    <w:rsid w:val="00710A13"/>
    <w:rsid w:val="00710B72"/>
    <w:rsid w:val="00710ECC"/>
    <w:rsid w:val="00711718"/>
    <w:rsid w:val="00711AB8"/>
    <w:rsid w:val="00712A13"/>
    <w:rsid w:val="00712C21"/>
    <w:rsid w:val="0071347C"/>
    <w:rsid w:val="00713562"/>
    <w:rsid w:val="00714AF7"/>
    <w:rsid w:val="00715127"/>
    <w:rsid w:val="00715DEF"/>
    <w:rsid w:val="00716A46"/>
    <w:rsid w:val="007202B0"/>
    <w:rsid w:val="00720A22"/>
    <w:rsid w:val="00721170"/>
    <w:rsid w:val="00721EE1"/>
    <w:rsid w:val="0072211D"/>
    <w:rsid w:val="00723ACE"/>
    <w:rsid w:val="00724BF6"/>
    <w:rsid w:val="0072508C"/>
    <w:rsid w:val="0072654C"/>
    <w:rsid w:val="007266A1"/>
    <w:rsid w:val="00726FEB"/>
    <w:rsid w:val="0073009A"/>
    <w:rsid w:val="007305A6"/>
    <w:rsid w:val="00731562"/>
    <w:rsid w:val="00731FFA"/>
    <w:rsid w:val="007324B0"/>
    <w:rsid w:val="00732D42"/>
    <w:rsid w:val="00732DA3"/>
    <w:rsid w:val="007334BB"/>
    <w:rsid w:val="00733B36"/>
    <w:rsid w:val="00735D31"/>
    <w:rsid w:val="00735F8B"/>
    <w:rsid w:val="00736082"/>
    <w:rsid w:val="00736A47"/>
    <w:rsid w:val="00736C82"/>
    <w:rsid w:val="00737449"/>
    <w:rsid w:val="00737C27"/>
    <w:rsid w:val="00741973"/>
    <w:rsid w:val="00742DBA"/>
    <w:rsid w:val="00742FF5"/>
    <w:rsid w:val="007437AC"/>
    <w:rsid w:val="00743A8B"/>
    <w:rsid w:val="007440F2"/>
    <w:rsid w:val="007447D7"/>
    <w:rsid w:val="00745001"/>
    <w:rsid w:val="00745139"/>
    <w:rsid w:val="00746491"/>
    <w:rsid w:val="007467C3"/>
    <w:rsid w:val="00746DAF"/>
    <w:rsid w:val="007477C1"/>
    <w:rsid w:val="00747B0C"/>
    <w:rsid w:val="00751D79"/>
    <w:rsid w:val="0075219C"/>
    <w:rsid w:val="0075272A"/>
    <w:rsid w:val="00753A79"/>
    <w:rsid w:val="00753DF0"/>
    <w:rsid w:val="00754C7C"/>
    <w:rsid w:val="007551D6"/>
    <w:rsid w:val="00755C50"/>
    <w:rsid w:val="00755F6E"/>
    <w:rsid w:val="00757109"/>
    <w:rsid w:val="00757629"/>
    <w:rsid w:val="0076039E"/>
    <w:rsid w:val="007607E3"/>
    <w:rsid w:val="00760B3B"/>
    <w:rsid w:val="00761232"/>
    <w:rsid w:val="007618D5"/>
    <w:rsid w:val="00761A8C"/>
    <w:rsid w:val="00762187"/>
    <w:rsid w:val="0076264D"/>
    <w:rsid w:val="00762898"/>
    <w:rsid w:val="00762C5B"/>
    <w:rsid w:val="007633B3"/>
    <w:rsid w:val="007644DA"/>
    <w:rsid w:val="00764B0B"/>
    <w:rsid w:val="00764DFA"/>
    <w:rsid w:val="007653F6"/>
    <w:rsid w:val="007663BC"/>
    <w:rsid w:val="00767981"/>
    <w:rsid w:val="00767B70"/>
    <w:rsid w:val="0077204C"/>
    <w:rsid w:val="00773145"/>
    <w:rsid w:val="00773E86"/>
    <w:rsid w:val="00773F29"/>
    <w:rsid w:val="007759AC"/>
    <w:rsid w:val="00777D95"/>
    <w:rsid w:val="00780142"/>
    <w:rsid w:val="00781666"/>
    <w:rsid w:val="00782BA5"/>
    <w:rsid w:val="00783618"/>
    <w:rsid w:val="00783EF0"/>
    <w:rsid w:val="0078496B"/>
    <w:rsid w:val="00786028"/>
    <w:rsid w:val="00786328"/>
    <w:rsid w:val="007879A6"/>
    <w:rsid w:val="00787CE4"/>
    <w:rsid w:val="007902FB"/>
    <w:rsid w:val="007970F4"/>
    <w:rsid w:val="007A09D0"/>
    <w:rsid w:val="007A0B4C"/>
    <w:rsid w:val="007A0DB8"/>
    <w:rsid w:val="007A25F4"/>
    <w:rsid w:val="007A31A3"/>
    <w:rsid w:val="007A3936"/>
    <w:rsid w:val="007A41A3"/>
    <w:rsid w:val="007A4C6C"/>
    <w:rsid w:val="007A582F"/>
    <w:rsid w:val="007A692E"/>
    <w:rsid w:val="007A69E9"/>
    <w:rsid w:val="007B1A3B"/>
    <w:rsid w:val="007B1EEE"/>
    <w:rsid w:val="007B24FC"/>
    <w:rsid w:val="007B3D6E"/>
    <w:rsid w:val="007B444A"/>
    <w:rsid w:val="007B4608"/>
    <w:rsid w:val="007B4782"/>
    <w:rsid w:val="007B4FD2"/>
    <w:rsid w:val="007B52F1"/>
    <w:rsid w:val="007B6CB1"/>
    <w:rsid w:val="007C02B7"/>
    <w:rsid w:val="007C03AB"/>
    <w:rsid w:val="007C0697"/>
    <w:rsid w:val="007C1E91"/>
    <w:rsid w:val="007C2850"/>
    <w:rsid w:val="007C2BB6"/>
    <w:rsid w:val="007C3B4F"/>
    <w:rsid w:val="007C5508"/>
    <w:rsid w:val="007C5D64"/>
    <w:rsid w:val="007C5E45"/>
    <w:rsid w:val="007C61EF"/>
    <w:rsid w:val="007C73E4"/>
    <w:rsid w:val="007D099F"/>
    <w:rsid w:val="007D2B29"/>
    <w:rsid w:val="007D2B72"/>
    <w:rsid w:val="007D332C"/>
    <w:rsid w:val="007D4856"/>
    <w:rsid w:val="007D518B"/>
    <w:rsid w:val="007D51FD"/>
    <w:rsid w:val="007D5D51"/>
    <w:rsid w:val="007D6282"/>
    <w:rsid w:val="007D712C"/>
    <w:rsid w:val="007D75A2"/>
    <w:rsid w:val="007E04BC"/>
    <w:rsid w:val="007E1C56"/>
    <w:rsid w:val="007E213D"/>
    <w:rsid w:val="007E2344"/>
    <w:rsid w:val="007E31E6"/>
    <w:rsid w:val="007E3499"/>
    <w:rsid w:val="007E4605"/>
    <w:rsid w:val="007E4EDA"/>
    <w:rsid w:val="007E50A9"/>
    <w:rsid w:val="007E581F"/>
    <w:rsid w:val="007E73FA"/>
    <w:rsid w:val="007E7407"/>
    <w:rsid w:val="007E7624"/>
    <w:rsid w:val="007E7E96"/>
    <w:rsid w:val="007F10AF"/>
    <w:rsid w:val="007F1771"/>
    <w:rsid w:val="007F1AEE"/>
    <w:rsid w:val="007F1DD4"/>
    <w:rsid w:val="007F1F16"/>
    <w:rsid w:val="007F3DF4"/>
    <w:rsid w:val="007F51A5"/>
    <w:rsid w:val="007F5226"/>
    <w:rsid w:val="007F5324"/>
    <w:rsid w:val="007F58FE"/>
    <w:rsid w:val="007F5A42"/>
    <w:rsid w:val="007F5BFD"/>
    <w:rsid w:val="007F5C68"/>
    <w:rsid w:val="007F669F"/>
    <w:rsid w:val="007F6C5B"/>
    <w:rsid w:val="00800BB0"/>
    <w:rsid w:val="00801649"/>
    <w:rsid w:val="00801A32"/>
    <w:rsid w:val="00801D91"/>
    <w:rsid w:val="00801E38"/>
    <w:rsid w:val="0080277D"/>
    <w:rsid w:val="0080288C"/>
    <w:rsid w:val="00802DFE"/>
    <w:rsid w:val="0080310F"/>
    <w:rsid w:val="0080374F"/>
    <w:rsid w:val="00803A90"/>
    <w:rsid w:val="0080406C"/>
    <w:rsid w:val="0080416E"/>
    <w:rsid w:val="00805278"/>
    <w:rsid w:val="00805349"/>
    <w:rsid w:val="00805570"/>
    <w:rsid w:val="00805F6A"/>
    <w:rsid w:val="00806AB5"/>
    <w:rsid w:val="00806D3D"/>
    <w:rsid w:val="00806D40"/>
    <w:rsid w:val="00807BFE"/>
    <w:rsid w:val="008102F6"/>
    <w:rsid w:val="0081091F"/>
    <w:rsid w:val="0081210A"/>
    <w:rsid w:val="008145B1"/>
    <w:rsid w:val="00814AFC"/>
    <w:rsid w:val="00814FB3"/>
    <w:rsid w:val="0081711C"/>
    <w:rsid w:val="00817210"/>
    <w:rsid w:val="00817AD5"/>
    <w:rsid w:val="00820133"/>
    <w:rsid w:val="00820746"/>
    <w:rsid w:val="008211CC"/>
    <w:rsid w:val="0082138A"/>
    <w:rsid w:val="0082158E"/>
    <w:rsid w:val="008215A9"/>
    <w:rsid w:val="008216CC"/>
    <w:rsid w:val="00821A8F"/>
    <w:rsid w:val="00821BF8"/>
    <w:rsid w:val="00821CD6"/>
    <w:rsid w:val="00821FB6"/>
    <w:rsid w:val="00822940"/>
    <w:rsid w:val="00823484"/>
    <w:rsid w:val="008235D9"/>
    <w:rsid w:val="00823673"/>
    <w:rsid w:val="00823FA7"/>
    <w:rsid w:val="00824158"/>
    <w:rsid w:val="00824A8D"/>
    <w:rsid w:val="00824E79"/>
    <w:rsid w:val="0082543B"/>
    <w:rsid w:val="00826C51"/>
    <w:rsid w:val="00826E89"/>
    <w:rsid w:val="008277F8"/>
    <w:rsid w:val="00827BB8"/>
    <w:rsid w:val="00827C68"/>
    <w:rsid w:val="00830B4C"/>
    <w:rsid w:val="00831082"/>
    <w:rsid w:val="00831493"/>
    <w:rsid w:val="00831E75"/>
    <w:rsid w:val="00832E51"/>
    <w:rsid w:val="00833632"/>
    <w:rsid w:val="00833E27"/>
    <w:rsid w:val="00834F64"/>
    <w:rsid w:val="008355CA"/>
    <w:rsid w:val="0083561C"/>
    <w:rsid w:val="00835A90"/>
    <w:rsid w:val="00837230"/>
    <w:rsid w:val="0083794A"/>
    <w:rsid w:val="00841001"/>
    <w:rsid w:val="00841D8D"/>
    <w:rsid w:val="00841DBC"/>
    <w:rsid w:val="00843477"/>
    <w:rsid w:val="008445C4"/>
    <w:rsid w:val="008454F3"/>
    <w:rsid w:val="0084553A"/>
    <w:rsid w:val="00845B6B"/>
    <w:rsid w:val="00845EA3"/>
    <w:rsid w:val="008469EB"/>
    <w:rsid w:val="00846E62"/>
    <w:rsid w:val="0084710F"/>
    <w:rsid w:val="008479C0"/>
    <w:rsid w:val="0085137F"/>
    <w:rsid w:val="008522DA"/>
    <w:rsid w:val="00855495"/>
    <w:rsid w:val="00856133"/>
    <w:rsid w:val="00857A29"/>
    <w:rsid w:val="00857F1B"/>
    <w:rsid w:val="00860320"/>
    <w:rsid w:val="008606A2"/>
    <w:rsid w:val="00860733"/>
    <w:rsid w:val="008607E4"/>
    <w:rsid w:val="0086092F"/>
    <w:rsid w:val="00860C7C"/>
    <w:rsid w:val="00861BE0"/>
    <w:rsid w:val="00861CAD"/>
    <w:rsid w:val="00862784"/>
    <w:rsid w:val="008628BA"/>
    <w:rsid w:val="00864F62"/>
    <w:rsid w:val="008676F3"/>
    <w:rsid w:val="00867B73"/>
    <w:rsid w:val="00867D61"/>
    <w:rsid w:val="008701EF"/>
    <w:rsid w:val="008714ED"/>
    <w:rsid w:val="00871935"/>
    <w:rsid w:val="00871C00"/>
    <w:rsid w:val="00871C10"/>
    <w:rsid w:val="0087260C"/>
    <w:rsid w:val="00874A8A"/>
    <w:rsid w:val="00874C85"/>
    <w:rsid w:val="008752F7"/>
    <w:rsid w:val="0087581A"/>
    <w:rsid w:val="00875BCD"/>
    <w:rsid w:val="00876541"/>
    <w:rsid w:val="00877A1E"/>
    <w:rsid w:val="00880941"/>
    <w:rsid w:val="00880C1B"/>
    <w:rsid w:val="00882A43"/>
    <w:rsid w:val="00884758"/>
    <w:rsid w:val="00884763"/>
    <w:rsid w:val="00884CB1"/>
    <w:rsid w:val="008863F4"/>
    <w:rsid w:val="00886DD0"/>
    <w:rsid w:val="00890780"/>
    <w:rsid w:val="00891FBA"/>
    <w:rsid w:val="008926C1"/>
    <w:rsid w:val="008936F3"/>
    <w:rsid w:val="008945FB"/>
    <w:rsid w:val="0089513F"/>
    <w:rsid w:val="008953BB"/>
    <w:rsid w:val="008957AD"/>
    <w:rsid w:val="00895C7A"/>
    <w:rsid w:val="00896C04"/>
    <w:rsid w:val="0089728C"/>
    <w:rsid w:val="008976E6"/>
    <w:rsid w:val="008A1F69"/>
    <w:rsid w:val="008A2431"/>
    <w:rsid w:val="008A37D5"/>
    <w:rsid w:val="008A3BEC"/>
    <w:rsid w:val="008A4FDC"/>
    <w:rsid w:val="008A57A5"/>
    <w:rsid w:val="008A5BD8"/>
    <w:rsid w:val="008A5E61"/>
    <w:rsid w:val="008B018C"/>
    <w:rsid w:val="008B1A99"/>
    <w:rsid w:val="008B1D9F"/>
    <w:rsid w:val="008B1EB1"/>
    <w:rsid w:val="008B231D"/>
    <w:rsid w:val="008B24C1"/>
    <w:rsid w:val="008B28AF"/>
    <w:rsid w:val="008B3481"/>
    <w:rsid w:val="008B58DA"/>
    <w:rsid w:val="008B6A4B"/>
    <w:rsid w:val="008B6C93"/>
    <w:rsid w:val="008C00EA"/>
    <w:rsid w:val="008C0672"/>
    <w:rsid w:val="008C0983"/>
    <w:rsid w:val="008C171A"/>
    <w:rsid w:val="008C1ACB"/>
    <w:rsid w:val="008C24F5"/>
    <w:rsid w:val="008C38FF"/>
    <w:rsid w:val="008C3CE6"/>
    <w:rsid w:val="008C46AC"/>
    <w:rsid w:val="008C4B08"/>
    <w:rsid w:val="008C4BF2"/>
    <w:rsid w:val="008C5264"/>
    <w:rsid w:val="008C5A8E"/>
    <w:rsid w:val="008C6CE9"/>
    <w:rsid w:val="008C6F8A"/>
    <w:rsid w:val="008D06A5"/>
    <w:rsid w:val="008D0D8F"/>
    <w:rsid w:val="008D1A98"/>
    <w:rsid w:val="008D2047"/>
    <w:rsid w:val="008D25E0"/>
    <w:rsid w:val="008D2C3D"/>
    <w:rsid w:val="008D3D71"/>
    <w:rsid w:val="008D4883"/>
    <w:rsid w:val="008D4D8B"/>
    <w:rsid w:val="008D4F7F"/>
    <w:rsid w:val="008D532F"/>
    <w:rsid w:val="008D5357"/>
    <w:rsid w:val="008E0001"/>
    <w:rsid w:val="008E31A3"/>
    <w:rsid w:val="008E3221"/>
    <w:rsid w:val="008E43F9"/>
    <w:rsid w:val="008E52CE"/>
    <w:rsid w:val="008E55F4"/>
    <w:rsid w:val="008E57AD"/>
    <w:rsid w:val="008E57FC"/>
    <w:rsid w:val="008E6AB0"/>
    <w:rsid w:val="008E7254"/>
    <w:rsid w:val="008E7DD3"/>
    <w:rsid w:val="008F0A70"/>
    <w:rsid w:val="008F1C61"/>
    <w:rsid w:val="008F1E51"/>
    <w:rsid w:val="008F26E8"/>
    <w:rsid w:val="008F2E50"/>
    <w:rsid w:val="008F2F58"/>
    <w:rsid w:val="008F35B1"/>
    <w:rsid w:val="008F5418"/>
    <w:rsid w:val="008F5FC4"/>
    <w:rsid w:val="008F6AE7"/>
    <w:rsid w:val="008F6B3F"/>
    <w:rsid w:val="008F6E72"/>
    <w:rsid w:val="008F717A"/>
    <w:rsid w:val="008F7708"/>
    <w:rsid w:val="008F79B1"/>
    <w:rsid w:val="008F7D1C"/>
    <w:rsid w:val="008F7DFF"/>
    <w:rsid w:val="009000BE"/>
    <w:rsid w:val="00900AD9"/>
    <w:rsid w:val="00901081"/>
    <w:rsid w:val="00902A1D"/>
    <w:rsid w:val="00902B31"/>
    <w:rsid w:val="00902C2E"/>
    <w:rsid w:val="00902D34"/>
    <w:rsid w:val="00903224"/>
    <w:rsid w:val="00903412"/>
    <w:rsid w:val="00903FD7"/>
    <w:rsid w:val="00904119"/>
    <w:rsid w:val="00904803"/>
    <w:rsid w:val="00906DB9"/>
    <w:rsid w:val="00906F74"/>
    <w:rsid w:val="00907401"/>
    <w:rsid w:val="00907A47"/>
    <w:rsid w:val="00910557"/>
    <w:rsid w:val="009110EA"/>
    <w:rsid w:val="009112B3"/>
    <w:rsid w:val="00912524"/>
    <w:rsid w:val="00914325"/>
    <w:rsid w:val="00914DF2"/>
    <w:rsid w:val="00916800"/>
    <w:rsid w:val="0091750B"/>
    <w:rsid w:val="00920140"/>
    <w:rsid w:val="009219FB"/>
    <w:rsid w:val="009235E3"/>
    <w:rsid w:val="00924F69"/>
    <w:rsid w:val="00925575"/>
    <w:rsid w:val="00925A9B"/>
    <w:rsid w:val="00925D88"/>
    <w:rsid w:val="0092675C"/>
    <w:rsid w:val="00927CE2"/>
    <w:rsid w:val="00927F09"/>
    <w:rsid w:val="009306A9"/>
    <w:rsid w:val="0093119A"/>
    <w:rsid w:val="009317EA"/>
    <w:rsid w:val="00931F61"/>
    <w:rsid w:val="0093213B"/>
    <w:rsid w:val="0093257E"/>
    <w:rsid w:val="00932C62"/>
    <w:rsid w:val="00933520"/>
    <w:rsid w:val="009336B3"/>
    <w:rsid w:val="009337E8"/>
    <w:rsid w:val="00934ACF"/>
    <w:rsid w:val="00934FCA"/>
    <w:rsid w:val="0093582D"/>
    <w:rsid w:val="00935ADC"/>
    <w:rsid w:val="00936188"/>
    <w:rsid w:val="00940468"/>
    <w:rsid w:val="009408C4"/>
    <w:rsid w:val="00940F4F"/>
    <w:rsid w:val="0094148B"/>
    <w:rsid w:val="009414AF"/>
    <w:rsid w:val="00942787"/>
    <w:rsid w:val="009433BD"/>
    <w:rsid w:val="00943631"/>
    <w:rsid w:val="00943A15"/>
    <w:rsid w:val="00943A22"/>
    <w:rsid w:val="00944799"/>
    <w:rsid w:val="009447A6"/>
    <w:rsid w:val="00944B14"/>
    <w:rsid w:val="00945663"/>
    <w:rsid w:val="0094583B"/>
    <w:rsid w:val="0094640B"/>
    <w:rsid w:val="00951D29"/>
    <w:rsid w:val="00951D87"/>
    <w:rsid w:val="00951EF5"/>
    <w:rsid w:val="00952B39"/>
    <w:rsid w:val="00952C84"/>
    <w:rsid w:val="0095397D"/>
    <w:rsid w:val="009541C6"/>
    <w:rsid w:val="00954751"/>
    <w:rsid w:val="00954862"/>
    <w:rsid w:val="00954D2C"/>
    <w:rsid w:val="00955841"/>
    <w:rsid w:val="00955ACE"/>
    <w:rsid w:val="00957085"/>
    <w:rsid w:val="00957343"/>
    <w:rsid w:val="00957D16"/>
    <w:rsid w:val="00960B93"/>
    <w:rsid w:val="00961B05"/>
    <w:rsid w:val="00962569"/>
    <w:rsid w:val="00962C48"/>
    <w:rsid w:val="00963FC9"/>
    <w:rsid w:val="009643C7"/>
    <w:rsid w:val="00964873"/>
    <w:rsid w:val="0096488D"/>
    <w:rsid w:val="0096488F"/>
    <w:rsid w:val="009650F0"/>
    <w:rsid w:val="009665ED"/>
    <w:rsid w:val="009679F5"/>
    <w:rsid w:val="0097098D"/>
    <w:rsid w:val="00971822"/>
    <w:rsid w:val="009719F3"/>
    <w:rsid w:val="00971DD1"/>
    <w:rsid w:val="009721F7"/>
    <w:rsid w:val="0097340C"/>
    <w:rsid w:val="009736AE"/>
    <w:rsid w:val="00973987"/>
    <w:rsid w:val="009739D0"/>
    <w:rsid w:val="0097517C"/>
    <w:rsid w:val="0097518C"/>
    <w:rsid w:val="00975477"/>
    <w:rsid w:val="00976166"/>
    <w:rsid w:val="009770C9"/>
    <w:rsid w:val="009805F0"/>
    <w:rsid w:val="0098124A"/>
    <w:rsid w:val="009813EA"/>
    <w:rsid w:val="00981401"/>
    <w:rsid w:val="009822FE"/>
    <w:rsid w:val="00982999"/>
    <w:rsid w:val="00984B71"/>
    <w:rsid w:val="00984FBC"/>
    <w:rsid w:val="00985214"/>
    <w:rsid w:val="00985931"/>
    <w:rsid w:val="00985AD0"/>
    <w:rsid w:val="00986763"/>
    <w:rsid w:val="0098797E"/>
    <w:rsid w:val="009879B2"/>
    <w:rsid w:val="009901AC"/>
    <w:rsid w:val="00990370"/>
    <w:rsid w:val="00990F13"/>
    <w:rsid w:val="009911B7"/>
    <w:rsid w:val="00991323"/>
    <w:rsid w:val="00991725"/>
    <w:rsid w:val="00991AB0"/>
    <w:rsid w:val="009922DC"/>
    <w:rsid w:val="0099291C"/>
    <w:rsid w:val="00992BFB"/>
    <w:rsid w:val="00993364"/>
    <w:rsid w:val="00993C5B"/>
    <w:rsid w:val="0099401D"/>
    <w:rsid w:val="009957A8"/>
    <w:rsid w:val="00995D29"/>
    <w:rsid w:val="00995E84"/>
    <w:rsid w:val="00996F38"/>
    <w:rsid w:val="00997563"/>
    <w:rsid w:val="009A0047"/>
    <w:rsid w:val="009A007D"/>
    <w:rsid w:val="009A083F"/>
    <w:rsid w:val="009A10E2"/>
    <w:rsid w:val="009A2476"/>
    <w:rsid w:val="009A3061"/>
    <w:rsid w:val="009A5D0E"/>
    <w:rsid w:val="009A6046"/>
    <w:rsid w:val="009A7343"/>
    <w:rsid w:val="009A76C5"/>
    <w:rsid w:val="009A783B"/>
    <w:rsid w:val="009A7BCF"/>
    <w:rsid w:val="009B010D"/>
    <w:rsid w:val="009B1310"/>
    <w:rsid w:val="009B1766"/>
    <w:rsid w:val="009B1E88"/>
    <w:rsid w:val="009B48FA"/>
    <w:rsid w:val="009B4B6D"/>
    <w:rsid w:val="009B4D30"/>
    <w:rsid w:val="009B4ECC"/>
    <w:rsid w:val="009B572E"/>
    <w:rsid w:val="009B72BF"/>
    <w:rsid w:val="009B797C"/>
    <w:rsid w:val="009C2C68"/>
    <w:rsid w:val="009C3EFC"/>
    <w:rsid w:val="009C40CB"/>
    <w:rsid w:val="009C41CB"/>
    <w:rsid w:val="009C4222"/>
    <w:rsid w:val="009C423D"/>
    <w:rsid w:val="009C47F3"/>
    <w:rsid w:val="009C51B5"/>
    <w:rsid w:val="009C5971"/>
    <w:rsid w:val="009C6338"/>
    <w:rsid w:val="009C67D4"/>
    <w:rsid w:val="009C681F"/>
    <w:rsid w:val="009C6F1F"/>
    <w:rsid w:val="009C7340"/>
    <w:rsid w:val="009D0036"/>
    <w:rsid w:val="009D1AFC"/>
    <w:rsid w:val="009D2C91"/>
    <w:rsid w:val="009D3468"/>
    <w:rsid w:val="009D47C3"/>
    <w:rsid w:val="009D492D"/>
    <w:rsid w:val="009D526F"/>
    <w:rsid w:val="009D535D"/>
    <w:rsid w:val="009D63FE"/>
    <w:rsid w:val="009D6990"/>
    <w:rsid w:val="009D731A"/>
    <w:rsid w:val="009E0622"/>
    <w:rsid w:val="009E0C0C"/>
    <w:rsid w:val="009E0DAC"/>
    <w:rsid w:val="009E27A0"/>
    <w:rsid w:val="009E2F6F"/>
    <w:rsid w:val="009E3756"/>
    <w:rsid w:val="009E389C"/>
    <w:rsid w:val="009E54DE"/>
    <w:rsid w:val="009E5BE5"/>
    <w:rsid w:val="009E63CC"/>
    <w:rsid w:val="009E6AF2"/>
    <w:rsid w:val="009E710C"/>
    <w:rsid w:val="009F0899"/>
    <w:rsid w:val="009F0A62"/>
    <w:rsid w:val="009F172E"/>
    <w:rsid w:val="009F215D"/>
    <w:rsid w:val="009F2EBE"/>
    <w:rsid w:val="009F3041"/>
    <w:rsid w:val="009F31FF"/>
    <w:rsid w:val="009F3293"/>
    <w:rsid w:val="009F351E"/>
    <w:rsid w:val="009F473A"/>
    <w:rsid w:val="009F69C4"/>
    <w:rsid w:val="009F6BC3"/>
    <w:rsid w:val="009F6F95"/>
    <w:rsid w:val="009F72DA"/>
    <w:rsid w:val="009F7A43"/>
    <w:rsid w:val="009F7E60"/>
    <w:rsid w:val="00A00B41"/>
    <w:rsid w:val="00A00C28"/>
    <w:rsid w:val="00A01895"/>
    <w:rsid w:val="00A02627"/>
    <w:rsid w:val="00A02801"/>
    <w:rsid w:val="00A02B33"/>
    <w:rsid w:val="00A02C49"/>
    <w:rsid w:val="00A031F2"/>
    <w:rsid w:val="00A03A65"/>
    <w:rsid w:val="00A04A4A"/>
    <w:rsid w:val="00A04B21"/>
    <w:rsid w:val="00A053D4"/>
    <w:rsid w:val="00A0559B"/>
    <w:rsid w:val="00A06BA9"/>
    <w:rsid w:val="00A10EFB"/>
    <w:rsid w:val="00A12EC6"/>
    <w:rsid w:val="00A1313E"/>
    <w:rsid w:val="00A13856"/>
    <w:rsid w:val="00A13F19"/>
    <w:rsid w:val="00A140CC"/>
    <w:rsid w:val="00A149F8"/>
    <w:rsid w:val="00A15067"/>
    <w:rsid w:val="00A157F1"/>
    <w:rsid w:val="00A159EA"/>
    <w:rsid w:val="00A15B41"/>
    <w:rsid w:val="00A1718E"/>
    <w:rsid w:val="00A17682"/>
    <w:rsid w:val="00A21666"/>
    <w:rsid w:val="00A27F16"/>
    <w:rsid w:val="00A30726"/>
    <w:rsid w:val="00A30A45"/>
    <w:rsid w:val="00A30BD6"/>
    <w:rsid w:val="00A311AF"/>
    <w:rsid w:val="00A31445"/>
    <w:rsid w:val="00A31870"/>
    <w:rsid w:val="00A3206C"/>
    <w:rsid w:val="00A3228C"/>
    <w:rsid w:val="00A32604"/>
    <w:rsid w:val="00A32E79"/>
    <w:rsid w:val="00A336BC"/>
    <w:rsid w:val="00A34A19"/>
    <w:rsid w:val="00A35AB1"/>
    <w:rsid w:val="00A35DEB"/>
    <w:rsid w:val="00A3611D"/>
    <w:rsid w:val="00A363A4"/>
    <w:rsid w:val="00A36664"/>
    <w:rsid w:val="00A36A63"/>
    <w:rsid w:val="00A400CC"/>
    <w:rsid w:val="00A41534"/>
    <w:rsid w:val="00A41D11"/>
    <w:rsid w:val="00A41F47"/>
    <w:rsid w:val="00A42079"/>
    <w:rsid w:val="00A426B8"/>
    <w:rsid w:val="00A42702"/>
    <w:rsid w:val="00A43F16"/>
    <w:rsid w:val="00A45579"/>
    <w:rsid w:val="00A45F03"/>
    <w:rsid w:val="00A46B75"/>
    <w:rsid w:val="00A46EB6"/>
    <w:rsid w:val="00A5003F"/>
    <w:rsid w:val="00A506C1"/>
    <w:rsid w:val="00A508AB"/>
    <w:rsid w:val="00A50A70"/>
    <w:rsid w:val="00A5315B"/>
    <w:rsid w:val="00A5387E"/>
    <w:rsid w:val="00A54F16"/>
    <w:rsid w:val="00A55497"/>
    <w:rsid w:val="00A55DB3"/>
    <w:rsid w:val="00A564D1"/>
    <w:rsid w:val="00A57B86"/>
    <w:rsid w:val="00A60C8D"/>
    <w:rsid w:val="00A61297"/>
    <w:rsid w:val="00A624ED"/>
    <w:rsid w:val="00A62616"/>
    <w:rsid w:val="00A63566"/>
    <w:rsid w:val="00A63734"/>
    <w:rsid w:val="00A6446E"/>
    <w:rsid w:val="00A6509E"/>
    <w:rsid w:val="00A65381"/>
    <w:rsid w:val="00A65E4E"/>
    <w:rsid w:val="00A65EF2"/>
    <w:rsid w:val="00A66768"/>
    <w:rsid w:val="00A6686F"/>
    <w:rsid w:val="00A6699E"/>
    <w:rsid w:val="00A66EAC"/>
    <w:rsid w:val="00A6732B"/>
    <w:rsid w:val="00A6799C"/>
    <w:rsid w:val="00A67B51"/>
    <w:rsid w:val="00A70407"/>
    <w:rsid w:val="00A70C82"/>
    <w:rsid w:val="00A70D5A"/>
    <w:rsid w:val="00A72DC6"/>
    <w:rsid w:val="00A73416"/>
    <w:rsid w:val="00A745E1"/>
    <w:rsid w:val="00A7497E"/>
    <w:rsid w:val="00A74A07"/>
    <w:rsid w:val="00A778DE"/>
    <w:rsid w:val="00A77A32"/>
    <w:rsid w:val="00A80113"/>
    <w:rsid w:val="00A811A6"/>
    <w:rsid w:val="00A8201B"/>
    <w:rsid w:val="00A8290E"/>
    <w:rsid w:val="00A84A06"/>
    <w:rsid w:val="00A85191"/>
    <w:rsid w:val="00A85889"/>
    <w:rsid w:val="00A86CEF"/>
    <w:rsid w:val="00A91B20"/>
    <w:rsid w:val="00A92304"/>
    <w:rsid w:val="00A929A8"/>
    <w:rsid w:val="00A92BFC"/>
    <w:rsid w:val="00A94378"/>
    <w:rsid w:val="00A94B61"/>
    <w:rsid w:val="00A94E15"/>
    <w:rsid w:val="00A963EA"/>
    <w:rsid w:val="00A96EA1"/>
    <w:rsid w:val="00A96FCB"/>
    <w:rsid w:val="00A97A68"/>
    <w:rsid w:val="00AA00DA"/>
    <w:rsid w:val="00AA041B"/>
    <w:rsid w:val="00AA0A0C"/>
    <w:rsid w:val="00AA18B4"/>
    <w:rsid w:val="00AA1E81"/>
    <w:rsid w:val="00AA201F"/>
    <w:rsid w:val="00AA21EE"/>
    <w:rsid w:val="00AA5168"/>
    <w:rsid w:val="00AA7367"/>
    <w:rsid w:val="00AA7396"/>
    <w:rsid w:val="00AB0477"/>
    <w:rsid w:val="00AB095E"/>
    <w:rsid w:val="00AB1536"/>
    <w:rsid w:val="00AB1E76"/>
    <w:rsid w:val="00AB24F4"/>
    <w:rsid w:val="00AB253E"/>
    <w:rsid w:val="00AB2AF2"/>
    <w:rsid w:val="00AB3103"/>
    <w:rsid w:val="00AB344C"/>
    <w:rsid w:val="00AB3B08"/>
    <w:rsid w:val="00AB4CF8"/>
    <w:rsid w:val="00AB50D3"/>
    <w:rsid w:val="00AB50D9"/>
    <w:rsid w:val="00AB55BE"/>
    <w:rsid w:val="00AB6882"/>
    <w:rsid w:val="00AB7045"/>
    <w:rsid w:val="00AC0FC6"/>
    <w:rsid w:val="00AC126C"/>
    <w:rsid w:val="00AC1B4A"/>
    <w:rsid w:val="00AC1BE0"/>
    <w:rsid w:val="00AC4266"/>
    <w:rsid w:val="00AC48D0"/>
    <w:rsid w:val="00AC601D"/>
    <w:rsid w:val="00AC6FAF"/>
    <w:rsid w:val="00AD08D1"/>
    <w:rsid w:val="00AD0AA7"/>
    <w:rsid w:val="00AD0BB4"/>
    <w:rsid w:val="00AD1584"/>
    <w:rsid w:val="00AD2533"/>
    <w:rsid w:val="00AD3124"/>
    <w:rsid w:val="00AD371D"/>
    <w:rsid w:val="00AD4E7F"/>
    <w:rsid w:val="00AD4FEB"/>
    <w:rsid w:val="00AD569E"/>
    <w:rsid w:val="00AD661B"/>
    <w:rsid w:val="00AD66C3"/>
    <w:rsid w:val="00AD6887"/>
    <w:rsid w:val="00AD6959"/>
    <w:rsid w:val="00AE009B"/>
    <w:rsid w:val="00AE1522"/>
    <w:rsid w:val="00AE18E2"/>
    <w:rsid w:val="00AE22BC"/>
    <w:rsid w:val="00AE3515"/>
    <w:rsid w:val="00AE3BE5"/>
    <w:rsid w:val="00AE4AB8"/>
    <w:rsid w:val="00AE4ED5"/>
    <w:rsid w:val="00AE54B2"/>
    <w:rsid w:val="00AE5A43"/>
    <w:rsid w:val="00AE5B17"/>
    <w:rsid w:val="00AE5FE0"/>
    <w:rsid w:val="00AE63C6"/>
    <w:rsid w:val="00AE6892"/>
    <w:rsid w:val="00AE69F3"/>
    <w:rsid w:val="00AE7B67"/>
    <w:rsid w:val="00AE7C53"/>
    <w:rsid w:val="00AF0528"/>
    <w:rsid w:val="00AF10E7"/>
    <w:rsid w:val="00AF1A51"/>
    <w:rsid w:val="00AF2E0F"/>
    <w:rsid w:val="00AF3F9D"/>
    <w:rsid w:val="00AF4AE5"/>
    <w:rsid w:val="00AF4CF6"/>
    <w:rsid w:val="00AF554B"/>
    <w:rsid w:val="00AF6494"/>
    <w:rsid w:val="00AF7A4B"/>
    <w:rsid w:val="00B002D6"/>
    <w:rsid w:val="00B00B29"/>
    <w:rsid w:val="00B00E08"/>
    <w:rsid w:val="00B00EFC"/>
    <w:rsid w:val="00B02B80"/>
    <w:rsid w:val="00B03A1C"/>
    <w:rsid w:val="00B047B0"/>
    <w:rsid w:val="00B04F1F"/>
    <w:rsid w:val="00B05223"/>
    <w:rsid w:val="00B061BE"/>
    <w:rsid w:val="00B064B3"/>
    <w:rsid w:val="00B06888"/>
    <w:rsid w:val="00B06BED"/>
    <w:rsid w:val="00B07294"/>
    <w:rsid w:val="00B1014D"/>
    <w:rsid w:val="00B121C5"/>
    <w:rsid w:val="00B12558"/>
    <w:rsid w:val="00B14489"/>
    <w:rsid w:val="00B1530F"/>
    <w:rsid w:val="00B1636E"/>
    <w:rsid w:val="00B1696B"/>
    <w:rsid w:val="00B16C9E"/>
    <w:rsid w:val="00B17177"/>
    <w:rsid w:val="00B1759C"/>
    <w:rsid w:val="00B2079F"/>
    <w:rsid w:val="00B20D70"/>
    <w:rsid w:val="00B225E0"/>
    <w:rsid w:val="00B22941"/>
    <w:rsid w:val="00B240B0"/>
    <w:rsid w:val="00B246E3"/>
    <w:rsid w:val="00B24EE2"/>
    <w:rsid w:val="00B25273"/>
    <w:rsid w:val="00B25469"/>
    <w:rsid w:val="00B25E89"/>
    <w:rsid w:val="00B2611F"/>
    <w:rsid w:val="00B264EE"/>
    <w:rsid w:val="00B26CD0"/>
    <w:rsid w:val="00B26EAD"/>
    <w:rsid w:val="00B27D50"/>
    <w:rsid w:val="00B300D2"/>
    <w:rsid w:val="00B30BCC"/>
    <w:rsid w:val="00B310A5"/>
    <w:rsid w:val="00B3154C"/>
    <w:rsid w:val="00B33BC8"/>
    <w:rsid w:val="00B3585C"/>
    <w:rsid w:val="00B35A9F"/>
    <w:rsid w:val="00B36BC4"/>
    <w:rsid w:val="00B37E4C"/>
    <w:rsid w:val="00B400E9"/>
    <w:rsid w:val="00B40501"/>
    <w:rsid w:val="00B40ECD"/>
    <w:rsid w:val="00B41124"/>
    <w:rsid w:val="00B417E0"/>
    <w:rsid w:val="00B429F4"/>
    <w:rsid w:val="00B42C92"/>
    <w:rsid w:val="00B438D6"/>
    <w:rsid w:val="00B43B33"/>
    <w:rsid w:val="00B477C9"/>
    <w:rsid w:val="00B47C24"/>
    <w:rsid w:val="00B5151F"/>
    <w:rsid w:val="00B51A6E"/>
    <w:rsid w:val="00B533D1"/>
    <w:rsid w:val="00B53E17"/>
    <w:rsid w:val="00B54086"/>
    <w:rsid w:val="00B54B51"/>
    <w:rsid w:val="00B54DD3"/>
    <w:rsid w:val="00B54E65"/>
    <w:rsid w:val="00B55B67"/>
    <w:rsid w:val="00B56418"/>
    <w:rsid w:val="00B56C4D"/>
    <w:rsid w:val="00B5781A"/>
    <w:rsid w:val="00B60678"/>
    <w:rsid w:val="00B60C8A"/>
    <w:rsid w:val="00B613C6"/>
    <w:rsid w:val="00B629E6"/>
    <w:rsid w:val="00B6394D"/>
    <w:rsid w:val="00B63A27"/>
    <w:rsid w:val="00B63D89"/>
    <w:rsid w:val="00B6454B"/>
    <w:rsid w:val="00B64555"/>
    <w:rsid w:val="00B65B2A"/>
    <w:rsid w:val="00B66043"/>
    <w:rsid w:val="00B6783D"/>
    <w:rsid w:val="00B71311"/>
    <w:rsid w:val="00B71C4A"/>
    <w:rsid w:val="00B722B8"/>
    <w:rsid w:val="00B72BA3"/>
    <w:rsid w:val="00B736EE"/>
    <w:rsid w:val="00B73A79"/>
    <w:rsid w:val="00B73B2B"/>
    <w:rsid w:val="00B75B4C"/>
    <w:rsid w:val="00B75BF5"/>
    <w:rsid w:val="00B75C49"/>
    <w:rsid w:val="00B7652B"/>
    <w:rsid w:val="00B7664D"/>
    <w:rsid w:val="00B76B59"/>
    <w:rsid w:val="00B76BE2"/>
    <w:rsid w:val="00B773CA"/>
    <w:rsid w:val="00B7744D"/>
    <w:rsid w:val="00B77857"/>
    <w:rsid w:val="00B805B4"/>
    <w:rsid w:val="00B816D3"/>
    <w:rsid w:val="00B816F9"/>
    <w:rsid w:val="00B819FC"/>
    <w:rsid w:val="00B81DE3"/>
    <w:rsid w:val="00B82229"/>
    <w:rsid w:val="00B82771"/>
    <w:rsid w:val="00B84F34"/>
    <w:rsid w:val="00B85872"/>
    <w:rsid w:val="00B85CD3"/>
    <w:rsid w:val="00B867B9"/>
    <w:rsid w:val="00B8693D"/>
    <w:rsid w:val="00B86C0D"/>
    <w:rsid w:val="00B90911"/>
    <w:rsid w:val="00B90C32"/>
    <w:rsid w:val="00B917C9"/>
    <w:rsid w:val="00B91A6A"/>
    <w:rsid w:val="00B9313A"/>
    <w:rsid w:val="00B936D4"/>
    <w:rsid w:val="00B939D9"/>
    <w:rsid w:val="00B9520D"/>
    <w:rsid w:val="00B95BB0"/>
    <w:rsid w:val="00B9612A"/>
    <w:rsid w:val="00B96C77"/>
    <w:rsid w:val="00B96CC7"/>
    <w:rsid w:val="00B96FB0"/>
    <w:rsid w:val="00B9793D"/>
    <w:rsid w:val="00B97ADD"/>
    <w:rsid w:val="00BA10E6"/>
    <w:rsid w:val="00BA1259"/>
    <w:rsid w:val="00BA1BF8"/>
    <w:rsid w:val="00BA366A"/>
    <w:rsid w:val="00BA3AC6"/>
    <w:rsid w:val="00BA3FBD"/>
    <w:rsid w:val="00BA4A87"/>
    <w:rsid w:val="00BA4E15"/>
    <w:rsid w:val="00BA688C"/>
    <w:rsid w:val="00BA6D0E"/>
    <w:rsid w:val="00BA7226"/>
    <w:rsid w:val="00BA79C1"/>
    <w:rsid w:val="00BA79C9"/>
    <w:rsid w:val="00BB03C7"/>
    <w:rsid w:val="00BB167C"/>
    <w:rsid w:val="00BB1C44"/>
    <w:rsid w:val="00BB2063"/>
    <w:rsid w:val="00BB235E"/>
    <w:rsid w:val="00BB3F8F"/>
    <w:rsid w:val="00BB4CEB"/>
    <w:rsid w:val="00BB501A"/>
    <w:rsid w:val="00BB5216"/>
    <w:rsid w:val="00BB5503"/>
    <w:rsid w:val="00BB5E67"/>
    <w:rsid w:val="00BB5F15"/>
    <w:rsid w:val="00BB5FFD"/>
    <w:rsid w:val="00BB6701"/>
    <w:rsid w:val="00BB6B1B"/>
    <w:rsid w:val="00BB716F"/>
    <w:rsid w:val="00BB7DE7"/>
    <w:rsid w:val="00BC02F1"/>
    <w:rsid w:val="00BC0B4B"/>
    <w:rsid w:val="00BC0C36"/>
    <w:rsid w:val="00BC18AA"/>
    <w:rsid w:val="00BC1A49"/>
    <w:rsid w:val="00BC20F8"/>
    <w:rsid w:val="00BC220C"/>
    <w:rsid w:val="00BC3359"/>
    <w:rsid w:val="00BC41B2"/>
    <w:rsid w:val="00BC4DCF"/>
    <w:rsid w:val="00BC4FA7"/>
    <w:rsid w:val="00BC51E6"/>
    <w:rsid w:val="00BC583B"/>
    <w:rsid w:val="00BC5DCC"/>
    <w:rsid w:val="00BC71CA"/>
    <w:rsid w:val="00BC7662"/>
    <w:rsid w:val="00BC7711"/>
    <w:rsid w:val="00BD2208"/>
    <w:rsid w:val="00BD2896"/>
    <w:rsid w:val="00BD4D76"/>
    <w:rsid w:val="00BD4E4C"/>
    <w:rsid w:val="00BD6320"/>
    <w:rsid w:val="00BD6A05"/>
    <w:rsid w:val="00BD74E6"/>
    <w:rsid w:val="00BD7531"/>
    <w:rsid w:val="00BD7711"/>
    <w:rsid w:val="00BD7909"/>
    <w:rsid w:val="00BD7A5E"/>
    <w:rsid w:val="00BE0B62"/>
    <w:rsid w:val="00BE0E04"/>
    <w:rsid w:val="00BE136E"/>
    <w:rsid w:val="00BE1A6E"/>
    <w:rsid w:val="00BE1A7C"/>
    <w:rsid w:val="00BE1E29"/>
    <w:rsid w:val="00BE2518"/>
    <w:rsid w:val="00BE34D8"/>
    <w:rsid w:val="00BE391B"/>
    <w:rsid w:val="00BE3992"/>
    <w:rsid w:val="00BE3E86"/>
    <w:rsid w:val="00BE492B"/>
    <w:rsid w:val="00BE4C74"/>
    <w:rsid w:val="00BE4E4B"/>
    <w:rsid w:val="00BE5871"/>
    <w:rsid w:val="00BE5EEC"/>
    <w:rsid w:val="00BE61CC"/>
    <w:rsid w:val="00BE7489"/>
    <w:rsid w:val="00BE77A9"/>
    <w:rsid w:val="00BF1952"/>
    <w:rsid w:val="00BF2068"/>
    <w:rsid w:val="00BF2BFE"/>
    <w:rsid w:val="00BF3074"/>
    <w:rsid w:val="00BF3253"/>
    <w:rsid w:val="00BF3262"/>
    <w:rsid w:val="00BF3300"/>
    <w:rsid w:val="00BF3AD2"/>
    <w:rsid w:val="00BF516D"/>
    <w:rsid w:val="00BF5BDA"/>
    <w:rsid w:val="00BF5DDF"/>
    <w:rsid w:val="00BF6A52"/>
    <w:rsid w:val="00BF6D4C"/>
    <w:rsid w:val="00BF7DD0"/>
    <w:rsid w:val="00C00F73"/>
    <w:rsid w:val="00C019B8"/>
    <w:rsid w:val="00C02F10"/>
    <w:rsid w:val="00C03001"/>
    <w:rsid w:val="00C0344D"/>
    <w:rsid w:val="00C0362C"/>
    <w:rsid w:val="00C04128"/>
    <w:rsid w:val="00C04BAA"/>
    <w:rsid w:val="00C04F6D"/>
    <w:rsid w:val="00C054F2"/>
    <w:rsid w:val="00C060C4"/>
    <w:rsid w:val="00C067F0"/>
    <w:rsid w:val="00C06BED"/>
    <w:rsid w:val="00C070AE"/>
    <w:rsid w:val="00C07304"/>
    <w:rsid w:val="00C07676"/>
    <w:rsid w:val="00C105E3"/>
    <w:rsid w:val="00C109FB"/>
    <w:rsid w:val="00C10CF9"/>
    <w:rsid w:val="00C110E0"/>
    <w:rsid w:val="00C114B7"/>
    <w:rsid w:val="00C11558"/>
    <w:rsid w:val="00C120D4"/>
    <w:rsid w:val="00C12130"/>
    <w:rsid w:val="00C136F3"/>
    <w:rsid w:val="00C13D15"/>
    <w:rsid w:val="00C14297"/>
    <w:rsid w:val="00C14383"/>
    <w:rsid w:val="00C14A24"/>
    <w:rsid w:val="00C14E69"/>
    <w:rsid w:val="00C1638A"/>
    <w:rsid w:val="00C17D11"/>
    <w:rsid w:val="00C212E4"/>
    <w:rsid w:val="00C22EBF"/>
    <w:rsid w:val="00C2316F"/>
    <w:rsid w:val="00C24060"/>
    <w:rsid w:val="00C25358"/>
    <w:rsid w:val="00C25CEA"/>
    <w:rsid w:val="00C25EE0"/>
    <w:rsid w:val="00C25FA2"/>
    <w:rsid w:val="00C26270"/>
    <w:rsid w:val="00C267E3"/>
    <w:rsid w:val="00C274FE"/>
    <w:rsid w:val="00C27A17"/>
    <w:rsid w:val="00C30DBC"/>
    <w:rsid w:val="00C311D6"/>
    <w:rsid w:val="00C31333"/>
    <w:rsid w:val="00C31368"/>
    <w:rsid w:val="00C3219C"/>
    <w:rsid w:val="00C3335D"/>
    <w:rsid w:val="00C3341F"/>
    <w:rsid w:val="00C34E32"/>
    <w:rsid w:val="00C36548"/>
    <w:rsid w:val="00C3681B"/>
    <w:rsid w:val="00C41108"/>
    <w:rsid w:val="00C41629"/>
    <w:rsid w:val="00C41BE5"/>
    <w:rsid w:val="00C4274A"/>
    <w:rsid w:val="00C42C26"/>
    <w:rsid w:val="00C42CC0"/>
    <w:rsid w:val="00C42FAB"/>
    <w:rsid w:val="00C42FCA"/>
    <w:rsid w:val="00C439E1"/>
    <w:rsid w:val="00C456CB"/>
    <w:rsid w:val="00C464DD"/>
    <w:rsid w:val="00C46B9F"/>
    <w:rsid w:val="00C46D0F"/>
    <w:rsid w:val="00C476F9"/>
    <w:rsid w:val="00C478C1"/>
    <w:rsid w:val="00C47FB0"/>
    <w:rsid w:val="00C5094F"/>
    <w:rsid w:val="00C50E91"/>
    <w:rsid w:val="00C51104"/>
    <w:rsid w:val="00C52845"/>
    <w:rsid w:val="00C52864"/>
    <w:rsid w:val="00C52C8B"/>
    <w:rsid w:val="00C53DDE"/>
    <w:rsid w:val="00C54C38"/>
    <w:rsid w:val="00C55092"/>
    <w:rsid w:val="00C55FC4"/>
    <w:rsid w:val="00C561FC"/>
    <w:rsid w:val="00C56D57"/>
    <w:rsid w:val="00C56EAE"/>
    <w:rsid w:val="00C579F7"/>
    <w:rsid w:val="00C57C90"/>
    <w:rsid w:val="00C57F07"/>
    <w:rsid w:val="00C60ACE"/>
    <w:rsid w:val="00C60B5C"/>
    <w:rsid w:val="00C60E78"/>
    <w:rsid w:val="00C60EFC"/>
    <w:rsid w:val="00C61FA5"/>
    <w:rsid w:val="00C636AE"/>
    <w:rsid w:val="00C64838"/>
    <w:rsid w:val="00C652C5"/>
    <w:rsid w:val="00C65499"/>
    <w:rsid w:val="00C65AD9"/>
    <w:rsid w:val="00C66003"/>
    <w:rsid w:val="00C671CD"/>
    <w:rsid w:val="00C70C79"/>
    <w:rsid w:val="00C70EDE"/>
    <w:rsid w:val="00C72AFB"/>
    <w:rsid w:val="00C72E13"/>
    <w:rsid w:val="00C74BB8"/>
    <w:rsid w:val="00C77B10"/>
    <w:rsid w:val="00C80811"/>
    <w:rsid w:val="00C80B8F"/>
    <w:rsid w:val="00C80F02"/>
    <w:rsid w:val="00C813B8"/>
    <w:rsid w:val="00C82669"/>
    <w:rsid w:val="00C828CE"/>
    <w:rsid w:val="00C828ED"/>
    <w:rsid w:val="00C84857"/>
    <w:rsid w:val="00C84DA0"/>
    <w:rsid w:val="00C85176"/>
    <w:rsid w:val="00C855C0"/>
    <w:rsid w:val="00C85848"/>
    <w:rsid w:val="00C85919"/>
    <w:rsid w:val="00C85A5C"/>
    <w:rsid w:val="00C86088"/>
    <w:rsid w:val="00C8611D"/>
    <w:rsid w:val="00C86548"/>
    <w:rsid w:val="00C86561"/>
    <w:rsid w:val="00C871D8"/>
    <w:rsid w:val="00C871E2"/>
    <w:rsid w:val="00C904F7"/>
    <w:rsid w:val="00C91A08"/>
    <w:rsid w:val="00C9314F"/>
    <w:rsid w:val="00C93266"/>
    <w:rsid w:val="00C93812"/>
    <w:rsid w:val="00C93B4A"/>
    <w:rsid w:val="00C94531"/>
    <w:rsid w:val="00C94A09"/>
    <w:rsid w:val="00C94B99"/>
    <w:rsid w:val="00C95724"/>
    <w:rsid w:val="00C96172"/>
    <w:rsid w:val="00C975EA"/>
    <w:rsid w:val="00C97C4F"/>
    <w:rsid w:val="00C97F06"/>
    <w:rsid w:val="00CA02F7"/>
    <w:rsid w:val="00CA3BE0"/>
    <w:rsid w:val="00CA529F"/>
    <w:rsid w:val="00CA54AA"/>
    <w:rsid w:val="00CA5BBF"/>
    <w:rsid w:val="00CA5C00"/>
    <w:rsid w:val="00CA614E"/>
    <w:rsid w:val="00CA68B6"/>
    <w:rsid w:val="00CA6CDC"/>
    <w:rsid w:val="00CA76E0"/>
    <w:rsid w:val="00CA7DAB"/>
    <w:rsid w:val="00CB0080"/>
    <w:rsid w:val="00CB0281"/>
    <w:rsid w:val="00CB1E78"/>
    <w:rsid w:val="00CB34E0"/>
    <w:rsid w:val="00CB56D9"/>
    <w:rsid w:val="00CB5BC4"/>
    <w:rsid w:val="00CC018A"/>
    <w:rsid w:val="00CC05EE"/>
    <w:rsid w:val="00CC069D"/>
    <w:rsid w:val="00CC0A55"/>
    <w:rsid w:val="00CC0CD7"/>
    <w:rsid w:val="00CC1152"/>
    <w:rsid w:val="00CC2C8A"/>
    <w:rsid w:val="00CC4000"/>
    <w:rsid w:val="00CC4E4F"/>
    <w:rsid w:val="00CC694F"/>
    <w:rsid w:val="00CD076D"/>
    <w:rsid w:val="00CD24CD"/>
    <w:rsid w:val="00CD2664"/>
    <w:rsid w:val="00CD274E"/>
    <w:rsid w:val="00CD2FA1"/>
    <w:rsid w:val="00CD315B"/>
    <w:rsid w:val="00CD3979"/>
    <w:rsid w:val="00CD3C92"/>
    <w:rsid w:val="00CD58D7"/>
    <w:rsid w:val="00CD598B"/>
    <w:rsid w:val="00CD680C"/>
    <w:rsid w:val="00CD706C"/>
    <w:rsid w:val="00CD7147"/>
    <w:rsid w:val="00CD7796"/>
    <w:rsid w:val="00CD7A53"/>
    <w:rsid w:val="00CE012A"/>
    <w:rsid w:val="00CE2B06"/>
    <w:rsid w:val="00CE356C"/>
    <w:rsid w:val="00CE37B9"/>
    <w:rsid w:val="00CE3A5A"/>
    <w:rsid w:val="00CE3CFC"/>
    <w:rsid w:val="00CE4BE7"/>
    <w:rsid w:val="00CE4CE2"/>
    <w:rsid w:val="00CE4FDA"/>
    <w:rsid w:val="00CE53BD"/>
    <w:rsid w:val="00CE55A2"/>
    <w:rsid w:val="00CE58DD"/>
    <w:rsid w:val="00CE6136"/>
    <w:rsid w:val="00CE759C"/>
    <w:rsid w:val="00CE7BFD"/>
    <w:rsid w:val="00CE7D06"/>
    <w:rsid w:val="00CE7EF0"/>
    <w:rsid w:val="00CF047B"/>
    <w:rsid w:val="00CF078E"/>
    <w:rsid w:val="00CF2C4F"/>
    <w:rsid w:val="00CF39F0"/>
    <w:rsid w:val="00CF3A8B"/>
    <w:rsid w:val="00CF4C8E"/>
    <w:rsid w:val="00CF5122"/>
    <w:rsid w:val="00CF62F1"/>
    <w:rsid w:val="00CF65E0"/>
    <w:rsid w:val="00CF6F82"/>
    <w:rsid w:val="00CF79C4"/>
    <w:rsid w:val="00D00B99"/>
    <w:rsid w:val="00D02EF6"/>
    <w:rsid w:val="00D0311B"/>
    <w:rsid w:val="00D03F45"/>
    <w:rsid w:val="00D04459"/>
    <w:rsid w:val="00D0613E"/>
    <w:rsid w:val="00D06C6A"/>
    <w:rsid w:val="00D073A9"/>
    <w:rsid w:val="00D10188"/>
    <w:rsid w:val="00D104A6"/>
    <w:rsid w:val="00D10C8B"/>
    <w:rsid w:val="00D10D29"/>
    <w:rsid w:val="00D115D6"/>
    <w:rsid w:val="00D11EB0"/>
    <w:rsid w:val="00D12F57"/>
    <w:rsid w:val="00D13063"/>
    <w:rsid w:val="00D13173"/>
    <w:rsid w:val="00D13632"/>
    <w:rsid w:val="00D14216"/>
    <w:rsid w:val="00D14A07"/>
    <w:rsid w:val="00D159D5"/>
    <w:rsid w:val="00D15B5B"/>
    <w:rsid w:val="00D16240"/>
    <w:rsid w:val="00D16724"/>
    <w:rsid w:val="00D16904"/>
    <w:rsid w:val="00D16C5C"/>
    <w:rsid w:val="00D172DA"/>
    <w:rsid w:val="00D17B09"/>
    <w:rsid w:val="00D216DB"/>
    <w:rsid w:val="00D21DF8"/>
    <w:rsid w:val="00D22882"/>
    <w:rsid w:val="00D25750"/>
    <w:rsid w:val="00D30671"/>
    <w:rsid w:val="00D310ED"/>
    <w:rsid w:val="00D3139F"/>
    <w:rsid w:val="00D32587"/>
    <w:rsid w:val="00D32893"/>
    <w:rsid w:val="00D32A62"/>
    <w:rsid w:val="00D33109"/>
    <w:rsid w:val="00D33715"/>
    <w:rsid w:val="00D33972"/>
    <w:rsid w:val="00D3528B"/>
    <w:rsid w:val="00D365B4"/>
    <w:rsid w:val="00D36C6D"/>
    <w:rsid w:val="00D37849"/>
    <w:rsid w:val="00D3790E"/>
    <w:rsid w:val="00D403D0"/>
    <w:rsid w:val="00D40BF2"/>
    <w:rsid w:val="00D42D8E"/>
    <w:rsid w:val="00D42EF7"/>
    <w:rsid w:val="00D4337B"/>
    <w:rsid w:val="00D43AE1"/>
    <w:rsid w:val="00D45A4B"/>
    <w:rsid w:val="00D45AD4"/>
    <w:rsid w:val="00D45D04"/>
    <w:rsid w:val="00D460EB"/>
    <w:rsid w:val="00D4629A"/>
    <w:rsid w:val="00D464A8"/>
    <w:rsid w:val="00D46B2B"/>
    <w:rsid w:val="00D46C71"/>
    <w:rsid w:val="00D47E45"/>
    <w:rsid w:val="00D50003"/>
    <w:rsid w:val="00D50314"/>
    <w:rsid w:val="00D505E6"/>
    <w:rsid w:val="00D50B2F"/>
    <w:rsid w:val="00D523C1"/>
    <w:rsid w:val="00D52D93"/>
    <w:rsid w:val="00D532B9"/>
    <w:rsid w:val="00D53ECE"/>
    <w:rsid w:val="00D54D59"/>
    <w:rsid w:val="00D554D9"/>
    <w:rsid w:val="00D55BC0"/>
    <w:rsid w:val="00D56B47"/>
    <w:rsid w:val="00D60500"/>
    <w:rsid w:val="00D605B4"/>
    <w:rsid w:val="00D60D94"/>
    <w:rsid w:val="00D60D9F"/>
    <w:rsid w:val="00D60E2D"/>
    <w:rsid w:val="00D614F3"/>
    <w:rsid w:val="00D624B7"/>
    <w:rsid w:val="00D63127"/>
    <w:rsid w:val="00D63ED2"/>
    <w:rsid w:val="00D64D68"/>
    <w:rsid w:val="00D65321"/>
    <w:rsid w:val="00D664CF"/>
    <w:rsid w:val="00D70493"/>
    <w:rsid w:val="00D71962"/>
    <w:rsid w:val="00D72721"/>
    <w:rsid w:val="00D7277B"/>
    <w:rsid w:val="00D729A0"/>
    <w:rsid w:val="00D72F42"/>
    <w:rsid w:val="00D7338D"/>
    <w:rsid w:val="00D73D74"/>
    <w:rsid w:val="00D74034"/>
    <w:rsid w:val="00D7434D"/>
    <w:rsid w:val="00D75348"/>
    <w:rsid w:val="00D75456"/>
    <w:rsid w:val="00D75A49"/>
    <w:rsid w:val="00D75AC7"/>
    <w:rsid w:val="00D75E1B"/>
    <w:rsid w:val="00D75F19"/>
    <w:rsid w:val="00D76327"/>
    <w:rsid w:val="00D77884"/>
    <w:rsid w:val="00D80930"/>
    <w:rsid w:val="00D82237"/>
    <w:rsid w:val="00D854BB"/>
    <w:rsid w:val="00D85963"/>
    <w:rsid w:val="00D85C16"/>
    <w:rsid w:val="00D85F24"/>
    <w:rsid w:val="00D87014"/>
    <w:rsid w:val="00D87909"/>
    <w:rsid w:val="00D90DF8"/>
    <w:rsid w:val="00D90F0B"/>
    <w:rsid w:val="00D91166"/>
    <w:rsid w:val="00D92449"/>
    <w:rsid w:val="00D92F26"/>
    <w:rsid w:val="00D93407"/>
    <w:rsid w:val="00D93C1B"/>
    <w:rsid w:val="00D93F98"/>
    <w:rsid w:val="00D94577"/>
    <w:rsid w:val="00D947C8"/>
    <w:rsid w:val="00D94C31"/>
    <w:rsid w:val="00D9528F"/>
    <w:rsid w:val="00D9627F"/>
    <w:rsid w:val="00D9628D"/>
    <w:rsid w:val="00D964EC"/>
    <w:rsid w:val="00D9668B"/>
    <w:rsid w:val="00D96B89"/>
    <w:rsid w:val="00D96E56"/>
    <w:rsid w:val="00DA036B"/>
    <w:rsid w:val="00DA10BC"/>
    <w:rsid w:val="00DA1714"/>
    <w:rsid w:val="00DA22B9"/>
    <w:rsid w:val="00DA339F"/>
    <w:rsid w:val="00DA3A2C"/>
    <w:rsid w:val="00DA3C9D"/>
    <w:rsid w:val="00DA5211"/>
    <w:rsid w:val="00DA5666"/>
    <w:rsid w:val="00DA5888"/>
    <w:rsid w:val="00DA5924"/>
    <w:rsid w:val="00DA5BCE"/>
    <w:rsid w:val="00DA5F05"/>
    <w:rsid w:val="00DA7728"/>
    <w:rsid w:val="00DA7760"/>
    <w:rsid w:val="00DA77C1"/>
    <w:rsid w:val="00DB0243"/>
    <w:rsid w:val="00DB0C53"/>
    <w:rsid w:val="00DB1011"/>
    <w:rsid w:val="00DB235C"/>
    <w:rsid w:val="00DB2CD1"/>
    <w:rsid w:val="00DB350D"/>
    <w:rsid w:val="00DB37A2"/>
    <w:rsid w:val="00DB3B8B"/>
    <w:rsid w:val="00DB4189"/>
    <w:rsid w:val="00DB6565"/>
    <w:rsid w:val="00DB699C"/>
    <w:rsid w:val="00DB6E9D"/>
    <w:rsid w:val="00DB756E"/>
    <w:rsid w:val="00DC00E7"/>
    <w:rsid w:val="00DC1173"/>
    <w:rsid w:val="00DC432E"/>
    <w:rsid w:val="00DC4451"/>
    <w:rsid w:val="00DC504F"/>
    <w:rsid w:val="00DC56EA"/>
    <w:rsid w:val="00DC57A2"/>
    <w:rsid w:val="00DC6145"/>
    <w:rsid w:val="00DC69D1"/>
    <w:rsid w:val="00DC6FC0"/>
    <w:rsid w:val="00DC7462"/>
    <w:rsid w:val="00DD0091"/>
    <w:rsid w:val="00DD0369"/>
    <w:rsid w:val="00DD09A6"/>
    <w:rsid w:val="00DD19EF"/>
    <w:rsid w:val="00DD28BB"/>
    <w:rsid w:val="00DD40F8"/>
    <w:rsid w:val="00DD4FF9"/>
    <w:rsid w:val="00DD5753"/>
    <w:rsid w:val="00DD5C40"/>
    <w:rsid w:val="00DD6721"/>
    <w:rsid w:val="00DD6BDE"/>
    <w:rsid w:val="00DD73B1"/>
    <w:rsid w:val="00DD7682"/>
    <w:rsid w:val="00DD7DDB"/>
    <w:rsid w:val="00DD7FD7"/>
    <w:rsid w:val="00DE14DE"/>
    <w:rsid w:val="00DE1605"/>
    <w:rsid w:val="00DE1843"/>
    <w:rsid w:val="00DE258C"/>
    <w:rsid w:val="00DE2864"/>
    <w:rsid w:val="00DE2D58"/>
    <w:rsid w:val="00DE3DE0"/>
    <w:rsid w:val="00DE4562"/>
    <w:rsid w:val="00DE52E9"/>
    <w:rsid w:val="00DE598D"/>
    <w:rsid w:val="00DE65B7"/>
    <w:rsid w:val="00DE67B1"/>
    <w:rsid w:val="00DE6E80"/>
    <w:rsid w:val="00DE71F7"/>
    <w:rsid w:val="00DE73CB"/>
    <w:rsid w:val="00DF0223"/>
    <w:rsid w:val="00DF212C"/>
    <w:rsid w:val="00DF24A0"/>
    <w:rsid w:val="00DF3266"/>
    <w:rsid w:val="00DF3984"/>
    <w:rsid w:val="00DF49B8"/>
    <w:rsid w:val="00DF4C12"/>
    <w:rsid w:val="00DF4DC6"/>
    <w:rsid w:val="00DF4E84"/>
    <w:rsid w:val="00DF5C1F"/>
    <w:rsid w:val="00DF5DAD"/>
    <w:rsid w:val="00DF61E3"/>
    <w:rsid w:val="00DF7D6B"/>
    <w:rsid w:val="00E007C4"/>
    <w:rsid w:val="00E016FB"/>
    <w:rsid w:val="00E02288"/>
    <w:rsid w:val="00E026EA"/>
    <w:rsid w:val="00E03127"/>
    <w:rsid w:val="00E038FA"/>
    <w:rsid w:val="00E044A1"/>
    <w:rsid w:val="00E05AF0"/>
    <w:rsid w:val="00E0609F"/>
    <w:rsid w:val="00E0670E"/>
    <w:rsid w:val="00E06CAB"/>
    <w:rsid w:val="00E10FA7"/>
    <w:rsid w:val="00E11D3D"/>
    <w:rsid w:val="00E11D6B"/>
    <w:rsid w:val="00E12EB0"/>
    <w:rsid w:val="00E13043"/>
    <w:rsid w:val="00E13F45"/>
    <w:rsid w:val="00E141B3"/>
    <w:rsid w:val="00E14FE1"/>
    <w:rsid w:val="00E1563B"/>
    <w:rsid w:val="00E15830"/>
    <w:rsid w:val="00E1632E"/>
    <w:rsid w:val="00E16C08"/>
    <w:rsid w:val="00E17793"/>
    <w:rsid w:val="00E178FB"/>
    <w:rsid w:val="00E20B7C"/>
    <w:rsid w:val="00E21946"/>
    <w:rsid w:val="00E21DF8"/>
    <w:rsid w:val="00E2285B"/>
    <w:rsid w:val="00E24D23"/>
    <w:rsid w:val="00E25931"/>
    <w:rsid w:val="00E25F0F"/>
    <w:rsid w:val="00E26838"/>
    <w:rsid w:val="00E26ADA"/>
    <w:rsid w:val="00E2771D"/>
    <w:rsid w:val="00E309BC"/>
    <w:rsid w:val="00E32856"/>
    <w:rsid w:val="00E32A82"/>
    <w:rsid w:val="00E330EA"/>
    <w:rsid w:val="00E3409D"/>
    <w:rsid w:val="00E3580C"/>
    <w:rsid w:val="00E36CE9"/>
    <w:rsid w:val="00E36FB0"/>
    <w:rsid w:val="00E37DE0"/>
    <w:rsid w:val="00E40CA1"/>
    <w:rsid w:val="00E4177E"/>
    <w:rsid w:val="00E42C3C"/>
    <w:rsid w:val="00E43B59"/>
    <w:rsid w:val="00E43B64"/>
    <w:rsid w:val="00E43B83"/>
    <w:rsid w:val="00E43EEE"/>
    <w:rsid w:val="00E43F2B"/>
    <w:rsid w:val="00E44179"/>
    <w:rsid w:val="00E44D4C"/>
    <w:rsid w:val="00E45099"/>
    <w:rsid w:val="00E4527D"/>
    <w:rsid w:val="00E458C2"/>
    <w:rsid w:val="00E45B23"/>
    <w:rsid w:val="00E4638E"/>
    <w:rsid w:val="00E465FB"/>
    <w:rsid w:val="00E46AE5"/>
    <w:rsid w:val="00E47482"/>
    <w:rsid w:val="00E50563"/>
    <w:rsid w:val="00E50988"/>
    <w:rsid w:val="00E50E93"/>
    <w:rsid w:val="00E529B8"/>
    <w:rsid w:val="00E5309F"/>
    <w:rsid w:val="00E5438F"/>
    <w:rsid w:val="00E55770"/>
    <w:rsid w:val="00E55C02"/>
    <w:rsid w:val="00E5633B"/>
    <w:rsid w:val="00E56BE0"/>
    <w:rsid w:val="00E57D83"/>
    <w:rsid w:val="00E57ED1"/>
    <w:rsid w:val="00E60F2A"/>
    <w:rsid w:val="00E61827"/>
    <w:rsid w:val="00E6319A"/>
    <w:rsid w:val="00E63E1A"/>
    <w:rsid w:val="00E64C24"/>
    <w:rsid w:val="00E64F72"/>
    <w:rsid w:val="00E6644E"/>
    <w:rsid w:val="00E6724A"/>
    <w:rsid w:val="00E67450"/>
    <w:rsid w:val="00E71065"/>
    <w:rsid w:val="00E7107D"/>
    <w:rsid w:val="00E71524"/>
    <w:rsid w:val="00E71EC8"/>
    <w:rsid w:val="00E72777"/>
    <w:rsid w:val="00E730FC"/>
    <w:rsid w:val="00E733AE"/>
    <w:rsid w:val="00E745FD"/>
    <w:rsid w:val="00E74657"/>
    <w:rsid w:val="00E7525A"/>
    <w:rsid w:val="00E763BE"/>
    <w:rsid w:val="00E76663"/>
    <w:rsid w:val="00E76F6F"/>
    <w:rsid w:val="00E77A8D"/>
    <w:rsid w:val="00E802F0"/>
    <w:rsid w:val="00E806FB"/>
    <w:rsid w:val="00E80AC9"/>
    <w:rsid w:val="00E80D3F"/>
    <w:rsid w:val="00E8191E"/>
    <w:rsid w:val="00E81BBB"/>
    <w:rsid w:val="00E828F4"/>
    <w:rsid w:val="00E842DC"/>
    <w:rsid w:val="00E84CF2"/>
    <w:rsid w:val="00E850F8"/>
    <w:rsid w:val="00E85A36"/>
    <w:rsid w:val="00E85A62"/>
    <w:rsid w:val="00E8611E"/>
    <w:rsid w:val="00E8629C"/>
    <w:rsid w:val="00E865C6"/>
    <w:rsid w:val="00E8799E"/>
    <w:rsid w:val="00E879A4"/>
    <w:rsid w:val="00E917B9"/>
    <w:rsid w:val="00E93E0F"/>
    <w:rsid w:val="00E9513D"/>
    <w:rsid w:val="00E9706C"/>
    <w:rsid w:val="00EA015F"/>
    <w:rsid w:val="00EA04AD"/>
    <w:rsid w:val="00EA15A0"/>
    <w:rsid w:val="00EA19E8"/>
    <w:rsid w:val="00EA2978"/>
    <w:rsid w:val="00EA2C1B"/>
    <w:rsid w:val="00EA36B1"/>
    <w:rsid w:val="00EA454D"/>
    <w:rsid w:val="00EA47C9"/>
    <w:rsid w:val="00EA4923"/>
    <w:rsid w:val="00EA4B8A"/>
    <w:rsid w:val="00EA5306"/>
    <w:rsid w:val="00EA5F09"/>
    <w:rsid w:val="00EA6069"/>
    <w:rsid w:val="00EA7B35"/>
    <w:rsid w:val="00EB04C7"/>
    <w:rsid w:val="00EB2EFA"/>
    <w:rsid w:val="00EB30E4"/>
    <w:rsid w:val="00EB374C"/>
    <w:rsid w:val="00EB3EAE"/>
    <w:rsid w:val="00EB4B2C"/>
    <w:rsid w:val="00EB5277"/>
    <w:rsid w:val="00EB5534"/>
    <w:rsid w:val="00EB5785"/>
    <w:rsid w:val="00EB5F44"/>
    <w:rsid w:val="00EB6421"/>
    <w:rsid w:val="00EB7097"/>
    <w:rsid w:val="00EB73B2"/>
    <w:rsid w:val="00EC0D04"/>
    <w:rsid w:val="00EC1E06"/>
    <w:rsid w:val="00EC1FCA"/>
    <w:rsid w:val="00EC23A8"/>
    <w:rsid w:val="00EC314A"/>
    <w:rsid w:val="00EC409B"/>
    <w:rsid w:val="00EC45D3"/>
    <w:rsid w:val="00EC4621"/>
    <w:rsid w:val="00EC4F72"/>
    <w:rsid w:val="00EC50E9"/>
    <w:rsid w:val="00EC5366"/>
    <w:rsid w:val="00EC5F1D"/>
    <w:rsid w:val="00EC64C2"/>
    <w:rsid w:val="00EC66E1"/>
    <w:rsid w:val="00EC6FD1"/>
    <w:rsid w:val="00EC7681"/>
    <w:rsid w:val="00EC7752"/>
    <w:rsid w:val="00EC7A5C"/>
    <w:rsid w:val="00EC7D11"/>
    <w:rsid w:val="00ED01C1"/>
    <w:rsid w:val="00ED0CF8"/>
    <w:rsid w:val="00ED1747"/>
    <w:rsid w:val="00ED289B"/>
    <w:rsid w:val="00ED337F"/>
    <w:rsid w:val="00ED4563"/>
    <w:rsid w:val="00ED4C58"/>
    <w:rsid w:val="00ED5EBD"/>
    <w:rsid w:val="00ED6A46"/>
    <w:rsid w:val="00ED726B"/>
    <w:rsid w:val="00ED7BAC"/>
    <w:rsid w:val="00EE0409"/>
    <w:rsid w:val="00EE1098"/>
    <w:rsid w:val="00EE176E"/>
    <w:rsid w:val="00EE1A2E"/>
    <w:rsid w:val="00EE30D0"/>
    <w:rsid w:val="00EE36C9"/>
    <w:rsid w:val="00EE3825"/>
    <w:rsid w:val="00EE41BE"/>
    <w:rsid w:val="00EE4BC6"/>
    <w:rsid w:val="00EE5DA5"/>
    <w:rsid w:val="00EF0CDB"/>
    <w:rsid w:val="00EF0F66"/>
    <w:rsid w:val="00EF13B3"/>
    <w:rsid w:val="00EF18FA"/>
    <w:rsid w:val="00EF1B04"/>
    <w:rsid w:val="00EF1C6D"/>
    <w:rsid w:val="00EF1DC7"/>
    <w:rsid w:val="00EF2173"/>
    <w:rsid w:val="00EF2220"/>
    <w:rsid w:val="00EF281A"/>
    <w:rsid w:val="00EF3311"/>
    <w:rsid w:val="00EF3DE5"/>
    <w:rsid w:val="00EF3F66"/>
    <w:rsid w:val="00EF4777"/>
    <w:rsid w:val="00EF54CE"/>
    <w:rsid w:val="00EF6E3B"/>
    <w:rsid w:val="00F00561"/>
    <w:rsid w:val="00F02057"/>
    <w:rsid w:val="00F0284E"/>
    <w:rsid w:val="00F03E68"/>
    <w:rsid w:val="00F049C6"/>
    <w:rsid w:val="00F05B2F"/>
    <w:rsid w:val="00F05CA0"/>
    <w:rsid w:val="00F06553"/>
    <w:rsid w:val="00F06720"/>
    <w:rsid w:val="00F07373"/>
    <w:rsid w:val="00F108D5"/>
    <w:rsid w:val="00F109FC"/>
    <w:rsid w:val="00F10DDF"/>
    <w:rsid w:val="00F10ECF"/>
    <w:rsid w:val="00F126BB"/>
    <w:rsid w:val="00F13E65"/>
    <w:rsid w:val="00F14142"/>
    <w:rsid w:val="00F14BF3"/>
    <w:rsid w:val="00F1645B"/>
    <w:rsid w:val="00F165BC"/>
    <w:rsid w:val="00F179A3"/>
    <w:rsid w:val="00F17F79"/>
    <w:rsid w:val="00F204F7"/>
    <w:rsid w:val="00F205FA"/>
    <w:rsid w:val="00F206D4"/>
    <w:rsid w:val="00F21FA1"/>
    <w:rsid w:val="00F22699"/>
    <w:rsid w:val="00F240B7"/>
    <w:rsid w:val="00F255B8"/>
    <w:rsid w:val="00F26093"/>
    <w:rsid w:val="00F27787"/>
    <w:rsid w:val="00F330DE"/>
    <w:rsid w:val="00F3386F"/>
    <w:rsid w:val="00F33E02"/>
    <w:rsid w:val="00F34DCA"/>
    <w:rsid w:val="00F35589"/>
    <w:rsid w:val="00F3622C"/>
    <w:rsid w:val="00F363AF"/>
    <w:rsid w:val="00F37503"/>
    <w:rsid w:val="00F377D8"/>
    <w:rsid w:val="00F37A4B"/>
    <w:rsid w:val="00F37E1A"/>
    <w:rsid w:val="00F40A26"/>
    <w:rsid w:val="00F4184D"/>
    <w:rsid w:val="00F4233C"/>
    <w:rsid w:val="00F42920"/>
    <w:rsid w:val="00F4386E"/>
    <w:rsid w:val="00F43A4A"/>
    <w:rsid w:val="00F43C8A"/>
    <w:rsid w:val="00F45505"/>
    <w:rsid w:val="00F457AD"/>
    <w:rsid w:val="00F45E34"/>
    <w:rsid w:val="00F465F4"/>
    <w:rsid w:val="00F46735"/>
    <w:rsid w:val="00F46853"/>
    <w:rsid w:val="00F47511"/>
    <w:rsid w:val="00F50EB8"/>
    <w:rsid w:val="00F51A5C"/>
    <w:rsid w:val="00F51FE4"/>
    <w:rsid w:val="00F5312E"/>
    <w:rsid w:val="00F534F9"/>
    <w:rsid w:val="00F54D5A"/>
    <w:rsid w:val="00F5512C"/>
    <w:rsid w:val="00F57A98"/>
    <w:rsid w:val="00F57C59"/>
    <w:rsid w:val="00F610EC"/>
    <w:rsid w:val="00F62053"/>
    <w:rsid w:val="00F620C9"/>
    <w:rsid w:val="00F625AD"/>
    <w:rsid w:val="00F6351A"/>
    <w:rsid w:val="00F640AD"/>
    <w:rsid w:val="00F641E7"/>
    <w:rsid w:val="00F642B8"/>
    <w:rsid w:val="00F65A56"/>
    <w:rsid w:val="00F65C68"/>
    <w:rsid w:val="00F666B1"/>
    <w:rsid w:val="00F66A60"/>
    <w:rsid w:val="00F673D5"/>
    <w:rsid w:val="00F678AB"/>
    <w:rsid w:val="00F67F4C"/>
    <w:rsid w:val="00F7074C"/>
    <w:rsid w:val="00F70905"/>
    <w:rsid w:val="00F71178"/>
    <w:rsid w:val="00F724B2"/>
    <w:rsid w:val="00F72E6D"/>
    <w:rsid w:val="00F73857"/>
    <w:rsid w:val="00F74999"/>
    <w:rsid w:val="00F74CCB"/>
    <w:rsid w:val="00F7549E"/>
    <w:rsid w:val="00F76075"/>
    <w:rsid w:val="00F76C73"/>
    <w:rsid w:val="00F76CF3"/>
    <w:rsid w:val="00F77001"/>
    <w:rsid w:val="00F7717B"/>
    <w:rsid w:val="00F77578"/>
    <w:rsid w:val="00F77A22"/>
    <w:rsid w:val="00F77BB7"/>
    <w:rsid w:val="00F77E7A"/>
    <w:rsid w:val="00F808DF"/>
    <w:rsid w:val="00F813BF"/>
    <w:rsid w:val="00F81568"/>
    <w:rsid w:val="00F81961"/>
    <w:rsid w:val="00F81B34"/>
    <w:rsid w:val="00F826C8"/>
    <w:rsid w:val="00F82B94"/>
    <w:rsid w:val="00F830BE"/>
    <w:rsid w:val="00F84D5B"/>
    <w:rsid w:val="00F85294"/>
    <w:rsid w:val="00F90769"/>
    <w:rsid w:val="00F90A38"/>
    <w:rsid w:val="00F91CD5"/>
    <w:rsid w:val="00F924C1"/>
    <w:rsid w:val="00F92DCF"/>
    <w:rsid w:val="00F93203"/>
    <w:rsid w:val="00F93D48"/>
    <w:rsid w:val="00F9497E"/>
    <w:rsid w:val="00F956D1"/>
    <w:rsid w:val="00F95C1B"/>
    <w:rsid w:val="00F961C9"/>
    <w:rsid w:val="00F964F9"/>
    <w:rsid w:val="00F976EC"/>
    <w:rsid w:val="00F97A0D"/>
    <w:rsid w:val="00F97E18"/>
    <w:rsid w:val="00FA1E57"/>
    <w:rsid w:val="00FA22A7"/>
    <w:rsid w:val="00FA375F"/>
    <w:rsid w:val="00FA3E9E"/>
    <w:rsid w:val="00FA403B"/>
    <w:rsid w:val="00FA43D2"/>
    <w:rsid w:val="00FA4469"/>
    <w:rsid w:val="00FA4C2C"/>
    <w:rsid w:val="00FA4EA1"/>
    <w:rsid w:val="00FA5752"/>
    <w:rsid w:val="00FA5A5E"/>
    <w:rsid w:val="00FA5D58"/>
    <w:rsid w:val="00FA68E8"/>
    <w:rsid w:val="00FA6D85"/>
    <w:rsid w:val="00FA713E"/>
    <w:rsid w:val="00FA7ABE"/>
    <w:rsid w:val="00FB00C6"/>
    <w:rsid w:val="00FB142B"/>
    <w:rsid w:val="00FB14AF"/>
    <w:rsid w:val="00FB1729"/>
    <w:rsid w:val="00FB1A9B"/>
    <w:rsid w:val="00FB2A0F"/>
    <w:rsid w:val="00FB30E8"/>
    <w:rsid w:val="00FB33AB"/>
    <w:rsid w:val="00FB3436"/>
    <w:rsid w:val="00FB6354"/>
    <w:rsid w:val="00FB6BC1"/>
    <w:rsid w:val="00FB75B6"/>
    <w:rsid w:val="00FB7928"/>
    <w:rsid w:val="00FB7A77"/>
    <w:rsid w:val="00FC060F"/>
    <w:rsid w:val="00FC1853"/>
    <w:rsid w:val="00FC19C7"/>
    <w:rsid w:val="00FC1E7F"/>
    <w:rsid w:val="00FC329E"/>
    <w:rsid w:val="00FC40A9"/>
    <w:rsid w:val="00FC441E"/>
    <w:rsid w:val="00FC4906"/>
    <w:rsid w:val="00FC4A02"/>
    <w:rsid w:val="00FC53D0"/>
    <w:rsid w:val="00FC5821"/>
    <w:rsid w:val="00FC5B73"/>
    <w:rsid w:val="00FC5B7F"/>
    <w:rsid w:val="00FC5C25"/>
    <w:rsid w:val="00FC6411"/>
    <w:rsid w:val="00FC647B"/>
    <w:rsid w:val="00FC6742"/>
    <w:rsid w:val="00FC7C52"/>
    <w:rsid w:val="00FD040A"/>
    <w:rsid w:val="00FD0AE4"/>
    <w:rsid w:val="00FD0CC9"/>
    <w:rsid w:val="00FD0DE0"/>
    <w:rsid w:val="00FD1470"/>
    <w:rsid w:val="00FD28C1"/>
    <w:rsid w:val="00FD4AD0"/>
    <w:rsid w:val="00FD503B"/>
    <w:rsid w:val="00FD5B3F"/>
    <w:rsid w:val="00FD6D2E"/>
    <w:rsid w:val="00FE00EF"/>
    <w:rsid w:val="00FE0D80"/>
    <w:rsid w:val="00FE274D"/>
    <w:rsid w:val="00FE343A"/>
    <w:rsid w:val="00FE421B"/>
    <w:rsid w:val="00FE4322"/>
    <w:rsid w:val="00FE66CE"/>
    <w:rsid w:val="00FE7C35"/>
    <w:rsid w:val="00FF02A8"/>
    <w:rsid w:val="00FF26A8"/>
    <w:rsid w:val="00FF28A1"/>
    <w:rsid w:val="00FF3934"/>
    <w:rsid w:val="00FF4E84"/>
    <w:rsid w:val="00FF5A64"/>
    <w:rsid w:val="00FF5F75"/>
    <w:rsid w:val="00FF6391"/>
    <w:rsid w:val="00FF6497"/>
    <w:rsid w:val="00FF73C0"/>
    <w:rsid w:val="00FF798C"/>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101"/>
    <o:shapelayout v:ext="edit">
      <o:idmap v:ext="edit" data="1"/>
      <o:rules v:ext="edit">
        <o:r id="V:Rule3" type="connector" idref="#Gerade Verbindung mit Pfeil 21524"/>
        <o:r id="V:Rule4" type="connector" idref="#Gerade Verbindung mit Pfeil 21526"/>
      </o:rules>
    </o:shapelayout>
  </w:shapeDefaults>
  <w:decimalSymbol w:val=","/>
  <w:listSeparator w:val=";"/>
  <w14:docId w14:val="46FC25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D7FD7"/>
    <w:pPr>
      <w:spacing w:line="324" w:lineRule="auto"/>
      <w:jc w:val="both"/>
    </w:pPr>
    <w:rPr>
      <w:rFonts w:ascii="Times New Roman" w:hAnsi="Times New Roman"/>
      <w:sz w:val="24"/>
    </w:rPr>
  </w:style>
  <w:style w:type="paragraph" w:styleId="berschrift1">
    <w:name w:val="heading 1"/>
    <w:basedOn w:val="Standard"/>
    <w:next w:val="Standard"/>
    <w:link w:val="berschrift1Zeichen"/>
    <w:uiPriority w:val="9"/>
    <w:qFormat/>
    <w:rsid w:val="00584A0D"/>
    <w:pPr>
      <w:keepNext/>
      <w:keepLines/>
      <w:numPr>
        <w:numId w:val="7"/>
      </w:numPr>
      <w:spacing w:before="480" w:after="0"/>
      <w:outlineLvl w:val="0"/>
    </w:pPr>
    <w:rPr>
      <w:rFonts w:asciiTheme="majorHAnsi" w:eastAsiaTheme="majorEastAsia" w:hAnsiTheme="majorHAnsi" w:cstheme="majorBidi"/>
      <w:b/>
      <w:bCs/>
      <w:sz w:val="32"/>
      <w:szCs w:val="32"/>
    </w:rPr>
  </w:style>
  <w:style w:type="paragraph" w:styleId="berschrift2">
    <w:name w:val="heading 2"/>
    <w:basedOn w:val="Standard"/>
    <w:next w:val="Standard"/>
    <w:link w:val="berschrift2Zeichen"/>
    <w:uiPriority w:val="9"/>
    <w:unhideWhenUsed/>
    <w:qFormat/>
    <w:rsid w:val="00567A89"/>
    <w:pPr>
      <w:keepNext/>
      <w:keepLines/>
      <w:numPr>
        <w:ilvl w:val="1"/>
        <w:numId w:val="7"/>
      </w:numPr>
      <w:spacing w:before="440" w:after="240"/>
      <w:outlineLvl w:val="1"/>
    </w:pPr>
    <w:rPr>
      <w:rFonts w:asciiTheme="majorHAnsi" w:eastAsiaTheme="majorEastAsia" w:hAnsiTheme="majorHAnsi" w:cstheme="majorBidi"/>
      <w:b/>
      <w:bCs/>
      <w:sz w:val="28"/>
      <w:szCs w:val="26"/>
    </w:rPr>
  </w:style>
  <w:style w:type="paragraph" w:styleId="berschrift3">
    <w:name w:val="heading 3"/>
    <w:basedOn w:val="Standard"/>
    <w:next w:val="Standard"/>
    <w:link w:val="berschrift3Zeichen"/>
    <w:uiPriority w:val="9"/>
    <w:unhideWhenUsed/>
    <w:qFormat/>
    <w:rsid w:val="00567A89"/>
    <w:pPr>
      <w:keepNext/>
      <w:keepLines/>
      <w:numPr>
        <w:ilvl w:val="2"/>
        <w:numId w:val="7"/>
      </w:numPr>
      <w:spacing w:before="360"/>
      <w:outlineLvl w:val="2"/>
    </w:pPr>
    <w:rPr>
      <w:rFonts w:asciiTheme="majorHAnsi" w:eastAsiaTheme="majorEastAsia" w:hAnsiTheme="majorHAnsi" w:cstheme="majorBidi"/>
      <w:b/>
      <w:bCs/>
      <w:sz w:val="26"/>
    </w:rPr>
  </w:style>
  <w:style w:type="paragraph" w:styleId="berschrift4">
    <w:name w:val="heading 4"/>
    <w:basedOn w:val="Standard"/>
    <w:next w:val="Standard"/>
    <w:link w:val="berschrift4Zeichen"/>
    <w:uiPriority w:val="9"/>
    <w:unhideWhenUsed/>
    <w:qFormat/>
    <w:rsid w:val="00567A89"/>
    <w:pPr>
      <w:keepNext/>
      <w:keepLines/>
      <w:numPr>
        <w:ilvl w:val="3"/>
        <w:numId w:val="7"/>
      </w:numPr>
      <w:spacing w:before="440" w:after="240" w:line="240" w:lineRule="auto"/>
      <w:outlineLvl w:val="3"/>
    </w:pPr>
    <w:rPr>
      <w:rFonts w:asciiTheme="majorHAnsi" w:eastAsiaTheme="majorEastAsia" w:hAnsiTheme="majorHAnsi" w:cstheme="majorBidi"/>
      <w:b/>
      <w:bCs/>
      <w:i/>
      <w:iCs/>
    </w:rPr>
  </w:style>
  <w:style w:type="paragraph" w:styleId="berschrift5">
    <w:name w:val="heading 5"/>
    <w:basedOn w:val="Standard"/>
    <w:next w:val="Standard"/>
    <w:link w:val="berschrift5Zeichen"/>
    <w:uiPriority w:val="9"/>
    <w:unhideWhenUsed/>
    <w:qFormat/>
    <w:rsid w:val="004E3178"/>
    <w:pPr>
      <w:keepNext/>
      <w:keepLines/>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eichen"/>
    <w:uiPriority w:val="9"/>
    <w:unhideWhenUsed/>
    <w:qFormat/>
    <w:rsid w:val="0082158E"/>
    <w:pPr>
      <w:keepNext/>
      <w:keepLines/>
      <w:numPr>
        <w:ilvl w:val="5"/>
        <w:numId w:val="7"/>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eichen"/>
    <w:uiPriority w:val="9"/>
    <w:semiHidden/>
    <w:unhideWhenUsed/>
    <w:qFormat/>
    <w:rsid w:val="004E3178"/>
    <w:pPr>
      <w:keepNext/>
      <w:keepLines/>
      <w:numPr>
        <w:ilvl w:val="6"/>
        <w:numId w:val="7"/>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eichen"/>
    <w:uiPriority w:val="9"/>
    <w:semiHidden/>
    <w:unhideWhenUsed/>
    <w:qFormat/>
    <w:rsid w:val="004E3178"/>
    <w:pPr>
      <w:keepNext/>
      <w:keepLines/>
      <w:numPr>
        <w:ilvl w:val="7"/>
        <w:numId w:val="7"/>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eichen"/>
    <w:uiPriority w:val="9"/>
    <w:semiHidden/>
    <w:unhideWhenUsed/>
    <w:qFormat/>
    <w:rsid w:val="004E3178"/>
    <w:pPr>
      <w:keepNext/>
      <w:keepLines/>
      <w:numPr>
        <w:ilvl w:val="8"/>
        <w:numId w:val="7"/>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eichen"/>
    <w:uiPriority w:val="99"/>
    <w:semiHidden/>
    <w:unhideWhenUsed/>
    <w:rsid w:val="006C73A6"/>
    <w:pPr>
      <w:spacing w:after="0" w:line="240" w:lineRule="auto"/>
    </w:pPr>
    <w:rPr>
      <w:rFonts w:ascii="Tahoma" w:hAnsi="Tahoma" w:cs="Tahoma"/>
      <w:sz w:val="16"/>
      <w:szCs w:val="16"/>
    </w:rPr>
  </w:style>
  <w:style w:type="character" w:customStyle="1" w:styleId="SprechblasentextZeichen">
    <w:name w:val="Sprechblasentext Zeichen"/>
    <w:basedOn w:val="Absatzstandardschriftart"/>
    <w:link w:val="Sprechblasentext"/>
    <w:uiPriority w:val="99"/>
    <w:semiHidden/>
    <w:rsid w:val="006C73A6"/>
    <w:rPr>
      <w:rFonts w:ascii="Tahoma" w:hAnsi="Tahoma" w:cs="Tahoma"/>
      <w:sz w:val="16"/>
      <w:szCs w:val="16"/>
    </w:rPr>
  </w:style>
  <w:style w:type="character" w:customStyle="1" w:styleId="berschrift2Zeichen">
    <w:name w:val="Überschrift 2 Zeichen"/>
    <w:basedOn w:val="Absatzstandardschriftart"/>
    <w:link w:val="berschrift2"/>
    <w:uiPriority w:val="9"/>
    <w:rsid w:val="00567A89"/>
    <w:rPr>
      <w:rFonts w:asciiTheme="majorHAnsi" w:eastAsiaTheme="majorEastAsia" w:hAnsiTheme="majorHAnsi" w:cstheme="majorBidi"/>
      <w:b/>
      <w:bCs/>
      <w:sz w:val="28"/>
      <w:szCs w:val="26"/>
    </w:rPr>
  </w:style>
  <w:style w:type="paragraph" w:styleId="Endnotentext">
    <w:name w:val="endnote text"/>
    <w:basedOn w:val="Standard"/>
    <w:link w:val="EndnotentextZeichen"/>
    <w:uiPriority w:val="99"/>
    <w:unhideWhenUsed/>
    <w:rsid w:val="00A41F47"/>
    <w:pPr>
      <w:spacing w:after="0" w:line="240" w:lineRule="auto"/>
    </w:pPr>
    <w:rPr>
      <w:szCs w:val="24"/>
    </w:rPr>
  </w:style>
  <w:style w:type="character" w:customStyle="1" w:styleId="EndnotentextZeichen">
    <w:name w:val="Endnotentext Zeichen"/>
    <w:basedOn w:val="Absatzstandardschriftart"/>
    <w:link w:val="Endnotentext"/>
    <w:uiPriority w:val="99"/>
    <w:rsid w:val="00A41F47"/>
    <w:rPr>
      <w:sz w:val="24"/>
      <w:szCs w:val="24"/>
    </w:rPr>
  </w:style>
  <w:style w:type="character" w:styleId="Endnotenzeichen">
    <w:name w:val="endnote reference"/>
    <w:rsid w:val="00A41F47"/>
    <w:rPr>
      <w:vertAlign w:val="superscript"/>
    </w:rPr>
  </w:style>
  <w:style w:type="paragraph" w:styleId="Beschriftung">
    <w:name w:val="caption"/>
    <w:basedOn w:val="Standard"/>
    <w:next w:val="Standard"/>
    <w:uiPriority w:val="35"/>
    <w:unhideWhenUsed/>
    <w:qFormat/>
    <w:rsid w:val="009E710C"/>
    <w:pPr>
      <w:spacing w:line="240" w:lineRule="auto"/>
      <w:ind w:firstLine="708"/>
    </w:pPr>
    <w:rPr>
      <w:b/>
      <w:bCs/>
      <w:sz w:val="18"/>
      <w:szCs w:val="18"/>
    </w:rPr>
  </w:style>
  <w:style w:type="character" w:customStyle="1" w:styleId="berschrift1Zeichen">
    <w:name w:val="Überschrift 1 Zeichen"/>
    <w:basedOn w:val="Absatzstandardschriftart"/>
    <w:link w:val="berschrift1"/>
    <w:uiPriority w:val="9"/>
    <w:rsid w:val="00584A0D"/>
    <w:rPr>
      <w:rFonts w:asciiTheme="majorHAnsi" w:eastAsiaTheme="majorEastAsia" w:hAnsiTheme="majorHAnsi" w:cstheme="majorBidi"/>
      <w:b/>
      <w:bCs/>
      <w:sz w:val="32"/>
      <w:szCs w:val="32"/>
    </w:rPr>
  </w:style>
  <w:style w:type="character" w:customStyle="1" w:styleId="berschrift3Zeichen">
    <w:name w:val="Überschrift 3 Zeichen"/>
    <w:basedOn w:val="Absatzstandardschriftart"/>
    <w:link w:val="berschrift3"/>
    <w:uiPriority w:val="9"/>
    <w:rsid w:val="00567A89"/>
    <w:rPr>
      <w:rFonts w:asciiTheme="majorHAnsi" w:eastAsiaTheme="majorEastAsia" w:hAnsiTheme="majorHAnsi" w:cstheme="majorBidi"/>
      <w:b/>
      <w:bCs/>
      <w:sz w:val="26"/>
    </w:rPr>
  </w:style>
  <w:style w:type="character" w:customStyle="1" w:styleId="berschrift4Zeichen">
    <w:name w:val="Überschrift 4 Zeichen"/>
    <w:basedOn w:val="Absatzstandardschriftart"/>
    <w:link w:val="berschrift4"/>
    <w:uiPriority w:val="9"/>
    <w:rsid w:val="00567A89"/>
    <w:rPr>
      <w:rFonts w:asciiTheme="majorHAnsi" w:eastAsiaTheme="majorEastAsia" w:hAnsiTheme="majorHAnsi" w:cstheme="majorBidi"/>
      <w:b/>
      <w:bCs/>
      <w:i/>
      <w:iCs/>
      <w:sz w:val="24"/>
    </w:rPr>
  </w:style>
  <w:style w:type="paragraph" w:styleId="Index1">
    <w:name w:val="index 1"/>
    <w:basedOn w:val="Standard"/>
    <w:next w:val="Standard"/>
    <w:autoRedefine/>
    <w:uiPriority w:val="99"/>
    <w:unhideWhenUsed/>
    <w:rsid w:val="005F4F7F"/>
    <w:pPr>
      <w:spacing w:after="0"/>
      <w:ind w:left="220" w:hanging="220"/>
    </w:pPr>
    <w:rPr>
      <w:sz w:val="20"/>
      <w:szCs w:val="20"/>
    </w:rPr>
  </w:style>
  <w:style w:type="paragraph" w:styleId="Index2">
    <w:name w:val="index 2"/>
    <w:basedOn w:val="Standard"/>
    <w:next w:val="Standard"/>
    <w:autoRedefine/>
    <w:uiPriority w:val="99"/>
    <w:unhideWhenUsed/>
    <w:rsid w:val="005F4F7F"/>
    <w:pPr>
      <w:spacing w:after="0"/>
      <w:ind w:left="440" w:hanging="220"/>
    </w:pPr>
    <w:rPr>
      <w:sz w:val="20"/>
      <w:szCs w:val="20"/>
    </w:rPr>
  </w:style>
  <w:style w:type="paragraph" w:styleId="Index3">
    <w:name w:val="index 3"/>
    <w:basedOn w:val="Standard"/>
    <w:next w:val="Standard"/>
    <w:autoRedefine/>
    <w:uiPriority w:val="99"/>
    <w:unhideWhenUsed/>
    <w:rsid w:val="005F4F7F"/>
    <w:pPr>
      <w:spacing w:after="0"/>
      <w:ind w:left="660" w:hanging="220"/>
    </w:pPr>
    <w:rPr>
      <w:sz w:val="20"/>
      <w:szCs w:val="20"/>
    </w:rPr>
  </w:style>
  <w:style w:type="paragraph" w:styleId="Index4">
    <w:name w:val="index 4"/>
    <w:basedOn w:val="Standard"/>
    <w:next w:val="Standard"/>
    <w:autoRedefine/>
    <w:uiPriority w:val="99"/>
    <w:unhideWhenUsed/>
    <w:rsid w:val="005F4F7F"/>
    <w:pPr>
      <w:spacing w:after="0"/>
      <w:ind w:left="880" w:hanging="220"/>
    </w:pPr>
    <w:rPr>
      <w:sz w:val="20"/>
      <w:szCs w:val="20"/>
    </w:rPr>
  </w:style>
  <w:style w:type="paragraph" w:styleId="Index5">
    <w:name w:val="index 5"/>
    <w:basedOn w:val="Standard"/>
    <w:next w:val="Standard"/>
    <w:autoRedefine/>
    <w:uiPriority w:val="99"/>
    <w:unhideWhenUsed/>
    <w:rsid w:val="005F4F7F"/>
    <w:pPr>
      <w:spacing w:after="0"/>
      <w:ind w:left="1100" w:hanging="220"/>
    </w:pPr>
    <w:rPr>
      <w:sz w:val="20"/>
      <w:szCs w:val="20"/>
    </w:rPr>
  </w:style>
  <w:style w:type="paragraph" w:styleId="Index6">
    <w:name w:val="index 6"/>
    <w:basedOn w:val="Standard"/>
    <w:next w:val="Standard"/>
    <w:autoRedefine/>
    <w:uiPriority w:val="99"/>
    <w:unhideWhenUsed/>
    <w:rsid w:val="005F4F7F"/>
    <w:pPr>
      <w:spacing w:after="0"/>
      <w:ind w:left="1320" w:hanging="220"/>
    </w:pPr>
    <w:rPr>
      <w:sz w:val="20"/>
      <w:szCs w:val="20"/>
    </w:rPr>
  </w:style>
  <w:style w:type="paragraph" w:styleId="Index7">
    <w:name w:val="index 7"/>
    <w:basedOn w:val="Standard"/>
    <w:next w:val="Standard"/>
    <w:autoRedefine/>
    <w:uiPriority w:val="99"/>
    <w:unhideWhenUsed/>
    <w:rsid w:val="005F4F7F"/>
    <w:pPr>
      <w:spacing w:after="0"/>
      <w:ind w:left="1540" w:hanging="220"/>
    </w:pPr>
    <w:rPr>
      <w:sz w:val="20"/>
      <w:szCs w:val="20"/>
    </w:rPr>
  </w:style>
  <w:style w:type="paragraph" w:styleId="Index8">
    <w:name w:val="index 8"/>
    <w:basedOn w:val="Standard"/>
    <w:next w:val="Standard"/>
    <w:autoRedefine/>
    <w:uiPriority w:val="99"/>
    <w:unhideWhenUsed/>
    <w:rsid w:val="005F4F7F"/>
    <w:pPr>
      <w:spacing w:after="0"/>
      <w:ind w:left="1760" w:hanging="220"/>
    </w:pPr>
    <w:rPr>
      <w:sz w:val="20"/>
      <w:szCs w:val="20"/>
    </w:rPr>
  </w:style>
  <w:style w:type="paragraph" w:styleId="Index9">
    <w:name w:val="index 9"/>
    <w:basedOn w:val="Standard"/>
    <w:next w:val="Standard"/>
    <w:autoRedefine/>
    <w:uiPriority w:val="99"/>
    <w:unhideWhenUsed/>
    <w:rsid w:val="005F4F7F"/>
    <w:pPr>
      <w:spacing w:after="0"/>
      <w:ind w:left="1980" w:hanging="220"/>
    </w:pPr>
    <w:rPr>
      <w:sz w:val="20"/>
      <w:szCs w:val="20"/>
    </w:rPr>
  </w:style>
  <w:style w:type="paragraph" w:styleId="Indexberschrift">
    <w:name w:val="index heading"/>
    <w:basedOn w:val="Standard"/>
    <w:next w:val="Index1"/>
    <w:uiPriority w:val="99"/>
    <w:unhideWhenUsed/>
    <w:rsid w:val="005F4F7F"/>
    <w:pPr>
      <w:spacing w:before="120" w:after="120"/>
    </w:pPr>
    <w:rPr>
      <w:i/>
      <w:sz w:val="20"/>
      <w:szCs w:val="20"/>
    </w:rPr>
  </w:style>
  <w:style w:type="paragraph" w:styleId="Verzeichnis1">
    <w:name w:val="toc 1"/>
    <w:basedOn w:val="Standard"/>
    <w:next w:val="Standard"/>
    <w:autoRedefine/>
    <w:uiPriority w:val="39"/>
    <w:unhideWhenUsed/>
    <w:rsid w:val="006F3369"/>
    <w:pPr>
      <w:tabs>
        <w:tab w:val="left" w:pos="480"/>
        <w:tab w:val="right" w:leader="dot" w:pos="9062"/>
      </w:tabs>
      <w:spacing w:before="360" w:after="0"/>
    </w:pPr>
    <w:rPr>
      <w:rFonts w:asciiTheme="majorHAnsi" w:hAnsiTheme="majorHAnsi"/>
      <w:b/>
      <w:sz w:val="36"/>
      <w:szCs w:val="36"/>
    </w:rPr>
  </w:style>
  <w:style w:type="paragraph" w:styleId="Verzeichnis2">
    <w:name w:val="toc 2"/>
    <w:basedOn w:val="Standard"/>
    <w:next w:val="Standard"/>
    <w:autoRedefine/>
    <w:uiPriority w:val="39"/>
    <w:unhideWhenUsed/>
    <w:rsid w:val="005F4F7F"/>
    <w:pPr>
      <w:spacing w:before="240" w:after="0"/>
    </w:pPr>
    <w:rPr>
      <w:rFonts w:asciiTheme="minorHAnsi" w:hAnsiTheme="minorHAnsi"/>
      <w:b/>
      <w:bCs/>
      <w:sz w:val="20"/>
      <w:szCs w:val="20"/>
    </w:rPr>
  </w:style>
  <w:style w:type="paragraph" w:styleId="Verzeichnis3">
    <w:name w:val="toc 3"/>
    <w:basedOn w:val="Standard"/>
    <w:next w:val="Standard"/>
    <w:autoRedefine/>
    <w:uiPriority w:val="39"/>
    <w:unhideWhenUsed/>
    <w:rsid w:val="00ED4563"/>
    <w:pPr>
      <w:spacing w:after="0"/>
      <w:ind w:left="240"/>
    </w:pPr>
    <w:rPr>
      <w:rFonts w:asciiTheme="minorHAnsi" w:hAnsiTheme="minorHAnsi"/>
      <w:sz w:val="20"/>
      <w:szCs w:val="20"/>
    </w:rPr>
  </w:style>
  <w:style w:type="paragraph" w:styleId="Verzeichnis4">
    <w:name w:val="toc 4"/>
    <w:basedOn w:val="Standard"/>
    <w:next w:val="Standard"/>
    <w:autoRedefine/>
    <w:uiPriority w:val="39"/>
    <w:unhideWhenUsed/>
    <w:rsid w:val="005F4F7F"/>
    <w:pPr>
      <w:spacing w:after="0"/>
      <w:ind w:left="480"/>
    </w:pPr>
    <w:rPr>
      <w:rFonts w:asciiTheme="minorHAnsi" w:hAnsiTheme="minorHAnsi"/>
      <w:sz w:val="20"/>
      <w:szCs w:val="20"/>
    </w:rPr>
  </w:style>
  <w:style w:type="paragraph" w:styleId="Verzeichnis5">
    <w:name w:val="toc 5"/>
    <w:basedOn w:val="Standard"/>
    <w:next w:val="Standard"/>
    <w:autoRedefine/>
    <w:uiPriority w:val="39"/>
    <w:unhideWhenUsed/>
    <w:rsid w:val="005F4F7F"/>
    <w:pPr>
      <w:spacing w:after="0"/>
      <w:ind w:left="720"/>
    </w:pPr>
    <w:rPr>
      <w:rFonts w:asciiTheme="minorHAnsi" w:hAnsiTheme="minorHAnsi"/>
      <w:sz w:val="20"/>
      <w:szCs w:val="20"/>
    </w:rPr>
  </w:style>
  <w:style w:type="paragraph" w:styleId="Verzeichnis6">
    <w:name w:val="toc 6"/>
    <w:basedOn w:val="Standard"/>
    <w:next w:val="Standard"/>
    <w:autoRedefine/>
    <w:uiPriority w:val="39"/>
    <w:unhideWhenUsed/>
    <w:rsid w:val="005F4F7F"/>
    <w:pPr>
      <w:spacing w:after="0"/>
      <w:ind w:left="960"/>
    </w:pPr>
    <w:rPr>
      <w:rFonts w:asciiTheme="minorHAnsi" w:hAnsiTheme="minorHAnsi"/>
      <w:sz w:val="20"/>
      <w:szCs w:val="20"/>
    </w:rPr>
  </w:style>
  <w:style w:type="paragraph" w:styleId="Verzeichnis7">
    <w:name w:val="toc 7"/>
    <w:basedOn w:val="Standard"/>
    <w:next w:val="Standard"/>
    <w:autoRedefine/>
    <w:uiPriority w:val="39"/>
    <w:unhideWhenUsed/>
    <w:rsid w:val="005F4F7F"/>
    <w:pPr>
      <w:spacing w:after="0"/>
      <w:ind w:left="1200"/>
    </w:pPr>
    <w:rPr>
      <w:rFonts w:asciiTheme="minorHAnsi" w:hAnsiTheme="minorHAnsi"/>
      <w:sz w:val="20"/>
      <w:szCs w:val="20"/>
    </w:rPr>
  </w:style>
  <w:style w:type="paragraph" w:styleId="Verzeichnis8">
    <w:name w:val="toc 8"/>
    <w:basedOn w:val="Standard"/>
    <w:next w:val="Standard"/>
    <w:autoRedefine/>
    <w:uiPriority w:val="39"/>
    <w:unhideWhenUsed/>
    <w:rsid w:val="005F4F7F"/>
    <w:pPr>
      <w:spacing w:after="0"/>
      <w:ind w:left="1440"/>
    </w:pPr>
    <w:rPr>
      <w:rFonts w:asciiTheme="minorHAnsi" w:hAnsiTheme="minorHAnsi"/>
      <w:sz w:val="20"/>
      <w:szCs w:val="20"/>
    </w:rPr>
  </w:style>
  <w:style w:type="paragraph" w:styleId="Verzeichnis9">
    <w:name w:val="toc 9"/>
    <w:basedOn w:val="Standard"/>
    <w:next w:val="Standard"/>
    <w:autoRedefine/>
    <w:uiPriority w:val="39"/>
    <w:unhideWhenUsed/>
    <w:rsid w:val="005F4F7F"/>
    <w:pPr>
      <w:spacing w:after="0"/>
      <w:ind w:left="1680"/>
    </w:pPr>
    <w:rPr>
      <w:rFonts w:asciiTheme="minorHAnsi" w:hAnsiTheme="minorHAnsi"/>
      <w:sz w:val="20"/>
      <w:szCs w:val="20"/>
    </w:rPr>
  </w:style>
  <w:style w:type="table" w:styleId="Tabellenraster">
    <w:name w:val="Table Grid"/>
    <w:basedOn w:val="NormaleTabelle"/>
    <w:uiPriority w:val="59"/>
    <w:rsid w:val="00242C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nabsatz">
    <w:name w:val="List Paragraph"/>
    <w:basedOn w:val="Standard"/>
    <w:uiPriority w:val="34"/>
    <w:qFormat/>
    <w:rsid w:val="00076E9C"/>
    <w:pPr>
      <w:ind w:left="720"/>
      <w:contextualSpacing/>
    </w:pPr>
  </w:style>
  <w:style w:type="paragraph" w:styleId="Kopfzeile">
    <w:name w:val="header"/>
    <w:basedOn w:val="Standard"/>
    <w:link w:val="KopfzeileZeichen"/>
    <w:uiPriority w:val="99"/>
    <w:unhideWhenUsed/>
    <w:rsid w:val="007C61EF"/>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7C61EF"/>
  </w:style>
  <w:style w:type="paragraph" w:styleId="Fuzeile">
    <w:name w:val="footer"/>
    <w:basedOn w:val="Standard"/>
    <w:link w:val="FuzeileZeichen"/>
    <w:uiPriority w:val="99"/>
    <w:unhideWhenUsed/>
    <w:rsid w:val="007C61EF"/>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7C61EF"/>
  </w:style>
  <w:style w:type="character" w:styleId="Platzhaltertext">
    <w:name w:val="Placeholder Text"/>
    <w:basedOn w:val="Absatzstandardschriftart"/>
    <w:uiPriority w:val="99"/>
    <w:semiHidden/>
    <w:rsid w:val="005A37AF"/>
    <w:rPr>
      <w:color w:val="808080"/>
    </w:rPr>
  </w:style>
  <w:style w:type="character" w:styleId="Seitenzahl">
    <w:name w:val="page number"/>
    <w:basedOn w:val="Absatzstandardschriftart"/>
    <w:uiPriority w:val="99"/>
    <w:semiHidden/>
    <w:unhideWhenUsed/>
    <w:rsid w:val="00531316"/>
  </w:style>
  <w:style w:type="character" w:customStyle="1" w:styleId="berschrift5Zeichen">
    <w:name w:val="Überschrift 5 Zeichen"/>
    <w:basedOn w:val="Absatzstandardschriftart"/>
    <w:link w:val="berschrift5"/>
    <w:uiPriority w:val="9"/>
    <w:rsid w:val="005D272F"/>
    <w:rPr>
      <w:rFonts w:asciiTheme="majorHAnsi" w:eastAsiaTheme="majorEastAsia" w:hAnsiTheme="majorHAnsi" w:cstheme="majorBidi"/>
      <w:color w:val="243F60" w:themeColor="accent1" w:themeShade="7F"/>
      <w:sz w:val="24"/>
    </w:rPr>
  </w:style>
  <w:style w:type="character" w:styleId="Kommentarzeichen">
    <w:name w:val="annotation reference"/>
    <w:basedOn w:val="Absatzstandardschriftart"/>
    <w:uiPriority w:val="99"/>
    <w:semiHidden/>
    <w:unhideWhenUsed/>
    <w:rsid w:val="00C50E91"/>
    <w:rPr>
      <w:sz w:val="16"/>
      <w:szCs w:val="16"/>
    </w:rPr>
  </w:style>
  <w:style w:type="paragraph" w:styleId="Kommentartext">
    <w:name w:val="annotation text"/>
    <w:basedOn w:val="Standard"/>
    <w:link w:val="KommentartextZeichen"/>
    <w:uiPriority w:val="99"/>
    <w:semiHidden/>
    <w:unhideWhenUsed/>
    <w:rsid w:val="00C50E91"/>
    <w:pPr>
      <w:spacing w:line="240" w:lineRule="auto"/>
    </w:pPr>
    <w:rPr>
      <w:rFonts w:asciiTheme="minorHAnsi" w:hAnsiTheme="minorHAnsi"/>
      <w:sz w:val="20"/>
      <w:szCs w:val="20"/>
    </w:rPr>
  </w:style>
  <w:style w:type="character" w:customStyle="1" w:styleId="KommentartextZeichen">
    <w:name w:val="Kommentartext Zeichen"/>
    <w:basedOn w:val="Absatzstandardschriftart"/>
    <w:link w:val="Kommentartext"/>
    <w:uiPriority w:val="99"/>
    <w:semiHidden/>
    <w:rsid w:val="00C50E91"/>
    <w:rPr>
      <w:sz w:val="20"/>
      <w:szCs w:val="20"/>
    </w:rPr>
  </w:style>
  <w:style w:type="table" w:customStyle="1" w:styleId="Tabellenraster1">
    <w:name w:val="Tabellenraster1"/>
    <w:basedOn w:val="NormaleTabelle"/>
    <w:next w:val="Tabellenraster"/>
    <w:uiPriority w:val="59"/>
    <w:rsid w:val="00A70C82"/>
    <w:pPr>
      <w:spacing w:after="0" w:line="240" w:lineRule="auto"/>
    </w:pPr>
    <w:rPr>
      <w:rFonts w:ascii="Times New Roman" w:eastAsia="SimSun" w:hAnsi="Times New Roman" w:cs="Times New Roman"/>
      <w:sz w:val="20"/>
      <w:szCs w:val="20"/>
      <w:lang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tandardWeb">
    <w:name w:val="Normal (Web)"/>
    <w:basedOn w:val="Standard"/>
    <w:uiPriority w:val="99"/>
    <w:unhideWhenUsed/>
    <w:rsid w:val="00787CE4"/>
    <w:pPr>
      <w:spacing w:before="100" w:beforeAutospacing="1" w:after="100" w:afterAutospacing="1" w:line="240" w:lineRule="auto"/>
    </w:pPr>
    <w:rPr>
      <w:rFonts w:ascii="Times" w:hAnsi="Times" w:cs="Times New Roman"/>
      <w:sz w:val="20"/>
      <w:szCs w:val="20"/>
      <w:lang w:eastAsia="de-DE"/>
    </w:rPr>
  </w:style>
  <w:style w:type="paragraph" w:styleId="Dokumentstruktur">
    <w:name w:val="Document Map"/>
    <w:basedOn w:val="Standard"/>
    <w:link w:val="DokumentstrukturZeichen"/>
    <w:uiPriority w:val="99"/>
    <w:semiHidden/>
    <w:unhideWhenUsed/>
    <w:rsid w:val="00762898"/>
    <w:pPr>
      <w:spacing w:after="0" w:line="240" w:lineRule="auto"/>
    </w:pPr>
    <w:rPr>
      <w:rFonts w:ascii="Lucida Grande" w:hAnsi="Lucida Grande" w:cs="Lucida Grande"/>
      <w:szCs w:val="24"/>
    </w:rPr>
  </w:style>
  <w:style w:type="character" w:customStyle="1" w:styleId="DokumentstrukturZeichen">
    <w:name w:val="Dokumentstruktur Zeichen"/>
    <w:basedOn w:val="Absatzstandardschriftart"/>
    <w:link w:val="Dokumentstruktur"/>
    <w:uiPriority w:val="99"/>
    <w:semiHidden/>
    <w:rsid w:val="00762898"/>
    <w:rPr>
      <w:rFonts w:ascii="Lucida Grande" w:hAnsi="Lucida Grande" w:cs="Lucida Grande"/>
      <w:sz w:val="24"/>
      <w:szCs w:val="24"/>
    </w:rPr>
  </w:style>
  <w:style w:type="paragraph" w:styleId="Funotentext">
    <w:name w:val="footnote text"/>
    <w:basedOn w:val="Standard"/>
    <w:link w:val="FunotentextZeichen"/>
    <w:uiPriority w:val="99"/>
    <w:semiHidden/>
    <w:unhideWhenUsed/>
    <w:rsid w:val="00C94531"/>
    <w:pPr>
      <w:spacing w:after="0" w:line="240" w:lineRule="auto"/>
    </w:pPr>
    <w:rPr>
      <w:sz w:val="20"/>
      <w:szCs w:val="20"/>
    </w:rPr>
  </w:style>
  <w:style w:type="character" w:customStyle="1" w:styleId="FunotentextZeichen">
    <w:name w:val="Fußnotentext Zeichen"/>
    <w:basedOn w:val="Absatzstandardschriftart"/>
    <w:link w:val="Funotentext"/>
    <w:uiPriority w:val="99"/>
    <w:semiHidden/>
    <w:rsid w:val="00C94531"/>
    <w:rPr>
      <w:rFonts w:ascii="Times New Roman" w:hAnsi="Times New Roman"/>
      <w:sz w:val="20"/>
      <w:szCs w:val="20"/>
    </w:rPr>
  </w:style>
  <w:style w:type="character" w:styleId="Funotenzeichen">
    <w:name w:val="footnote reference"/>
    <w:basedOn w:val="Absatzstandardschriftart"/>
    <w:uiPriority w:val="99"/>
    <w:semiHidden/>
    <w:unhideWhenUsed/>
    <w:rsid w:val="00C94531"/>
    <w:rPr>
      <w:vertAlign w:val="superscript"/>
    </w:rPr>
  </w:style>
  <w:style w:type="character" w:customStyle="1" w:styleId="berschrift6Zeichen">
    <w:name w:val="Überschrift 6 Zeichen"/>
    <w:basedOn w:val="Absatzstandardschriftart"/>
    <w:link w:val="berschrift6"/>
    <w:uiPriority w:val="9"/>
    <w:rsid w:val="0082158E"/>
    <w:rPr>
      <w:rFonts w:asciiTheme="majorHAnsi" w:eastAsiaTheme="majorEastAsia" w:hAnsiTheme="majorHAnsi" w:cstheme="majorBidi"/>
      <w:i/>
      <w:iCs/>
      <w:color w:val="243F60" w:themeColor="accent1" w:themeShade="7F"/>
      <w:sz w:val="24"/>
    </w:rPr>
  </w:style>
  <w:style w:type="paragraph" w:styleId="Untertitel">
    <w:name w:val="Subtitle"/>
    <w:basedOn w:val="Standard"/>
    <w:next w:val="Standard"/>
    <w:link w:val="UntertitelZeichen"/>
    <w:uiPriority w:val="11"/>
    <w:qFormat/>
    <w:rsid w:val="00CD24CD"/>
    <w:pPr>
      <w:numPr>
        <w:ilvl w:val="1"/>
      </w:numPr>
    </w:pPr>
    <w:rPr>
      <w:rFonts w:asciiTheme="majorHAnsi" w:eastAsiaTheme="majorEastAsia" w:hAnsiTheme="majorHAnsi" w:cstheme="majorBidi"/>
      <w:iCs/>
      <w:spacing w:val="15"/>
      <w:sz w:val="40"/>
      <w:szCs w:val="24"/>
    </w:rPr>
  </w:style>
  <w:style w:type="character" w:customStyle="1" w:styleId="UntertitelZeichen">
    <w:name w:val="Untertitel Zeichen"/>
    <w:basedOn w:val="Absatzstandardschriftart"/>
    <w:link w:val="Untertitel"/>
    <w:uiPriority w:val="11"/>
    <w:rsid w:val="00CD24CD"/>
    <w:rPr>
      <w:rFonts w:asciiTheme="majorHAnsi" w:eastAsiaTheme="majorEastAsia" w:hAnsiTheme="majorHAnsi" w:cstheme="majorBidi"/>
      <w:iCs/>
      <w:spacing w:val="15"/>
      <w:sz w:val="40"/>
      <w:szCs w:val="24"/>
    </w:rPr>
  </w:style>
  <w:style w:type="character" w:customStyle="1" w:styleId="name">
    <w:name w:val="name"/>
    <w:basedOn w:val="Absatzstandardschriftart"/>
    <w:rsid w:val="009A3061"/>
  </w:style>
  <w:style w:type="character" w:customStyle="1" w:styleId="articletitle">
    <w:name w:val="articletitle"/>
    <w:basedOn w:val="Absatzstandardschriftart"/>
    <w:rsid w:val="009A3061"/>
  </w:style>
  <w:style w:type="character" w:customStyle="1" w:styleId="worktitle">
    <w:name w:val="worktitle"/>
    <w:basedOn w:val="Absatzstandardschriftart"/>
    <w:rsid w:val="009A3061"/>
  </w:style>
  <w:style w:type="character" w:customStyle="1" w:styleId="number">
    <w:name w:val="number"/>
    <w:basedOn w:val="Absatzstandardschriftart"/>
    <w:rsid w:val="009A3061"/>
  </w:style>
  <w:style w:type="character" w:customStyle="1" w:styleId="pages">
    <w:name w:val="pages"/>
    <w:basedOn w:val="Absatzstandardschriftart"/>
    <w:rsid w:val="009A3061"/>
  </w:style>
  <w:style w:type="character" w:customStyle="1" w:styleId="date">
    <w:name w:val="date"/>
    <w:basedOn w:val="Absatzstandardschriftart"/>
    <w:rsid w:val="009A3061"/>
  </w:style>
  <w:style w:type="paragraph" w:styleId="Kommentarthema">
    <w:name w:val="annotation subject"/>
    <w:basedOn w:val="Kommentartext"/>
    <w:next w:val="Kommentartext"/>
    <w:link w:val="KommentarthemaZeichen"/>
    <w:uiPriority w:val="99"/>
    <w:semiHidden/>
    <w:unhideWhenUsed/>
    <w:rsid w:val="00DB37A2"/>
    <w:rPr>
      <w:rFonts w:ascii="Times New Roman" w:hAnsi="Times New Roman"/>
      <w:b/>
      <w:bCs/>
    </w:rPr>
  </w:style>
  <w:style w:type="character" w:customStyle="1" w:styleId="KommentarthemaZeichen">
    <w:name w:val="Kommentarthema Zeichen"/>
    <w:basedOn w:val="KommentartextZeichen"/>
    <w:link w:val="Kommentarthema"/>
    <w:uiPriority w:val="99"/>
    <w:semiHidden/>
    <w:rsid w:val="00DB37A2"/>
    <w:rPr>
      <w:rFonts w:ascii="Times New Roman" w:hAnsi="Times New Roman"/>
      <w:b/>
      <w:bCs/>
      <w:sz w:val="20"/>
      <w:szCs w:val="20"/>
    </w:rPr>
  </w:style>
  <w:style w:type="character" w:customStyle="1" w:styleId="st">
    <w:name w:val="st"/>
    <w:basedOn w:val="Absatzstandardschriftart"/>
    <w:rsid w:val="00A159EA"/>
  </w:style>
  <w:style w:type="character" w:styleId="Herausstellen">
    <w:name w:val="Emphasis"/>
    <w:basedOn w:val="Absatzstandardschriftart"/>
    <w:uiPriority w:val="20"/>
    <w:qFormat/>
    <w:rsid w:val="00A41534"/>
    <w:rPr>
      <w:i/>
      <w:iCs/>
    </w:rPr>
  </w:style>
  <w:style w:type="character" w:styleId="Link">
    <w:name w:val="Hyperlink"/>
    <w:basedOn w:val="Absatzstandardschriftart"/>
    <w:uiPriority w:val="99"/>
    <w:unhideWhenUsed/>
    <w:rsid w:val="00C80F02"/>
    <w:rPr>
      <w:color w:val="0000FF" w:themeColor="hyperlink"/>
      <w:u w:val="single"/>
    </w:rPr>
  </w:style>
  <w:style w:type="character" w:customStyle="1" w:styleId="highwire-cite-metadata-journal-title">
    <w:name w:val="highwire-cite-metadata-journal-title"/>
    <w:basedOn w:val="Absatzstandardschriftart"/>
    <w:rsid w:val="008D0D8F"/>
  </w:style>
  <w:style w:type="character" w:customStyle="1" w:styleId="highwire-cite-metadata-date">
    <w:name w:val="highwire-cite-metadata-date"/>
    <w:basedOn w:val="Absatzstandardschriftart"/>
    <w:rsid w:val="008D0D8F"/>
  </w:style>
  <w:style w:type="character" w:customStyle="1" w:styleId="highwire-cite-metadata-volume">
    <w:name w:val="highwire-cite-metadata-volume"/>
    <w:basedOn w:val="Absatzstandardschriftart"/>
    <w:rsid w:val="008D0D8F"/>
  </w:style>
  <w:style w:type="character" w:customStyle="1" w:styleId="label">
    <w:name w:val="label"/>
    <w:basedOn w:val="Absatzstandardschriftart"/>
    <w:rsid w:val="008D0D8F"/>
  </w:style>
  <w:style w:type="character" w:customStyle="1" w:styleId="highwire-cite-metadata-issue">
    <w:name w:val="highwire-cite-metadata-issue"/>
    <w:basedOn w:val="Absatzstandardschriftart"/>
    <w:rsid w:val="008D0D8F"/>
  </w:style>
  <w:style w:type="character" w:customStyle="1" w:styleId="berschrift7Zeichen">
    <w:name w:val="Überschrift 7 Zeichen"/>
    <w:basedOn w:val="Absatzstandardschriftart"/>
    <w:link w:val="berschrift7"/>
    <w:uiPriority w:val="9"/>
    <w:semiHidden/>
    <w:rsid w:val="004E3178"/>
    <w:rPr>
      <w:rFonts w:asciiTheme="majorHAnsi" w:eastAsiaTheme="majorEastAsia" w:hAnsiTheme="majorHAnsi" w:cstheme="majorBidi"/>
      <w:i/>
      <w:iCs/>
      <w:color w:val="404040" w:themeColor="text1" w:themeTint="BF"/>
      <w:sz w:val="24"/>
    </w:rPr>
  </w:style>
  <w:style w:type="character" w:customStyle="1" w:styleId="berschrift8Zeichen">
    <w:name w:val="Überschrift 8 Zeichen"/>
    <w:basedOn w:val="Absatzstandardschriftart"/>
    <w:link w:val="berschrift8"/>
    <w:uiPriority w:val="9"/>
    <w:semiHidden/>
    <w:rsid w:val="004E3178"/>
    <w:rPr>
      <w:rFonts w:asciiTheme="majorHAnsi" w:eastAsiaTheme="majorEastAsia" w:hAnsiTheme="majorHAnsi" w:cstheme="majorBidi"/>
      <w:color w:val="404040" w:themeColor="text1" w:themeTint="BF"/>
      <w:sz w:val="20"/>
      <w:szCs w:val="20"/>
    </w:rPr>
  </w:style>
  <w:style w:type="character" w:customStyle="1" w:styleId="berschrift9Zeichen">
    <w:name w:val="Überschrift 9 Zeichen"/>
    <w:basedOn w:val="Absatzstandardschriftart"/>
    <w:link w:val="berschrift9"/>
    <w:uiPriority w:val="9"/>
    <w:semiHidden/>
    <w:rsid w:val="004E3178"/>
    <w:rPr>
      <w:rFonts w:asciiTheme="majorHAnsi" w:eastAsiaTheme="majorEastAsia" w:hAnsiTheme="majorHAnsi" w:cstheme="majorBidi"/>
      <w:i/>
      <w:iCs/>
      <w:color w:val="404040" w:themeColor="text1" w:themeTint="BF"/>
      <w:sz w:val="20"/>
      <w:szCs w:val="20"/>
    </w:rPr>
  </w:style>
  <w:style w:type="character" w:styleId="HTMLZitat">
    <w:name w:val="HTML Cite"/>
    <w:basedOn w:val="Absatzstandardschriftart"/>
    <w:uiPriority w:val="99"/>
    <w:semiHidden/>
    <w:unhideWhenUsed/>
    <w:rsid w:val="008445C4"/>
    <w:rPr>
      <w:i/>
      <w:iCs/>
    </w:rPr>
  </w:style>
  <w:style w:type="character" w:customStyle="1" w:styleId="slug-pub-date">
    <w:name w:val="slug-pub-date"/>
    <w:basedOn w:val="Absatzstandardschriftart"/>
    <w:rsid w:val="008445C4"/>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D7FD7"/>
    <w:pPr>
      <w:spacing w:line="324" w:lineRule="auto"/>
      <w:jc w:val="both"/>
    </w:pPr>
    <w:rPr>
      <w:rFonts w:ascii="Times New Roman" w:hAnsi="Times New Roman"/>
      <w:sz w:val="24"/>
    </w:rPr>
  </w:style>
  <w:style w:type="paragraph" w:styleId="berschrift1">
    <w:name w:val="heading 1"/>
    <w:basedOn w:val="Standard"/>
    <w:next w:val="Standard"/>
    <w:link w:val="berschrift1Zeichen"/>
    <w:uiPriority w:val="9"/>
    <w:qFormat/>
    <w:rsid w:val="00584A0D"/>
    <w:pPr>
      <w:keepNext/>
      <w:keepLines/>
      <w:numPr>
        <w:numId w:val="7"/>
      </w:numPr>
      <w:spacing w:before="480" w:after="0"/>
      <w:outlineLvl w:val="0"/>
    </w:pPr>
    <w:rPr>
      <w:rFonts w:asciiTheme="majorHAnsi" w:eastAsiaTheme="majorEastAsia" w:hAnsiTheme="majorHAnsi" w:cstheme="majorBidi"/>
      <w:b/>
      <w:bCs/>
      <w:sz w:val="32"/>
      <w:szCs w:val="32"/>
    </w:rPr>
  </w:style>
  <w:style w:type="paragraph" w:styleId="berschrift2">
    <w:name w:val="heading 2"/>
    <w:basedOn w:val="Standard"/>
    <w:next w:val="Standard"/>
    <w:link w:val="berschrift2Zeichen"/>
    <w:uiPriority w:val="9"/>
    <w:unhideWhenUsed/>
    <w:qFormat/>
    <w:rsid w:val="00567A89"/>
    <w:pPr>
      <w:keepNext/>
      <w:keepLines/>
      <w:numPr>
        <w:ilvl w:val="1"/>
        <w:numId w:val="7"/>
      </w:numPr>
      <w:spacing w:before="440" w:after="240"/>
      <w:outlineLvl w:val="1"/>
    </w:pPr>
    <w:rPr>
      <w:rFonts w:asciiTheme="majorHAnsi" w:eastAsiaTheme="majorEastAsia" w:hAnsiTheme="majorHAnsi" w:cstheme="majorBidi"/>
      <w:b/>
      <w:bCs/>
      <w:sz w:val="28"/>
      <w:szCs w:val="26"/>
    </w:rPr>
  </w:style>
  <w:style w:type="paragraph" w:styleId="berschrift3">
    <w:name w:val="heading 3"/>
    <w:basedOn w:val="Standard"/>
    <w:next w:val="Standard"/>
    <w:link w:val="berschrift3Zeichen"/>
    <w:uiPriority w:val="9"/>
    <w:unhideWhenUsed/>
    <w:qFormat/>
    <w:rsid w:val="00567A89"/>
    <w:pPr>
      <w:keepNext/>
      <w:keepLines/>
      <w:numPr>
        <w:ilvl w:val="2"/>
        <w:numId w:val="7"/>
      </w:numPr>
      <w:spacing w:before="360"/>
      <w:outlineLvl w:val="2"/>
    </w:pPr>
    <w:rPr>
      <w:rFonts w:asciiTheme="majorHAnsi" w:eastAsiaTheme="majorEastAsia" w:hAnsiTheme="majorHAnsi" w:cstheme="majorBidi"/>
      <w:b/>
      <w:bCs/>
      <w:sz w:val="26"/>
    </w:rPr>
  </w:style>
  <w:style w:type="paragraph" w:styleId="berschrift4">
    <w:name w:val="heading 4"/>
    <w:basedOn w:val="Standard"/>
    <w:next w:val="Standard"/>
    <w:link w:val="berschrift4Zeichen"/>
    <w:uiPriority w:val="9"/>
    <w:unhideWhenUsed/>
    <w:qFormat/>
    <w:rsid w:val="00567A89"/>
    <w:pPr>
      <w:keepNext/>
      <w:keepLines/>
      <w:numPr>
        <w:ilvl w:val="3"/>
        <w:numId w:val="7"/>
      </w:numPr>
      <w:spacing w:before="440" w:after="240" w:line="240" w:lineRule="auto"/>
      <w:outlineLvl w:val="3"/>
    </w:pPr>
    <w:rPr>
      <w:rFonts w:asciiTheme="majorHAnsi" w:eastAsiaTheme="majorEastAsia" w:hAnsiTheme="majorHAnsi" w:cstheme="majorBidi"/>
      <w:b/>
      <w:bCs/>
      <w:i/>
      <w:iCs/>
    </w:rPr>
  </w:style>
  <w:style w:type="paragraph" w:styleId="berschrift5">
    <w:name w:val="heading 5"/>
    <w:basedOn w:val="Standard"/>
    <w:next w:val="Standard"/>
    <w:link w:val="berschrift5Zeichen"/>
    <w:uiPriority w:val="9"/>
    <w:unhideWhenUsed/>
    <w:qFormat/>
    <w:rsid w:val="004E3178"/>
    <w:pPr>
      <w:keepNext/>
      <w:keepLines/>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eichen"/>
    <w:uiPriority w:val="9"/>
    <w:unhideWhenUsed/>
    <w:qFormat/>
    <w:rsid w:val="0082158E"/>
    <w:pPr>
      <w:keepNext/>
      <w:keepLines/>
      <w:numPr>
        <w:ilvl w:val="5"/>
        <w:numId w:val="7"/>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eichen"/>
    <w:uiPriority w:val="9"/>
    <w:semiHidden/>
    <w:unhideWhenUsed/>
    <w:qFormat/>
    <w:rsid w:val="004E3178"/>
    <w:pPr>
      <w:keepNext/>
      <w:keepLines/>
      <w:numPr>
        <w:ilvl w:val="6"/>
        <w:numId w:val="7"/>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eichen"/>
    <w:uiPriority w:val="9"/>
    <w:semiHidden/>
    <w:unhideWhenUsed/>
    <w:qFormat/>
    <w:rsid w:val="004E3178"/>
    <w:pPr>
      <w:keepNext/>
      <w:keepLines/>
      <w:numPr>
        <w:ilvl w:val="7"/>
        <w:numId w:val="7"/>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eichen"/>
    <w:uiPriority w:val="9"/>
    <w:semiHidden/>
    <w:unhideWhenUsed/>
    <w:qFormat/>
    <w:rsid w:val="004E3178"/>
    <w:pPr>
      <w:keepNext/>
      <w:keepLines/>
      <w:numPr>
        <w:ilvl w:val="8"/>
        <w:numId w:val="7"/>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eichen"/>
    <w:uiPriority w:val="99"/>
    <w:semiHidden/>
    <w:unhideWhenUsed/>
    <w:rsid w:val="006C73A6"/>
    <w:pPr>
      <w:spacing w:after="0" w:line="240" w:lineRule="auto"/>
    </w:pPr>
    <w:rPr>
      <w:rFonts w:ascii="Tahoma" w:hAnsi="Tahoma" w:cs="Tahoma"/>
      <w:sz w:val="16"/>
      <w:szCs w:val="16"/>
    </w:rPr>
  </w:style>
  <w:style w:type="character" w:customStyle="1" w:styleId="SprechblasentextZeichen">
    <w:name w:val="Sprechblasentext Zeichen"/>
    <w:basedOn w:val="Absatzstandardschriftart"/>
    <w:link w:val="Sprechblasentext"/>
    <w:uiPriority w:val="99"/>
    <w:semiHidden/>
    <w:rsid w:val="006C73A6"/>
    <w:rPr>
      <w:rFonts w:ascii="Tahoma" w:hAnsi="Tahoma" w:cs="Tahoma"/>
      <w:sz w:val="16"/>
      <w:szCs w:val="16"/>
    </w:rPr>
  </w:style>
  <w:style w:type="character" w:customStyle="1" w:styleId="berschrift2Zeichen">
    <w:name w:val="Überschrift 2 Zeichen"/>
    <w:basedOn w:val="Absatzstandardschriftart"/>
    <w:link w:val="berschrift2"/>
    <w:uiPriority w:val="9"/>
    <w:rsid w:val="00567A89"/>
    <w:rPr>
      <w:rFonts w:asciiTheme="majorHAnsi" w:eastAsiaTheme="majorEastAsia" w:hAnsiTheme="majorHAnsi" w:cstheme="majorBidi"/>
      <w:b/>
      <w:bCs/>
      <w:sz w:val="28"/>
      <w:szCs w:val="26"/>
    </w:rPr>
  </w:style>
  <w:style w:type="paragraph" w:styleId="Endnotentext">
    <w:name w:val="endnote text"/>
    <w:basedOn w:val="Standard"/>
    <w:link w:val="EndnotentextZeichen"/>
    <w:uiPriority w:val="99"/>
    <w:unhideWhenUsed/>
    <w:rsid w:val="00A41F47"/>
    <w:pPr>
      <w:spacing w:after="0" w:line="240" w:lineRule="auto"/>
    </w:pPr>
    <w:rPr>
      <w:szCs w:val="24"/>
    </w:rPr>
  </w:style>
  <w:style w:type="character" w:customStyle="1" w:styleId="EndnotentextZeichen">
    <w:name w:val="Endnotentext Zeichen"/>
    <w:basedOn w:val="Absatzstandardschriftart"/>
    <w:link w:val="Endnotentext"/>
    <w:uiPriority w:val="99"/>
    <w:rsid w:val="00A41F47"/>
    <w:rPr>
      <w:sz w:val="24"/>
      <w:szCs w:val="24"/>
    </w:rPr>
  </w:style>
  <w:style w:type="character" w:styleId="Endnotenzeichen">
    <w:name w:val="endnote reference"/>
    <w:rsid w:val="00A41F47"/>
    <w:rPr>
      <w:vertAlign w:val="superscript"/>
    </w:rPr>
  </w:style>
  <w:style w:type="paragraph" w:styleId="Beschriftung">
    <w:name w:val="caption"/>
    <w:basedOn w:val="Standard"/>
    <w:next w:val="Standard"/>
    <w:uiPriority w:val="35"/>
    <w:unhideWhenUsed/>
    <w:qFormat/>
    <w:rsid w:val="009E710C"/>
    <w:pPr>
      <w:spacing w:line="240" w:lineRule="auto"/>
      <w:ind w:firstLine="708"/>
    </w:pPr>
    <w:rPr>
      <w:b/>
      <w:bCs/>
      <w:sz w:val="18"/>
      <w:szCs w:val="18"/>
    </w:rPr>
  </w:style>
  <w:style w:type="character" w:customStyle="1" w:styleId="berschrift1Zeichen">
    <w:name w:val="Überschrift 1 Zeichen"/>
    <w:basedOn w:val="Absatzstandardschriftart"/>
    <w:link w:val="berschrift1"/>
    <w:uiPriority w:val="9"/>
    <w:rsid w:val="00584A0D"/>
    <w:rPr>
      <w:rFonts w:asciiTheme="majorHAnsi" w:eastAsiaTheme="majorEastAsia" w:hAnsiTheme="majorHAnsi" w:cstheme="majorBidi"/>
      <w:b/>
      <w:bCs/>
      <w:sz w:val="32"/>
      <w:szCs w:val="32"/>
    </w:rPr>
  </w:style>
  <w:style w:type="character" w:customStyle="1" w:styleId="berschrift3Zeichen">
    <w:name w:val="Überschrift 3 Zeichen"/>
    <w:basedOn w:val="Absatzstandardschriftart"/>
    <w:link w:val="berschrift3"/>
    <w:uiPriority w:val="9"/>
    <w:rsid w:val="00567A89"/>
    <w:rPr>
      <w:rFonts w:asciiTheme="majorHAnsi" w:eastAsiaTheme="majorEastAsia" w:hAnsiTheme="majorHAnsi" w:cstheme="majorBidi"/>
      <w:b/>
      <w:bCs/>
      <w:sz w:val="26"/>
    </w:rPr>
  </w:style>
  <w:style w:type="character" w:customStyle="1" w:styleId="berschrift4Zeichen">
    <w:name w:val="Überschrift 4 Zeichen"/>
    <w:basedOn w:val="Absatzstandardschriftart"/>
    <w:link w:val="berschrift4"/>
    <w:uiPriority w:val="9"/>
    <w:rsid w:val="00567A89"/>
    <w:rPr>
      <w:rFonts w:asciiTheme="majorHAnsi" w:eastAsiaTheme="majorEastAsia" w:hAnsiTheme="majorHAnsi" w:cstheme="majorBidi"/>
      <w:b/>
      <w:bCs/>
      <w:i/>
      <w:iCs/>
      <w:sz w:val="24"/>
    </w:rPr>
  </w:style>
  <w:style w:type="paragraph" w:styleId="Index1">
    <w:name w:val="index 1"/>
    <w:basedOn w:val="Standard"/>
    <w:next w:val="Standard"/>
    <w:autoRedefine/>
    <w:uiPriority w:val="99"/>
    <w:unhideWhenUsed/>
    <w:rsid w:val="005F4F7F"/>
    <w:pPr>
      <w:spacing w:after="0"/>
      <w:ind w:left="220" w:hanging="220"/>
    </w:pPr>
    <w:rPr>
      <w:sz w:val="20"/>
      <w:szCs w:val="20"/>
    </w:rPr>
  </w:style>
  <w:style w:type="paragraph" w:styleId="Index2">
    <w:name w:val="index 2"/>
    <w:basedOn w:val="Standard"/>
    <w:next w:val="Standard"/>
    <w:autoRedefine/>
    <w:uiPriority w:val="99"/>
    <w:unhideWhenUsed/>
    <w:rsid w:val="005F4F7F"/>
    <w:pPr>
      <w:spacing w:after="0"/>
      <w:ind w:left="440" w:hanging="220"/>
    </w:pPr>
    <w:rPr>
      <w:sz w:val="20"/>
      <w:szCs w:val="20"/>
    </w:rPr>
  </w:style>
  <w:style w:type="paragraph" w:styleId="Index3">
    <w:name w:val="index 3"/>
    <w:basedOn w:val="Standard"/>
    <w:next w:val="Standard"/>
    <w:autoRedefine/>
    <w:uiPriority w:val="99"/>
    <w:unhideWhenUsed/>
    <w:rsid w:val="005F4F7F"/>
    <w:pPr>
      <w:spacing w:after="0"/>
      <w:ind w:left="660" w:hanging="220"/>
    </w:pPr>
    <w:rPr>
      <w:sz w:val="20"/>
      <w:szCs w:val="20"/>
    </w:rPr>
  </w:style>
  <w:style w:type="paragraph" w:styleId="Index4">
    <w:name w:val="index 4"/>
    <w:basedOn w:val="Standard"/>
    <w:next w:val="Standard"/>
    <w:autoRedefine/>
    <w:uiPriority w:val="99"/>
    <w:unhideWhenUsed/>
    <w:rsid w:val="005F4F7F"/>
    <w:pPr>
      <w:spacing w:after="0"/>
      <w:ind w:left="880" w:hanging="220"/>
    </w:pPr>
    <w:rPr>
      <w:sz w:val="20"/>
      <w:szCs w:val="20"/>
    </w:rPr>
  </w:style>
  <w:style w:type="paragraph" w:styleId="Index5">
    <w:name w:val="index 5"/>
    <w:basedOn w:val="Standard"/>
    <w:next w:val="Standard"/>
    <w:autoRedefine/>
    <w:uiPriority w:val="99"/>
    <w:unhideWhenUsed/>
    <w:rsid w:val="005F4F7F"/>
    <w:pPr>
      <w:spacing w:after="0"/>
      <w:ind w:left="1100" w:hanging="220"/>
    </w:pPr>
    <w:rPr>
      <w:sz w:val="20"/>
      <w:szCs w:val="20"/>
    </w:rPr>
  </w:style>
  <w:style w:type="paragraph" w:styleId="Index6">
    <w:name w:val="index 6"/>
    <w:basedOn w:val="Standard"/>
    <w:next w:val="Standard"/>
    <w:autoRedefine/>
    <w:uiPriority w:val="99"/>
    <w:unhideWhenUsed/>
    <w:rsid w:val="005F4F7F"/>
    <w:pPr>
      <w:spacing w:after="0"/>
      <w:ind w:left="1320" w:hanging="220"/>
    </w:pPr>
    <w:rPr>
      <w:sz w:val="20"/>
      <w:szCs w:val="20"/>
    </w:rPr>
  </w:style>
  <w:style w:type="paragraph" w:styleId="Index7">
    <w:name w:val="index 7"/>
    <w:basedOn w:val="Standard"/>
    <w:next w:val="Standard"/>
    <w:autoRedefine/>
    <w:uiPriority w:val="99"/>
    <w:unhideWhenUsed/>
    <w:rsid w:val="005F4F7F"/>
    <w:pPr>
      <w:spacing w:after="0"/>
      <w:ind w:left="1540" w:hanging="220"/>
    </w:pPr>
    <w:rPr>
      <w:sz w:val="20"/>
      <w:szCs w:val="20"/>
    </w:rPr>
  </w:style>
  <w:style w:type="paragraph" w:styleId="Index8">
    <w:name w:val="index 8"/>
    <w:basedOn w:val="Standard"/>
    <w:next w:val="Standard"/>
    <w:autoRedefine/>
    <w:uiPriority w:val="99"/>
    <w:unhideWhenUsed/>
    <w:rsid w:val="005F4F7F"/>
    <w:pPr>
      <w:spacing w:after="0"/>
      <w:ind w:left="1760" w:hanging="220"/>
    </w:pPr>
    <w:rPr>
      <w:sz w:val="20"/>
      <w:szCs w:val="20"/>
    </w:rPr>
  </w:style>
  <w:style w:type="paragraph" w:styleId="Index9">
    <w:name w:val="index 9"/>
    <w:basedOn w:val="Standard"/>
    <w:next w:val="Standard"/>
    <w:autoRedefine/>
    <w:uiPriority w:val="99"/>
    <w:unhideWhenUsed/>
    <w:rsid w:val="005F4F7F"/>
    <w:pPr>
      <w:spacing w:after="0"/>
      <w:ind w:left="1980" w:hanging="220"/>
    </w:pPr>
    <w:rPr>
      <w:sz w:val="20"/>
      <w:szCs w:val="20"/>
    </w:rPr>
  </w:style>
  <w:style w:type="paragraph" w:styleId="Indexberschrift">
    <w:name w:val="index heading"/>
    <w:basedOn w:val="Standard"/>
    <w:next w:val="Index1"/>
    <w:uiPriority w:val="99"/>
    <w:unhideWhenUsed/>
    <w:rsid w:val="005F4F7F"/>
    <w:pPr>
      <w:spacing w:before="120" w:after="120"/>
    </w:pPr>
    <w:rPr>
      <w:i/>
      <w:sz w:val="20"/>
      <w:szCs w:val="20"/>
    </w:rPr>
  </w:style>
  <w:style w:type="paragraph" w:styleId="Verzeichnis1">
    <w:name w:val="toc 1"/>
    <w:basedOn w:val="Standard"/>
    <w:next w:val="Standard"/>
    <w:autoRedefine/>
    <w:uiPriority w:val="39"/>
    <w:unhideWhenUsed/>
    <w:rsid w:val="006F3369"/>
    <w:pPr>
      <w:tabs>
        <w:tab w:val="left" w:pos="480"/>
        <w:tab w:val="right" w:leader="dot" w:pos="9062"/>
      </w:tabs>
      <w:spacing w:before="360" w:after="0"/>
    </w:pPr>
    <w:rPr>
      <w:rFonts w:asciiTheme="majorHAnsi" w:hAnsiTheme="majorHAnsi"/>
      <w:b/>
      <w:sz w:val="36"/>
      <w:szCs w:val="36"/>
    </w:rPr>
  </w:style>
  <w:style w:type="paragraph" w:styleId="Verzeichnis2">
    <w:name w:val="toc 2"/>
    <w:basedOn w:val="Standard"/>
    <w:next w:val="Standard"/>
    <w:autoRedefine/>
    <w:uiPriority w:val="39"/>
    <w:unhideWhenUsed/>
    <w:rsid w:val="005F4F7F"/>
    <w:pPr>
      <w:spacing w:before="240" w:after="0"/>
    </w:pPr>
    <w:rPr>
      <w:rFonts w:asciiTheme="minorHAnsi" w:hAnsiTheme="minorHAnsi"/>
      <w:b/>
      <w:bCs/>
      <w:sz w:val="20"/>
      <w:szCs w:val="20"/>
    </w:rPr>
  </w:style>
  <w:style w:type="paragraph" w:styleId="Verzeichnis3">
    <w:name w:val="toc 3"/>
    <w:basedOn w:val="Standard"/>
    <w:next w:val="Standard"/>
    <w:autoRedefine/>
    <w:uiPriority w:val="39"/>
    <w:unhideWhenUsed/>
    <w:rsid w:val="00ED4563"/>
    <w:pPr>
      <w:spacing w:after="0"/>
      <w:ind w:left="240"/>
    </w:pPr>
    <w:rPr>
      <w:rFonts w:asciiTheme="minorHAnsi" w:hAnsiTheme="minorHAnsi"/>
      <w:sz w:val="20"/>
      <w:szCs w:val="20"/>
    </w:rPr>
  </w:style>
  <w:style w:type="paragraph" w:styleId="Verzeichnis4">
    <w:name w:val="toc 4"/>
    <w:basedOn w:val="Standard"/>
    <w:next w:val="Standard"/>
    <w:autoRedefine/>
    <w:uiPriority w:val="39"/>
    <w:unhideWhenUsed/>
    <w:rsid w:val="005F4F7F"/>
    <w:pPr>
      <w:spacing w:after="0"/>
      <w:ind w:left="480"/>
    </w:pPr>
    <w:rPr>
      <w:rFonts w:asciiTheme="minorHAnsi" w:hAnsiTheme="minorHAnsi"/>
      <w:sz w:val="20"/>
      <w:szCs w:val="20"/>
    </w:rPr>
  </w:style>
  <w:style w:type="paragraph" w:styleId="Verzeichnis5">
    <w:name w:val="toc 5"/>
    <w:basedOn w:val="Standard"/>
    <w:next w:val="Standard"/>
    <w:autoRedefine/>
    <w:uiPriority w:val="39"/>
    <w:unhideWhenUsed/>
    <w:rsid w:val="005F4F7F"/>
    <w:pPr>
      <w:spacing w:after="0"/>
      <w:ind w:left="720"/>
    </w:pPr>
    <w:rPr>
      <w:rFonts w:asciiTheme="minorHAnsi" w:hAnsiTheme="minorHAnsi"/>
      <w:sz w:val="20"/>
      <w:szCs w:val="20"/>
    </w:rPr>
  </w:style>
  <w:style w:type="paragraph" w:styleId="Verzeichnis6">
    <w:name w:val="toc 6"/>
    <w:basedOn w:val="Standard"/>
    <w:next w:val="Standard"/>
    <w:autoRedefine/>
    <w:uiPriority w:val="39"/>
    <w:unhideWhenUsed/>
    <w:rsid w:val="005F4F7F"/>
    <w:pPr>
      <w:spacing w:after="0"/>
      <w:ind w:left="960"/>
    </w:pPr>
    <w:rPr>
      <w:rFonts w:asciiTheme="minorHAnsi" w:hAnsiTheme="minorHAnsi"/>
      <w:sz w:val="20"/>
      <w:szCs w:val="20"/>
    </w:rPr>
  </w:style>
  <w:style w:type="paragraph" w:styleId="Verzeichnis7">
    <w:name w:val="toc 7"/>
    <w:basedOn w:val="Standard"/>
    <w:next w:val="Standard"/>
    <w:autoRedefine/>
    <w:uiPriority w:val="39"/>
    <w:unhideWhenUsed/>
    <w:rsid w:val="005F4F7F"/>
    <w:pPr>
      <w:spacing w:after="0"/>
      <w:ind w:left="1200"/>
    </w:pPr>
    <w:rPr>
      <w:rFonts w:asciiTheme="minorHAnsi" w:hAnsiTheme="minorHAnsi"/>
      <w:sz w:val="20"/>
      <w:szCs w:val="20"/>
    </w:rPr>
  </w:style>
  <w:style w:type="paragraph" w:styleId="Verzeichnis8">
    <w:name w:val="toc 8"/>
    <w:basedOn w:val="Standard"/>
    <w:next w:val="Standard"/>
    <w:autoRedefine/>
    <w:uiPriority w:val="39"/>
    <w:unhideWhenUsed/>
    <w:rsid w:val="005F4F7F"/>
    <w:pPr>
      <w:spacing w:after="0"/>
      <w:ind w:left="1440"/>
    </w:pPr>
    <w:rPr>
      <w:rFonts w:asciiTheme="minorHAnsi" w:hAnsiTheme="minorHAnsi"/>
      <w:sz w:val="20"/>
      <w:szCs w:val="20"/>
    </w:rPr>
  </w:style>
  <w:style w:type="paragraph" w:styleId="Verzeichnis9">
    <w:name w:val="toc 9"/>
    <w:basedOn w:val="Standard"/>
    <w:next w:val="Standard"/>
    <w:autoRedefine/>
    <w:uiPriority w:val="39"/>
    <w:unhideWhenUsed/>
    <w:rsid w:val="005F4F7F"/>
    <w:pPr>
      <w:spacing w:after="0"/>
      <w:ind w:left="1680"/>
    </w:pPr>
    <w:rPr>
      <w:rFonts w:asciiTheme="minorHAnsi" w:hAnsiTheme="minorHAnsi"/>
      <w:sz w:val="20"/>
      <w:szCs w:val="20"/>
    </w:rPr>
  </w:style>
  <w:style w:type="table" w:styleId="Tabellenraster">
    <w:name w:val="Table Grid"/>
    <w:basedOn w:val="NormaleTabelle"/>
    <w:uiPriority w:val="59"/>
    <w:rsid w:val="00242C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nabsatz">
    <w:name w:val="List Paragraph"/>
    <w:basedOn w:val="Standard"/>
    <w:uiPriority w:val="34"/>
    <w:qFormat/>
    <w:rsid w:val="00076E9C"/>
    <w:pPr>
      <w:ind w:left="720"/>
      <w:contextualSpacing/>
    </w:pPr>
  </w:style>
  <w:style w:type="paragraph" w:styleId="Kopfzeile">
    <w:name w:val="header"/>
    <w:basedOn w:val="Standard"/>
    <w:link w:val="KopfzeileZeichen"/>
    <w:uiPriority w:val="99"/>
    <w:unhideWhenUsed/>
    <w:rsid w:val="007C61EF"/>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7C61EF"/>
  </w:style>
  <w:style w:type="paragraph" w:styleId="Fuzeile">
    <w:name w:val="footer"/>
    <w:basedOn w:val="Standard"/>
    <w:link w:val="FuzeileZeichen"/>
    <w:uiPriority w:val="99"/>
    <w:unhideWhenUsed/>
    <w:rsid w:val="007C61EF"/>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7C61EF"/>
  </w:style>
  <w:style w:type="character" w:styleId="Platzhaltertext">
    <w:name w:val="Placeholder Text"/>
    <w:basedOn w:val="Absatzstandardschriftart"/>
    <w:uiPriority w:val="99"/>
    <w:semiHidden/>
    <w:rsid w:val="005A37AF"/>
    <w:rPr>
      <w:color w:val="808080"/>
    </w:rPr>
  </w:style>
  <w:style w:type="character" w:styleId="Seitenzahl">
    <w:name w:val="page number"/>
    <w:basedOn w:val="Absatzstandardschriftart"/>
    <w:uiPriority w:val="99"/>
    <w:semiHidden/>
    <w:unhideWhenUsed/>
    <w:rsid w:val="00531316"/>
  </w:style>
  <w:style w:type="character" w:customStyle="1" w:styleId="berschrift5Zeichen">
    <w:name w:val="Überschrift 5 Zeichen"/>
    <w:basedOn w:val="Absatzstandardschriftart"/>
    <w:link w:val="berschrift5"/>
    <w:uiPriority w:val="9"/>
    <w:rsid w:val="005D272F"/>
    <w:rPr>
      <w:rFonts w:asciiTheme="majorHAnsi" w:eastAsiaTheme="majorEastAsia" w:hAnsiTheme="majorHAnsi" w:cstheme="majorBidi"/>
      <w:color w:val="243F60" w:themeColor="accent1" w:themeShade="7F"/>
      <w:sz w:val="24"/>
    </w:rPr>
  </w:style>
  <w:style w:type="character" w:styleId="Kommentarzeichen">
    <w:name w:val="annotation reference"/>
    <w:basedOn w:val="Absatzstandardschriftart"/>
    <w:uiPriority w:val="99"/>
    <w:semiHidden/>
    <w:unhideWhenUsed/>
    <w:rsid w:val="00C50E91"/>
    <w:rPr>
      <w:sz w:val="16"/>
      <w:szCs w:val="16"/>
    </w:rPr>
  </w:style>
  <w:style w:type="paragraph" w:styleId="Kommentartext">
    <w:name w:val="annotation text"/>
    <w:basedOn w:val="Standard"/>
    <w:link w:val="KommentartextZeichen"/>
    <w:uiPriority w:val="99"/>
    <w:semiHidden/>
    <w:unhideWhenUsed/>
    <w:rsid w:val="00C50E91"/>
    <w:pPr>
      <w:spacing w:line="240" w:lineRule="auto"/>
    </w:pPr>
    <w:rPr>
      <w:rFonts w:asciiTheme="minorHAnsi" w:hAnsiTheme="minorHAnsi"/>
      <w:sz w:val="20"/>
      <w:szCs w:val="20"/>
    </w:rPr>
  </w:style>
  <w:style w:type="character" w:customStyle="1" w:styleId="KommentartextZeichen">
    <w:name w:val="Kommentartext Zeichen"/>
    <w:basedOn w:val="Absatzstandardschriftart"/>
    <w:link w:val="Kommentartext"/>
    <w:uiPriority w:val="99"/>
    <w:semiHidden/>
    <w:rsid w:val="00C50E91"/>
    <w:rPr>
      <w:sz w:val="20"/>
      <w:szCs w:val="20"/>
    </w:rPr>
  </w:style>
  <w:style w:type="table" w:customStyle="1" w:styleId="Tabellenraster1">
    <w:name w:val="Tabellenraster1"/>
    <w:basedOn w:val="NormaleTabelle"/>
    <w:next w:val="Tabellenraster"/>
    <w:uiPriority w:val="59"/>
    <w:rsid w:val="00A70C82"/>
    <w:pPr>
      <w:spacing w:after="0" w:line="240" w:lineRule="auto"/>
    </w:pPr>
    <w:rPr>
      <w:rFonts w:ascii="Times New Roman" w:eastAsia="SimSun" w:hAnsi="Times New Roman" w:cs="Times New Roman"/>
      <w:sz w:val="20"/>
      <w:szCs w:val="20"/>
      <w:lang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tandardWeb">
    <w:name w:val="Normal (Web)"/>
    <w:basedOn w:val="Standard"/>
    <w:uiPriority w:val="99"/>
    <w:unhideWhenUsed/>
    <w:rsid w:val="00787CE4"/>
    <w:pPr>
      <w:spacing w:before="100" w:beforeAutospacing="1" w:after="100" w:afterAutospacing="1" w:line="240" w:lineRule="auto"/>
    </w:pPr>
    <w:rPr>
      <w:rFonts w:ascii="Times" w:hAnsi="Times" w:cs="Times New Roman"/>
      <w:sz w:val="20"/>
      <w:szCs w:val="20"/>
      <w:lang w:eastAsia="de-DE"/>
    </w:rPr>
  </w:style>
  <w:style w:type="paragraph" w:styleId="Dokumentstruktur">
    <w:name w:val="Document Map"/>
    <w:basedOn w:val="Standard"/>
    <w:link w:val="DokumentstrukturZeichen"/>
    <w:uiPriority w:val="99"/>
    <w:semiHidden/>
    <w:unhideWhenUsed/>
    <w:rsid w:val="00762898"/>
    <w:pPr>
      <w:spacing w:after="0" w:line="240" w:lineRule="auto"/>
    </w:pPr>
    <w:rPr>
      <w:rFonts w:ascii="Lucida Grande" w:hAnsi="Lucida Grande" w:cs="Lucida Grande"/>
      <w:szCs w:val="24"/>
    </w:rPr>
  </w:style>
  <w:style w:type="character" w:customStyle="1" w:styleId="DokumentstrukturZeichen">
    <w:name w:val="Dokumentstruktur Zeichen"/>
    <w:basedOn w:val="Absatzstandardschriftart"/>
    <w:link w:val="Dokumentstruktur"/>
    <w:uiPriority w:val="99"/>
    <w:semiHidden/>
    <w:rsid w:val="00762898"/>
    <w:rPr>
      <w:rFonts w:ascii="Lucida Grande" w:hAnsi="Lucida Grande" w:cs="Lucida Grande"/>
      <w:sz w:val="24"/>
      <w:szCs w:val="24"/>
    </w:rPr>
  </w:style>
  <w:style w:type="paragraph" w:styleId="Funotentext">
    <w:name w:val="footnote text"/>
    <w:basedOn w:val="Standard"/>
    <w:link w:val="FunotentextZeichen"/>
    <w:uiPriority w:val="99"/>
    <w:semiHidden/>
    <w:unhideWhenUsed/>
    <w:rsid w:val="00C94531"/>
    <w:pPr>
      <w:spacing w:after="0" w:line="240" w:lineRule="auto"/>
    </w:pPr>
    <w:rPr>
      <w:sz w:val="20"/>
      <w:szCs w:val="20"/>
    </w:rPr>
  </w:style>
  <w:style w:type="character" w:customStyle="1" w:styleId="FunotentextZeichen">
    <w:name w:val="Fußnotentext Zeichen"/>
    <w:basedOn w:val="Absatzstandardschriftart"/>
    <w:link w:val="Funotentext"/>
    <w:uiPriority w:val="99"/>
    <w:semiHidden/>
    <w:rsid w:val="00C94531"/>
    <w:rPr>
      <w:rFonts w:ascii="Times New Roman" w:hAnsi="Times New Roman"/>
      <w:sz w:val="20"/>
      <w:szCs w:val="20"/>
    </w:rPr>
  </w:style>
  <w:style w:type="character" w:styleId="Funotenzeichen">
    <w:name w:val="footnote reference"/>
    <w:basedOn w:val="Absatzstandardschriftart"/>
    <w:uiPriority w:val="99"/>
    <w:semiHidden/>
    <w:unhideWhenUsed/>
    <w:rsid w:val="00C94531"/>
    <w:rPr>
      <w:vertAlign w:val="superscript"/>
    </w:rPr>
  </w:style>
  <w:style w:type="character" w:customStyle="1" w:styleId="berschrift6Zeichen">
    <w:name w:val="Überschrift 6 Zeichen"/>
    <w:basedOn w:val="Absatzstandardschriftart"/>
    <w:link w:val="berschrift6"/>
    <w:uiPriority w:val="9"/>
    <w:rsid w:val="0082158E"/>
    <w:rPr>
      <w:rFonts w:asciiTheme="majorHAnsi" w:eastAsiaTheme="majorEastAsia" w:hAnsiTheme="majorHAnsi" w:cstheme="majorBidi"/>
      <w:i/>
      <w:iCs/>
      <w:color w:val="243F60" w:themeColor="accent1" w:themeShade="7F"/>
      <w:sz w:val="24"/>
    </w:rPr>
  </w:style>
  <w:style w:type="paragraph" w:styleId="Untertitel">
    <w:name w:val="Subtitle"/>
    <w:basedOn w:val="Standard"/>
    <w:next w:val="Standard"/>
    <w:link w:val="UntertitelZeichen"/>
    <w:uiPriority w:val="11"/>
    <w:qFormat/>
    <w:rsid w:val="00CD24CD"/>
    <w:pPr>
      <w:numPr>
        <w:ilvl w:val="1"/>
      </w:numPr>
    </w:pPr>
    <w:rPr>
      <w:rFonts w:asciiTheme="majorHAnsi" w:eastAsiaTheme="majorEastAsia" w:hAnsiTheme="majorHAnsi" w:cstheme="majorBidi"/>
      <w:iCs/>
      <w:spacing w:val="15"/>
      <w:sz w:val="40"/>
      <w:szCs w:val="24"/>
    </w:rPr>
  </w:style>
  <w:style w:type="character" w:customStyle="1" w:styleId="UntertitelZeichen">
    <w:name w:val="Untertitel Zeichen"/>
    <w:basedOn w:val="Absatzstandardschriftart"/>
    <w:link w:val="Untertitel"/>
    <w:uiPriority w:val="11"/>
    <w:rsid w:val="00CD24CD"/>
    <w:rPr>
      <w:rFonts w:asciiTheme="majorHAnsi" w:eastAsiaTheme="majorEastAsia" w:hAnsiTheme="majorHAnsi" w:cstheme="majorBidi"/>
      <w:iCs/>
      <w:spacing w:val="15"/>
      <w:sz w:val="40"/>
      <w:szCs w:val="24"/>
    </w:rPr>
  </w:style>
  <w:style w:type="character" w:customStyle="1" w:styleId="name">
    <w:name w:val="name"/>
    <w:basedOn w:val="Absatzstandardschriftart"/>
    <w:rsid w:val="009A3061"/>
  </w:style>
  <w:style w:type="character" w:customStyle="1" w:styleId="articletitle">
    <w:name w:val="articletitle"/>
    <w:basedOn w:val="Absatzstandardschriftart"/>
    <w:rsid w:val="009A3061"/>
  </w:style>
  <w:style w:type="character" w:customStyle="1" w:styleId="worktitle">
    <w:name w:val="worktitle"/>
    <w:basedOn w:val="Absatzstandardschriftart"/>
    <w:rsid w:val="009A3061"/>
  </w:style>
  <w:style w:type="character" w:customStyle="1" w:styleId="number">
    <w:name w:val="number"/>
    <w:basedOn w:val="Absatzstandardschriftart"/>
    <w:rsid w:val="009A3061"/>
  </w:style>
  <w:style w:type="character" w:customStyle="1" w:styleId="pages">
    <w:name w:val="pages"/>
    <w:basedOn w:val="Absatzstandardschriftart"/>
    <w:rsid w:val="009A3061"/>
  </w:style>
  <w:style w:type="character" w:customStyle="1" w:styleId="date">
    <w:name w:val="date"/>
    <w:basedOn w:val="Absatzstandardschriftart"/>
    <w:rsid w:val="009A3061"/>
  </w:style>
  <w:style w:type="paragraph" w:styleId="Kommentarthema">
    <w:name w:val="annotation subject"/>
    <w:basedOn w:val="Kommentartext"/>
    <w:next w:val="Kommentartext"/>
    <w:link w:val="KommentarthemaZeichen"/>
    <w:uiPriority w:val="99"/>
    <w:semiHidden/>
    <w:unhideWhenUsed/>
    <w:rsid w:val="00DB37A2"/>
    <w:rPr>
      <w:rFonts w:ascii="Times New Roman" w:hAnsi="Times New Roman"/>
      <w:b/>
      <w:bCs/>
    </w:rPr>
  </w:style>
  <w:style w:type="character" w:customStyle="1" w:styleId="KommentarthemaZeichen">
    <w:name w:val="Kommentarthema Zeichen"/>
    <w:basedOn w:val="KommentartextZeichen"/>
    <w:link w:val="Kommentarthema"/>
    <w:uiPriority w:val="99"/>
    <w:semiHidden/>
    <w:rsid w:val="00DB37A2"/>
    <w:rPr>
      <w:rFonts w:ascii="Times New Roman" w:hAnsi="Times New Roman"/>
      <w:b/>
      <w:bCs/>
      <w:sz w:val="20"/>
      <w:szCs w:val="20"/>
    </w:rPr>
  </w:style>
  <w:style w:type="character" w:customStyle="1" w:styleId="st">
    <w:name w:val="st"/>
    <w:basedOn w:val="Absatzstandardschriftart"/>
    <w:rsid w:val="00A159EA"/>
  </w:style>
  <w:style w:type="character" w:styleId="Herausstellen">
    <w:name w:val="Emphasis"/>
    <w:basedOn w:val="Absatzstandardschriftart"/>
    <w:uiPriority w:val="20"/>
    <w:qFormat/>
    <w:rsid w:val="00A41534"/>
    <w:rPr>
      <w:i/>
      <w:iCs/>
    </w:rPr>
  </w:style>
  <w:style w:type="character" w:styleId="Link">
    <w:name w:val="Hyperlink"/>
    <w:basedOn w:val="Absatzstandardschriftart"/>
    <w:uiPriority w:val="99"/>
    <w:unhideWhenUsed/>
    <w:rsid w:val="00C80F02"/>
    <w:rPr>
      <w:color w:val="0000FF" w:themeColor="hyperlink"/>
      <w:u w:val="single"/>
    </w:rPr>
  </w:style>
  <w:style w:type="character" w:customStyle="1" w:styleId="highwire-cite-metadata-journal-title">
    <w:name w:val="highwire-cite-metadata-journal-title"/>
    <w:basedOn w:val="Absatzstandardschriftart"/>
    <w:rsid w:val="008D0D8F"/>
  </w:style>
  <w:style w:type="character" w:customStyle="1" w:styleId="highwire-cite-metadata-date">
    <w:name w:val="highwire-cite-metadata-date"/>
    <w:basedOn w:val="Absatzstandardschriftart"/>
    <w:rsid w:val="008D0D8F"/>
  </w:style>
  <w:style w:type="character" w:customStyle="1" w:styleId="highwire-cite-metadata-volume">
    <w:name w:val="highwire-cite-metadata-volume"/>
    <w:basedOn w:val="Absatzstandardschriftart"/>
    <w:rsid w:val="008D0D8F"/>
  </w:style>
  <w:style w:type="character" w:customStyle="1" w:styleId="label">
    <w:name w:val="label"/>
    <w:basedOn w:val="Absatzstandardschriftart"/>
    <w:rsid w:val="008D0D8F"/>
  </w:style>
  <w:style w:type="character" w:customStyle="1" w:styleId="highwire-cite-metadata-issue">
    <w:name w:val="highwire-cite-metadata-issue"/>
    <w:basedOn w:val="Absatzstandardschriftart"/>
    <w:rsid w:val="008D0D8F"/>
  </w:style>
  <w:style w:type="character" w:customStyle="1" w:styleId="berschrift7Zeichen">
    <w:name w:val="Überschrift 7 Zeichen"/>
    <w:basedOn w:val="Absatzstandardschriftart"/>
    <w:link w:val="berschrift7"/>
    <w:uiPriority w:val="9"/>
    <w:semiHidden/>
    <w:rsid w:val="004E3178"/>
    <w:rPr>
      <w:rFonts w:asciiTheme="majorHAnsi" w:eastAsiaTheme="majorEastAsia" w:hAnsiTheme="majorHAnsi" w:cstheme="majorBidi"/>
      <w:i/>
      <w:iCs/>
      <w:color w:val="404040" w:themeColor="text1" w:themeTint="BF"/>
      <w:sz w:val="24"/>
    </w:rPr>
  </w:style>
  <w:style w:type="character" w:customStyle="1" w:styleId="berschrift8Zeichen">
    <w:name w:val="Überschrift 8 Zeichen"/>
    <w:basedOn w:val="Absatzstandardschriftart"/>
    <w:link w:val="berschrift8"/>
    <w:uiPriority w:val="9"/>
    <w:semiHidden/>
    <w:rsid w:val="004E3178"/>
    <w:rPr>
      <w:rFonts w:asciiTheme="majorHAnsi" w:eastAsiaTheme="majorEastAsia" w:hAnsiTheme="majorHAnsi" w:cstheme="majorBidi"/>
      <w:color w:val="404040" w:themeColor="text1" w:themeTint="BF"/>
      <w:sz w:val="20"/>
      <w:szCs w:val="20"/>
    </w:rPr>
  </w:style>
  <w:style w:type="character" w:customStyle="1" w:styleId="berschrift9Zeichen">
    <w:name w:val="Überschrift 9 Zeichen"/>
    <w:basedOn w:val="Absatzstandardschriftart"/>
    <w:link w:val="berschrift9"/>
    <w:uiPriority w:val="9"/>
    <w:semiHidden/>
    <w:rsid w:val="004E3178"/>
    <w:rPr>
      <w:rFonts w:asciiTheme="majorHAnsi" w:eastAsiaTheme="majorEastAsia" w:hAnsiTheme="majorHAnsi" w:cstheme="majorBidi"/>
      <w:i/>
      <w:iCs/>
      <w:color w:val="404040" w:themeColor="text1" w:themeTint="BF"/>
      <w:sz w:val="20"/>
      <w:szCs w:val="20"/>
    </w:rPr>
  </w:style>
  <w:style w:type="character" w:styleId="HTMLZitat">
    <w:name w:val="HTML Cite"/>
    <w:basedOn w:val="Absatzstandardschriftart"/>
    <w:uiPriority w:val="99"/>
    <w:semiHidden/>
    <w:unhideWhenUsed/>
    <w:rsid w:val="008445C4"/>
    <w:rPr>
      <w:i/>
      <w:iCs/>
    </w:rPr>
  </w:style>
  <w:style w:type="character" w:customStyle="1" w:styleId="slug-pub-date">
    <w:name w:val="slug-pub-date"/>
    <w:basedOn w:val="Absatzstandardschriftart"/>
    <w:rsid w:val="008445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538549">
      <w:bodyDiv w:val="1"/>
      <w:marLeft w:val="0"/>
      <w:marRight w:val="0"/>
      <w:marTop w:val="0"/>
      <w:marBottom w:val="0"/>
      <w:divBdr>
        <w:top w:val="none" w:sz="0" w:space="0" w:color="auto"/>
        <w:left w:val="none" w:sz="0" w:space="0" w:color="auto"/>
        <w:bottom w:val="none" w:sz="0" w:space="0" w:color="auto"/>
        <w:right w:val="none" w:sz="0" w:space="0" w:color="auto"/>
      </w:divBdr>
      <w:divsChild>
        <w:div w:id="1896310011">
          <w:marLeft w:val="0"/>
          <w:marRight w:val="0"/>
          <w:marTop w:val="0"/>
          <w:marBottom w:val="0"/>
          <w:divBdr>
            <w:top w:val="none" w:sz="0" w:space="0" w:color="auto"/>
            <w:left w:val="none" w:sz="0" w:space="0" w:color="auto"/>
            <w:bottom w:val="none" w:sz="0" w:space="0" w:color="auto"/>
            <w:right w:val="none" w:sz="0" w:space="0" w:color="auto"/>
          </w:divBdr>
        </w:div>
      </w:divsChild>
    </w:div>
    <w:div w:id="172260016">
      <w:bodyDiv w:val="1"/>
      <w:marLeft w:val="0"/>
      <w:marRight w:val="0"/>
      <w:marTop w:val="0"/>
      <w:marBottom w:val="0"/>
      <w:divBdr>
        <w:top w:val="none" w:sz="0" w:space="0" w:color="auto"/>
        <w:left w:val="none" w:sz="0" w:space="0" w:color="auto"/>
        <w:bottom w:val="none" w:sz="0" w:space="0" w:color="auto"/>
        <w:right w:val="none" w:sz="0" w:space="0" w:color="auto"/>
      </w:divBdr>
    </w:div>
    <w:div w:id="218640602">
      <w:bodyDiv w:val="1"/>
      <w:marLeft w:val="0"/>
      <w:marRight w:val="0"/>
      <w:marTop w:val="0"/>
      <w:marBottom w:val="0"/>
      <w:divBdr>
        <w:top w:val="none" w:sz="0" w:space="0" w:color="auto"/>
        <w:left w:val="none" w:sz="0" w:space="0" w:color="auto"/>
        <w:bottom w:val="none" w:sz="0" w:space="0" w:color="auto"/>
        <w:right w:val="none" w:sz="0" w:space="0" w:color="auto"/>
      </w:divBdr>
    </w:div>
    <w:div w:id="230042812">
      <w:bodyDiv w:val="1"/>
      <w:marLeft w:val="0"/>
      <w:marRight w:val="0"/>
      <w:marTop w:val="0"/>
      <w:marBottom w:val="0"/>
      <w:divBdr>
        <w:top w:val="none" w:sz="0" w:space="0" w:color="auto"/>
        <w:left w:val="none" w:sz="0" w:space="0" w:color="auto"/>
        <w:bottom w:val="none" w:sz="0" w:space="0" w:color="auto"/>
        <w:right w:val="none" w:sz="0" w:space="0" w:color="auto"/>
      </w:divBdr>
      <w:divsChild>
        <w:div w:id="479421723">
          <w:marLeft w:val="0"/>
          <w:marRight w:val="0"/>
          <w:marTop w:val="0"/>
          <w:marBottom w:val="0"/>
          <w:divBdr>
            <w:top w:val="none" w:sz="0" w:space="0" w:color="auto"/>
            <w:left w:val="none" w:sz="0" w:space="0" w:color="auto"/>
            <w:bottom w:val="none" w:sz="0" w:space="0" w:color="auto"/>
            <w:right w:val="none" w:sz="0" w:space="0" w:color="auto"/>
          </w:divBdr>
        </w:div>
        <w:div w:id="1392268571">
          <w:marLeft w:val="0"/>
          <w:marRight w:val="0"/>
          <w:marTop w:val="0"/>
          <w:marBottom w:val="0"/>
          <w:divBdr>
            <w:top w:val="none" w:sz="0" w:space="0" w:color="auto"/>
            <w:left w:val="none" w:sz="0" w:space="0" w:color="auto"/>
            <w:bottom w:val="none" w:sz="0" w:space="0" w:color="auto"/>
            <w:right w:val="none" w:sz="0" w:space="0" w:color="auto"/>
          </w:divBdr>
        </w:div>
      </w:divsChild>
    </w:div>
    <w:div w:id="337120236">
      <w:bodyDiv w:val="1"/>
      <w:marLeft w:val="0"/>
      <w:marRight w:val="0"/>
      <w:marTop w:val="0"/>
      <w:marBottom w:val="0"/>
      <w:divBdr>
        <w:top w:val="none" w:sz="0" w:space="0" w:color="auto"/>
        <w:left w:val="none" w:sz="0" w:space="0" w:color="auto"/>
        <w:bottom w:val="none" w:sz="0" w:space="0" w:color="auto"/>
        <w:right w:val="none" w:sz="0" w:space="0" w:color="auto"/>
      </w:divBdr>
    </w:div>
    <w:div w:id="344479787">
      <w:bodyDiv w:val="1"/>
      <w:marLeft w:val="0"/>
      <w:marRight w:val="0"/>
      <w:marTop w:val="0"/>
      <w:marBottom w:val="0"/>
      <w:divBdr>
        <w:top w:val="none" w:sz="0" w:space="0" w:color="auto"/>
        <w:left w:val="none" w:sz="0" w:space="0" w:color="auto"/>
        <w:bottom w:val="none" w:sz="0" w:space="0" w:color="auto"/>
        <w:right w:val="none" w:sz="0" w:space="0" w:color="auto"/>
      </w:divBdr>
      <w:divsChild>
        <w:div w:id="989136515">
          <w:marLeft w:val="0"/>
          <w:marRight w:val="0"/>
          <w:marTop w:val="0"/>
          <w:marBottom w:val="0"/>
          <w:divBdr>
            <w:top w:val="none" w:sz="0" w:space="0" w:color="auto"/>
            <w:left w:val="none" w:sz="0" w:space="0" w:color="auto"/>
            <w:bottom w:val="none" w:sz="0" w:space="0" w:color="auto"/>
            <w:right w:val="none" w:sz="0" w:space="0" w:color="auto"/>
          </w:divBdr>
        </w:div>
        <w:div w:id="1707485923">
          <w:marLeft w:val="0"/>
          <w:marRight w:val="0"/>
          <w:marTop w:val="0"/>
          <w:marBottom w:val="0"/>
          <w:divBdr>
            <w:top w:val="none" w:sz="0" w:space="0" w:color="auto"/>
            <w:left w:val="none" w:sz="0" w:space="0" w:color="auto"/>
            <w:bottom w:val="none" w:sz="0" w:space="0" w:color="auto"/>
            <w:right w:val="none" w:sz="0" w:space="0" w:color="auto"/>
          </w:divBdr>
        </w:div>
        <w:div w:id="1660234359">
          <w:marLeft w:val="0"/>
          <w:marRight w:val="0"/>
          <w:marTop w:val="0"/>
          <w:marBottom w:val="0"/>
          <w:divBdr>
            <w:top w:val="none" w:sz="0" w:space="0" w:color="auto"/>
            <w:left w:val="none" w:sz="0" w:space="0" w:color="auto"/>
            <w:bottom w:val="none" w:sz="0" w:space="0" w:color="auto"/>
            <w:right w:val="none" w:sz="0" w:space="0" w:color="auto"/>
          </w:divBdr>
        </w:div>
        <w:div w:id="706951326">
          <w:marLeft w:val="0"/>
          <w:marRight w:val="0"/>
          <w:marTop w:val="0"/>
          <w:marBottom w:val="0"/>
          <w:divBdr>
            <w:top w:val="none" w:sz="0" w:space="0" w:color="auto"/>
            <w:left w:val="none" w:sz="0" w:space="0" w:color="auto"/>
            <w:bottom w:val="none" w:sz="0" w:space="0" w:color="auto"/>
            <w:right w:val="none" w:sz="0" w:space="0" w:color="auto"/>
          </w:divBdr>
        </w:div>
        <w:div w:id="312759975">
          <w:marLeft w:val="0"/>
          <w:marRight w:val="0"/>
          <w:marTop w:val="0"/>
          <w:marBottom w:val="0"/>
          <w:divBdr>
            <w:top w:val="none" w:sz="0" w:space="0" w:color="auto"/>
            <w:left w:val="none" w:sz="0" w:space="0" w:color="auto"/>
            <w:bottom w:val="none" w:sz="0" w:space="0" w:color="auto"/>
            <w:right w:val="none" w:sz="0" w:space="0" w:color="auto"/>
          </w:divBdr>
        </w:div>
        <w:div w:id="1625499696">
          <w:marLeft w:val="0"/>
          <w:marRight w:val="0"/>
          <w:marTop w:val="0"/>
          <w:marBottom w:val="0"/>
          <w:divBdr>
            <w:top w:val="none" w:sz="0" w:space="0" w:color="auto"/>
            <w:left w:val="none" w:sz="0" w:space="0" w:color="auto"/>
            <w:bottom w:val="none" w:sz="0" w:space="0" w:color="auto"/>
            <w:right w:val="none" w:sz="0" w:space="0" w:color="auto"/>
          </w:divBdr>
        </w:div>
        <w:div w:id="1311519388">
          <w:marLeft w:val="0"/>
          <w:marRight w:val="0"/>
          <w:marTop w:val="0"/>
          <w:marBottom w:val="0"/>
          <w:divBdr>
            <w:top w:val="none" w:sz="0" w:space="0" w:color="auto"/>
            <w:left w:val="none" w:sz="0" w:space="0" w:color="auto"/>
            <w:bottom w:val="none" w:sz="0" w:space="0" w:color="auto"/>
            <w:right w:val="none" w:sz="0" w:space="0" w:color="auto"/>
          </w:divBdr>
        </w:div>
      </w:divsChild>
    </w:div>
    <w:div w:id="413816465">
      <w:bodyDiv w:val="1"/>
      <w:marLeft w:val="0"/>
      <w:marRight w:val="0"/>
      <w:marTop w:val="0"/>
      <w:marBottom w:val="0"/>
      <w:divBdr>
        <w:top w:val="none" w:sz="0" w:space="0" w:color="auto"/>
        <w:left w:val="none" w:sz="0" w:space="0" w:color="auto"/>
        <w:bottom w:val="none" w:sz="0" w:space="0" w:color="auto"/>
        <w:right w:val="none" w:sz="0" w:space="0" w:color="auto"/>
      </w:divBdr>
    </w:div>
    <w:div w:id="422381330">
      <w:bodyDiv w:val="1"/>
      <w:marLeft w:val="0"/>
      <w:marRight w:val="0"/>
      <w:marTop w:val="0"/>
      <w:marBottom w:val="0"/>
      <w:divBdr>
        <w:top w:val="none" w:sz="0" w:space="0" w:color="auto"/>
        <w:left w:val="none" w:sz="0" w:space="0" w:color="auto"/>
        <w:bottom w:val="none" w:sz="0" w:space="0" w:color="auto"/>
        <w:right w:val="none" w:sz="0" w:space="0" w:color="auto"/>
      </w:divBdr>
      <w:divsChild>
        <w:div w:id="1919711037">
          <w:marLeft w:val="0"/>
          <w:marRight w:val="0"/>
          <w:marTop w:val="0"/>
          <w:marBottom w:val="0"/>
          <w:divBdr>
            <w:top w:val="none" w:sz="0" w:space="0" w:color="auto"/>
            <w:left w:val="none" w:sz="0" w:space="0" w:color="auto"/>
            <w:bottom w:val="none" w:sz="0" w:space="0" w:color="auto"/>
            <w:right w:val="none" w:sz="0" w:space="0" w:color="auto"/>
          </w:divBdr>
        </w:div>
        <w:div w:id="73092561">
          <w:marLeft w:val="0"/>
          <w:marRight w:val="0"/>
          <w:marTop w:val="0"/>
          <w:marBottom w:val="0"/>
          <w:divBdr>
            <w:top w:val="none" w:sz="0" w:space="0" w:color="auto"/>
            <w:left w:val="none" w:sz="0" w:space="0" w:color="auto"/>
            <w:bottom w:val="none" w:sz="0" w:space="0" w:color="auto"/>
            <w:right w:val="none" w:sz="0" w:space="0" w:color="auto"/>
          </w:divBdr>
        </w:div>
        <w:div w:id="1682976111">
          <w:marLeft w:val="0"/>
          <w:marRight w:val="0"/>
          <w:marTop w:val="0"/>
          <w:marBottom w:val="0"/>
          <w:divBdr>
            <w:top w:val="none" w:sz="0" w:space="0" w:color="auto"/>
            <w:left w:val="none" w:sz="0" w:space="0" w:color="auto"/>
            <w:bottom w:val="none" w:sz="0" w:space="0" w:color="auto"/>
            <w:right w:val="none" w:sz="0" w:space="0" w:color="auto"/>
          </w:divBdr>
        </w:div>
      </w:divsChild>
    </w:div>
    <w:div w:id="432676563">
      <w:bodyDiv w:val="1"/>
      <w:marLeft w:val="0"/>
      <w:marRight w:val="0"/>
      <w:marTop w:val="0"/>
      <w:marBottom w:val="0"/>
      <w:divBdr>
        <w:top w:val="none" w:sz="0" w:space="0" w:color="auto"/>
        <w:left w:val="none" w:sz="0" w:space="0" w:color="auto"/>
        <w:bottom w:val="none" w:sz="0" w:space="0" w:color="auto"/>
        <w:right w:val="none" w:sz="0" w:space="0" w:color="auto"/>
      </w:divBdr>
    </w:div>
    <w:div w:id="528185770">
      <w:bodyDiv w:val="1"/>
      <w:marLeft w:val="0"/>
      <w:marRight w:val="0"/>
      <w:marTop w:val="0"/>
      <w:marBottom w:val="0"/>
      <w:divBdr>
        <w:top w:val="none" w:sz="0" w:space="0" w:color="auto"/>
        <w:left w:val="none" w:sz="0" w:space="0" w:color="auto"/>
        <w:bottom w:val="none" w:sz="0" w:space="0" w:color="auto"/>
        <w:right w:val="none" w:sz="0" w:space="0" w:color="auto"/>
      </w:divBdr>
    </w:div>
    <w:div w:id="578488289">
      <w:bodyDiv w:val="1"/>
      <w:marLeft w:val="0"/>
      <w:marRight w:val="0"/>
      <w:marTop w:val="0"/>
      <w:marBottom w:val="0"/>
      <w:divBdr>
        <w:top w:val="none" w:sz="0" w:space="0" w:color="auto"/>
        <w:left w:val="none" w:sz="0" w:space="0" w:color="auto"/>
        <w:bottom w:val="none" w:sz="0" w:space="0" w:color="auto"/>
        <w:right w:val="none" w:sz="0" w:space="0" w:color="auto"/>
      </w:divBdr>
    </w:div>
    <w:div w:id="580799561">
      <w:bodyDiv w:val="1"/>
      <w:marLeft w:val="0"/>
      <w:marRight w:val="0"/>
      <w:marTop w:val="0"/>
      <w:marBottom w:val="0"/>
      <w:divBdr>
        <w:top w:val="none" w:sz="0" w:space="0" w:color="auto"/>
        <w:left w:val="none" w:sz="0" w:space="0" w:color="auto"/>
        <w:bottom w:val="none" w:sz="0" w:space="0" w:color="auto"/>
        <w:right w:val="none" w:sz="0" w:space="0" w:color="auto"/>
      </w:divBdr>
    </w:div>
    <w:div w:id="635984864">
      <w:bodyDiv w:val="1"/>
      <w:marLeft w:val="0"/>
      <w:marRight w:val="0"/>
      <w:marTop w:val="0"/>
      <w:marBottom w:val="0"/>
      <w:divBdr>
        <w:top w:val="none" w:sz="0" w:space="0" w:color="auto"/>
        <w:left w:val="none" w:sz="0" w:space="0" w:color="auto"/>
        <w:bottom w:val="none" w:sz="0" w:space="0" w:color="auto"/>
        <w:right w:val="none" w:sz="0" w:space="0" w:color="auto"/>
      </w:divBdr>
      <w:divsChild>
        <w:div w:id="906458063">
          <w:marLeft w:val="0"/>
          <w:marRight w:val="0"/>
          <w:marTop w:val="0"/>
          <w:marBottom w:val="0"/>
          <w:divBdr>
            <w:top w:val="none" w:sz="0" w:space="0" w:color="auto"/>
            <w:left w:val="none" w:sz="0" w:space="0" w:color="auto"/>
            <w:bottom w:val="none" w:sz="0" w:space="0" w:color="auto"/>
            <w:right w:val="none" w:sz="0" w:space="0" w:color="auto"/>
          </w:divBdr>
        </w:div>
        <w:div w:id="1696734287">
          <w:marLeft w:val="0"/>
          <w:marRight w:val="0"/>
          <w:marTop w:val="0"/>
          <w:marBottom w:val="0"/>
          <w:divBdr>
            <w:top w:val="none" w:sz="0" w:space="0" w:color="auto"/>
            <w:left w:val="none" w:sz="0" w:space="0" w:color="auto"/>
            <w:bottom w:val="none" w:sz="0" w:space="0" w:color="auto"/>
            <w:right w:val="none" w:sz="0" w:space="0" w:color="auto"/>
          </w:divBdr>
        </w:div>
      </w:divsChild>
    </w:div>
    <w:div w:id="641891267">
      <w:bodyDiv w:val="1"/>
      <w:marLeft w:val="0"/>
      <w:marRight w:val="0"/>
      <w:marTop w:val="0"/>
      <w:marBottom w:val="0"/>
      <w:divBdr>
        <w:top w:val="none" w:sz="0" w:space="0" w:color="auto"/>
        <w:left w:val="none" w:sz="0" w:space="0" w:color="auto"/>
        <w:bottom w:val="none" w:sz="0" w:space="0" w:color="auto"/>
        <w:right w:val="none" w:sz="0" w:space="0" w:color="auto"/>
      </w:divBdr>
    </w:div>
    <w:div w:id="729113909">
      <w:bodyDiv w:val="1"/>
      <w:marLeft w:val="0"/>
      <w:marRight w:val="0"/>
      <w:marTop w:val="0"/>
      <w:marBottom w:val="0"/>
      <w:divBdr>
        <w:top w:val="none" w:sz="0" w:space="0" w:color="auto"/>
        <w:left w:val="none" w:sz="0" w:space="0" w:color="auto"/>
        <w:bottom w:val="none" w:sz="0" w:space="0" w:color="auto"/>
        <w:right w:val="none" w:sz="0" w:space="0" w:color="auto"/>
      </w:divBdr>
      <w:divsChild>
        <w:div w:id="2009819617">
          <w:marLeft w:val="0"/>
          <w:marRight w:val="0"/>
          <w:marTop w:val="0"/>
          <w:marBottom w:val="0"/>
          <w:divBdr>
            <w:top w:val="none" w:sz="0" w:space="0" w:color="auto"/>
            <w:left w:val="none" w:sz="0" w:space="0" w:color="auto"/>
            <w:bottom w:val="none" w:sz="0" w:space="0" w:color="auto"/>
            <w:right w:val="none" w:sz="0" w:space="0" w:color="auto"/>
          </w:divBdr>
        </w:div>
        <w:div w:id="350575370">
          <w:marLeft w:val="0"/>
          <w:marRight w:val="0"/>
          <w:marTop w:val="0"/>
          <w:marBottom w:val="0"/>
          <w:divBdr>
            <w:top w:val="none" w:sz="0" w:space="0" w:color="auto"/>
            <w:left w:val="none" w:sz="0" w:space="0" w:color="auto"/>
            <w:bottom w:val="none" w:sz="0" w:space="0" w:color="auto"/>
            <w:right w:val="none" w:sz="0" w:space="0" w:color="auto"/>
          </w:divBdr>
        </w:div>
      </w:divsChild>
    </w:div>
    <w:div w:id="734427039">
      <w:bodyDiv w:val="1"/>
      <w:marLeft w:val="0"/>
      <w:marRight w:val="0"/>
      <w:marTop w:val="0"/>
      <w:marBottom w:val="0"/>
      <w:divBdr>
        <w:top w:val="none" w:sz="0" w:space="0" w:color="auto"/>
        <w:left w:val="none" w:sz="0" w:space="0" w:color="auto"/>
        <w:bottom w:val="none" w:sz="0" w:space="0" w:color="auto"/>
        <w:right w:val="none" w:sz="0" w:space="0" w:color="auto"/>
      </w:divBdr>
      <w:divsChild>
        <w:div w:id="1560750692">
          <w:marLeft w:val="0"/>
          <w:marRight w:val="0"/>
          <w:marTop w:val="0"/>
          <w:marBottom w:val="0"/>
          <w:divBdr>
            <w:top w:val="none" w:sz="0" w:space="0" w:color="auto"/>
            <w:left w:val="none" w:sz="0" w:space="0" w:color="auto"/>
            <w:bottom w:val="none" w:sz="0" w:space="0" w:color="auto"/>
            <w:right w:val="none" w:sz="0" w:space="0" w:color="auto"/>
          </w:divBdr>
        </w:div>
        <w:div w:id="1281719072">
          <w:marLeft w:val="0"/>
          <w:marRight w:val="0"/>
          <w:marTop w:val="0"/>
          <w:marBottom w:val="0"/>
          <w:divBdr>
            <w:top w:val="none" w:sz="0" w:space="0" w:color="auto"/>
            <w:left w:val="none" w:sz="0" w:space="0" w:color="auto"/>
            <w:bottom w:val="none" w:sz="0" w:space="0" w:color="auto"/>
            <w:right w:val="none" w:sz="0" w:space="0" w:color="auto"/>
          </w:divBdr>
        </w:div>
        <w:div w:id="649599049">
          <w:marLeft w:val="0"/>
          <w:marRight w:val="0"/>
          <w:marTop w:val="0"/>
          <w:marBottom w:val="0"/>
          <w:divBdr>
            <w:top w:val="none" w:sz="0" w:space="0" w:color="auto"/>
            <w:left w:val="none" w:sz="0" w:space="0" w:color="auto"/>
            <w:bottom w:val="none" w:sz="0" w:space="0" w:color="auto"/>
            <w:right w:val="none" w:sz="0" w:space="0" w:color="auto"/>
          </w:divBdr>
        </w:div>
        <w:div w:id="936057126">
          <w:marLeft w:val="0"/>
          <w:marRight w:val="0"/>
          <w:marTop w:val="0"/>
          <w:marBottom w:val="0"/>
          <w:divBdr>
            <w:top w:val="none" w:sz="0" w:space="0" w:color="auto"/>
            <w:left w:val="none" w:sz="0" w:space="0" w:color="auto"/>
            <w:bottom w:val="none" w:sz="0" w:space="0" w:color="auto"/>
            <w:right w:val="none" w:sz="0" w:space="0" w:color="auto"/>
          </w:divBdr>
        </w:div>
        <w:div w:id="1682316438">
          <w:marLeft w:val="0"/>
          <w:marRight w:val="0"/>
          <w:marTop w:val="0"/>
          <w:marBottom w:val="0"/>
          <w:divBdr>
            <w:top w:val="none" w:sz="0" w:space="0" w:color="auto"/>
            <w:left w:val="none" w:sz="0" w:space="0" w:color="auto"/>
            <w:bottom w:val="none" w:sz="0" w:space="0" w:color="auto"/>
            <w:right w:val="none" w:sz="0" w:space="0" w:color="auto"/>
          </w:divBdr>
        </w:div>
      </w:divsChild>
    </w:div>
    <w:div w:id="766273941">
      <w:bodyDiv w:val="1"/>
      <w:marLeft w:val="0"/>
      <w:marRight w:val="0"/>
      <w:marTop w:val="0"/>
      <w:marBottom w:val="0"/>
      <w:divBdr>
        <w:top w:val="none" w:sz="0" w:space="0" w:color="auto"/>
        <w:left w:val="none" w:sz="0" w:space="0" w:color="auto"/>
        <w:bottom w:val="none" w:sz="0" w:space="0" w:color="auto"/>
        <w:right w:val="none" w:sz="0" w:space="0" w:color="auto"/>
      </w:divBdr>
    </w:div>
    <w:div w:id="773549722">
      <w:bodyDiv w:val="1"/>
      <w:marLeft w:val="0"/>
      <w:marRight w:val="0"/>
      <w:marTop w:val="0"/>
      <w:marBottom w:val="0"/>
      <w:divBdr>
        <w:top w:val="none" w:sz="0" w:space="0" w:color="auto"/>
        <w:left w:val="none" w:sz="0" w:space="0" w:color="auto"/>
        <w:bottom w:val="none" w:sz="0" w:space="0" w:color="auto"/>
        <w:right w:val="none" w:sz="0" w:space="0" w:color="auto"/>
      </w:divBdr>
    </w:div>
    <w:div w:id="811487382">
      <w:bodyDiv w:val="1"/>
      <w:marLeft w:val="0"/>
      <w:marRight w:val="0"/>
      <w:marTop w:val="0"/>
      <w:marBottom w:val="0"/>
      <w:divBdr>
        <w:top w:val="none" w:sz="0" w:space="0" w:color="auto"/>
        <w:left w:val="none" w:sz="0" w:space="0" w:color="auto"/>
        <w:bottom w:val="none" w:sz="0" w:space="0" w:color="auto"/>
        <w:right w:val="none" w:sz="0" w:space="0" w:color="auto"/>
      </w:divBdr>
    </w:div>
    <w:div w:id="811559342">
      <w:bodyDiv w:val="1"/>
      <w:marLeft w:val="0"/>
      <w:marRight w:val="0"/>
      <w:marTop w:val="0"/>
      <w:marBottom w:val="0"/>
      <w:divBdr>
        <w:top w:val="none" w:sz="0" w:space="0" w:color="auto"/>
        <w:left w:val="none" w:sz="0" w:space="0" w:color="auto"/>
        <w:bottom w:val="none" w:sz="0" w:space="0" w:color="auto"/>
        <w:right w:val="none" w:sz="0" w:space="0" w:color="auto"/>
      </w:divBdr>
    </w:div>
    <w:div w:id="825585359">
      <w:bodyDiv w:val="1"/>
      <w:marLeft w:val="0"/>
      <w:marRight w:val="0"/>
      <w:marTop w:val="0"/>
      <w:marBottom w:val="0"/>
      <w:divBdr>
        <w:top w:val="none" w:sz="0" w:space="0" w:color="auto"/>
        <w:left w:val="none" w:sz="0" w:space="0" w:color="auto"/>
        <w:bottom w:val="none" w:sz="0" w:space="0" w:color="auto"/>
        <w:right w:val="none" w:sz="0" w:space="0" w:color="auto"/>
      </w:divBdr>
      <w:divsChild>
        <w:div w:id="27342617">
          <w:marLeft w:val="0"/>
          <w:marRight w:val="0"/>
          <w:marTop w:val="0"/>
          <w:marBottom w:val="0"/>
          <w:divBdr>
            <w:top w:val="none" w:sz="0" w:space="0" w:color="auto"/>
            <w:left w:val="none" w:sz="0" w:space="0" w:color="auto"/>
            <w:bottom w:val="none" w:sz="0" w:space="0" w:color="auto"/>
            <w:right w:val="none" w:sz="0" w:space="0" w:color="auto"/>
          </w:divBdr>
        </w:div>
        <w:div w:id="1151363961">
          <w:marLeft w:val="0"/>
          <w:marRight w:val="0"/>
          <w:marTop w:val="0"/>
          <w:marBottom w:val="0"/>
          <w:divBdr>
            <w:top w:val="none" w:sz="0" w:space="0" w:color="auto"/>
            <w:left w:val="none" w:sz="0" w:space="0" w:color="auto"/>
            <w:bottom w:val="none" w:sz="0" w:space="0" w:color="auto"/>
            <w:right w:val="none" w:sz="0" w:space="0" w:color="auto"/>
          </w:divBdr>
        </w:div>
        <w:div w:id="982001270">
          <w:marLeft w:val="0"/>
          <w:marRight w:val="0"/>
          <w:marTop w:val="0"/>
          <w:marBottom w:val="0"/>
          <w:divBdr>
            <w:top w:val="none" w:sz="0" w:space="0" w:color="auto"/>
            <w:left w:val="none" w:sz="0" w:space="0" w:color="auto"/>
            <w:bottom w:val="none" w:sz="0" w:space="0" w:color="auto"/>
            <w:right w:val="none" w:sz="0" w:space="0" w:color="auto"/>
          </w:divBdr>
        </w:div>
        <w:div w:id="2134133616">
          <w:marLeft w:val="0"/>
          <w:marRight w:val="0"/>
          <w:marTop w:val="0"/>
          <w:marBottom w:val="0"/>
          <w:divBdr>
            <w:top w:val="none" w:sz="0" w:space="0" w:color="auto"/>
            <w:left w:val="none" w:sz="0" w:space="0" w:color="auto"/>
            <w:bottom w:val="none" w:sz="0" w:space="0" w:color="auto"/>
            <w:right w:val="none" w:sz="0" w:space="0" w:color="auto"/>
          </w:divBdr>
        </w:div>
        <w:div w:id="498161977">
          <w:marLeft w:val="0"/>
          <w:marRight w:val="0"/>
          <w:marTop w:val="0"/>
          <w:marBottom w:val="0"/>
          <w:divBdr>
            <w:top w:val="none" w:sz="0" w:space="0" w:color="auto"/>
            <w:left w:val="none" w:sz="0" w:space="0" w:color="auto"/>
            <w:bottom w:val="none" w:sz="0" w:space="0" w:color="auto"/>
            <w:right w:val="none" w:sz="0" w:space="0" w:color="auto"/>
          </w:divBdr>
        </w:div>
        <w:div w:id="2053072009">
          <w:marLeft w:val="0"/>
          <w:marRight w:val="0"/>
          <w:marTop w:val="0"/>
          <w:marBottom w:val="0"/>
          <w:divBdr>
            <w:top w:val="none" w:sz="0" w:space="0" w:color="auto"/>
            <w:left w:val="none" w:sz="0" w:space="0" w:color="auto"/>
            <w:bottom w:val="none" w:sz="0" w:space="0" w:color="auto"/>
            <w:right w:val="none" w:sz="0" w:space="0" w:color="auto"/>
          </w:divBdr>
        </w:div>
        <w:div w:id="2046975967">
          <w:marLeft w:val="0"/>
          <w:marRight w:val="0"/>
          <w:marTop w:val="0"/>
          <w:marBottom w:val="0"/>
          <w:divBdr>
            <w:top w:val="none" w:sz="0" w:space="0" w:color="auto"/>
            <w:left w:val="none" w:sz="0" w:space="0" w:color="auto"/>
            <w:bottom w:val="none" w:sz="0" w:space="0" w:color="auto"/>
            <w:right w:val="none" w:sz="0" w:space="0" w:color="auto"/>
          </w:divBdr>
        </w:div>
        <w:div w:id="465316153">
          <w:marLeft w:val="0"/>
          <w:marRight w:val="0"/>
          <w:marTop w:val="0"/>
          <w:marBottom w:val="0"/>
          <w:divBdr>
            <w:top w:val="none" w:sz="0" w:space="0" w:color="auto"/>
            <w:left w:val="none" w:sz="0" w:space="0" w:color="auto"/>
            <w:bottom w:val="none" w:sz="0" w:space="0" w:color="auto"/>
            <w:right w:val="none" w:sz="0" w:space="0" w:color="auto"/>
          </w:divBdr>
        </w:div>
        <w:div w:id="184369794">
          <w:marLeft w:val="0"/>
          <w:marRight w:val="0"/>
          <w:marTop w:val="0"/>
          <w:marBottom w:val="0"/>
          <w:divBdr>
            <w:top w:val="none" w:sz="0" w:space="0" w:color="auto"/>
            <w:left w:val="none" w:sz="0" w:space="0" w:color="auto"/>
            <w:bottom w:val="none" w:sz="0" w:space="0" w:color="auto"/>
            <w:right w:val="none" w:sz="0" w:space="0" w:color="auto"/>
          </w:divBdr>
        </w:div>
        <w:div w:id="137840149">
          <w:marLeft w:val="0"/>
          <w:marRight w:val="0"/>
          <w:marTop w:val="0"/>
          <w:marBottom w:val="0"/>
          <w:divBdr>
            <w:top w:val="none" w:sz="0" w:space="0" w:color="auto"/>
            <w:left w:val="none" w:sz="0" w:space="0" w:color="auto"/>
            <w:bottom w:val="none" w:sz="0" w:space="0" w:color="auto"/>
            <w:right w:val="none" w:sz="0" w:space="0" w:color="auto"/>
          </w:divBdr>
        </w:div>
        <w:div w:id="680161268">
          <w:marLeft w:val="0"/>
          <w:marRight w:val="0"/>
          <w:marTop w:val="0"/>
          <w:marBottom w:val="0"/>
          <w:divBdr>
            <w:top w:val="none" w:sz="0" w:space="0" w:color="auto"/>
            <w:left w:val="none" w:sz="0" w:space="0" w:color="auto"/>
            <w:bottom w:val="none" w:sz="0" w:space="0" w:color="auto"/>
            <w:right w:val="none" w:sz="0" w:space="0" w:color="auto"/>
          </w:divBdr>
        </w:div>
        <w:div w:id="134496039">
          <w:marLeft w:val="0"/>
          <w:marRight w:val="0"/>
          <w:marTop w:val="0"/>
          <w:marBottom w:val="0"/>
          <w:divBdr>
            <w:top w:val="none" w:sz="0" w:space="0" w:color="auto"/>
            <w:left w:val="none" w:sz="0" w:space="0" w:color="auto"/>
            <w:bottom w:val="none" w:sz="0" w:space="0" w:color="auto"/>
            <w:right w:val="none" w:sz="0" w:space="0" w:color="auto"/>
          </w:divBdr>
        </w:div>
        <w:div w:id="1191333465">
          <w:marLeft w:val="0"/>
          <w:marRight w:val="0"/>
          <w:marTop w:val="0"/>
          <w:marBottom w:val="0"/>
          <w:divBdr>
            <w:top w:val="none" w:sz="0" w:space="0" w:color="auto"/>
            <w:left w:val="none" w:sz="0" w:space="0" w:color="auto"/>
            <w:bottom w:val="none" w:sz="0" w:space="0" w:color="auto"/>
            <w:right w:val="none" w:sz="0" w:space="0" w:color="auto"/>
          </w:divBdr>
        </w:div>
        <w:div w:id="1212500477">
          <w:marLeft w:val="0"/>
          <w:marRight w:val="0"/>
          <w:marTop w:val="0"/>
          <w:marBottom w:val="0"/>
          <w:divBdr>
            <w:top w:val="none" w:sz="0" w:space="0" w:color="auto"/>
            <w:left w:val="none" w:sz="0" w:space="0" w:color="auto"/>
            <w:bottom w:val="none" w:sz="0" w:space="0" w:color="auto"/>
            <w:right w:val="none" w:sz="0" w:space="0" w:color="auto"/>
          </w:divBdr>
        </w:div>
        <w:div w:id="188421938">
          <w:marLeft w:val="0"/>
          <w:marRight w:val="0"/>
          <w:marTop w:val="0"/>
          <w:marBottom w:val="0"/>
          <w:divBdr>
            <w:top w:val="none" w:sz="0" w:space="0" w:color="auto"/>
            <w:left w:val="none" w:sz="0" w:space="0" w:color="auto"/>
            <w:bottom w:val="none" w:sz="0" w:space="0" w:color="auto"/>
            <w:right w:val="none" w:sz="0" w:space="0" w:color="auto"/>
          </w:divBdr>
        </w:div>
        <w:div w:id="2009432021">
          <w:marLeft w:val="0"/>
          <w:marRight w:val="0"/>
          <w:marTop w:val="0"/>
          <w:marBottom w:val="0"/>
          <w:divBdr>
            <w:top w:val="none" w:sz="0" w:space="0" w:color="auto"/>
            <w:left w:val="none" w:sz="0" w:space="0" w:color="auto"/>
            <w:bottom w:val="none" w:sz="0" w:space="0" w:color="auto"/>
            <w:right w:val="none" w:sz="0" w:space="0" w:color="auto"/>
          </w:divBdr>
        </w:div>
      </w:divsChild>
    </w:div>
    <w:div w:id="847869632">
      <w:bodyDiv w:val="1"/>
      <w:marLeft w:val="0"/>
      <w:marRight w:val="0"/>
      <w:marTop w:val="0"/>
      <w:marBottom w:val="0"/>
      <w:divBdr>
        <w:top w:val="none" w:sz="0" w:space="0" w:color="auto"/>
        <w:left w:val="none" w:sz="0" w:space="0" w:color="auto"/>
        <w:bottom w:val="none" w:sz="0" w:space="0" w:color="auto"/>
        <w:right w:val="none" w:sz="0" w:space="0" w:color="auto"/>
      </w:divBdr>
    </w:div>
    <w:div w:id="871040605">
      <w:bodyDiv w:val="1"/>
      <w:marLeft w:val="0"/>
      <w:marRight w:val="0"/>
      <w:marTop w:val="0"/>
      <w:marBottom w:val="0"/>
      <w:divBdr>
        <w:top w:val="none" w:sz="0" w:space="0" w:color="auto"/>
        <w:left w:val="none" w:sz="0" w:space="0" w:color="auto"/>
        <w:bottom w:val="none" w:sz="0" w:space="0" w:color="auto"/>
        <w:right w:val="none" w:sz="0" w:space="0" w:color="auto"/>
      </w:divBdr>
      <w:divsChild>
        <w:div w:id="1332177507">
          <w:marLeft w:val="0"/>
          <w:marRight w:val="0"/>
          <w:marTop w:val="0"/>
          <w:marBottom w:val="0"/>
          <w:divBdr>
            <w:top w:val="none" w:sz="0" w:space="0" w:color="auto"/>
            <w:left w:val="none" w:sz="0" w:space="0" w:color="auto"/>
            <w:bottom w:val="none" w:sz="0" w:space="0" w:color="auto"/>
            <w:right w:val="none" w:sz="0" w:space="0" w:color="auto"/>
          </w:divBdr>
        </w:div>
        <w:div w:id="130295104">
          <w:marLeft w:val="0"/>
          <w:marRight w:val="0"/>
          <w:marTop w:val="0"/>
          <w:marBottom w:val="0"/>
          <w:divBdr>
            <w:top w:val="none" w:sz="0" w:space="0" w:color="auto"/>
            <w:left w:val="none" w:sz="0" w:space="0" w:color="auto"/>
            <w:bottom w:val="none" w:sz="0" w:space="0" w:color="auto"/>
            <w:right w:val="none" w:sz="0" w:space="0" w:color="auto"/>
          </w:divBdr>
        </w:div>
        <w:div w:id="712075869">
          <w:marLeft w:val="0"/>
          <w:marRight w:val="0"/>
          <w:marTop w:val="0"/>
          <w:marBottom w:val="0"/>
          <w:divBdr>
            <w:top w:val="none" w:sz="0" w:space="0" w:color="auto"/>
            <w:left w:val="none" w:sz="0" w:space="0" w:color="auto"/>
            <w:bottom w:val="none" w:sz="0" w:space="0" w:color="auto"/>
            <w:right w:val="none" w:sz="0" w:space="0" w:color="auto"/>
          </w:divBdr>
        </w:div>
        <w:div w:id="461116399">
          <w:marLeft w:val="0"/>
          <w:marRight w:val="0"/>
          <w:marTop w:val="0"/>
          <w:marBottom w:val="0"/>
          <w:divBdr>
            <w:top w:val="none" w:sz="0" w:space="0" w:color="auto"/>
            <w:left w:val="none" w:sz="0" w:space="0" w:color="auto"/>
            <w:bottom w:val="none" w:sz="0" w:space="0" w:color="auto"/>
            <w:right w:val="none" w:sz="0" w:space="0" w:color="auto"/>
          </w:divBdr>
        </w:div>
      </w:divsChild>
    </w:div>
    <w:div w:id="941913024">
      <w:bodyDiv w:val="1"/>
      <w:marLeft w:val="0"/>
      <w:marRight w:val="0"/>
      <w:marTop w:val="0"/>
      <w:marBottom w:val="0"/>
      <w:divBdr>
        <w:top w:val="none" w:sz="0" w:space="0" w:color="auto"/>
        <w:left w:val="none" w:sz="0" w:space="0" w:color="auto"/>
        <w:bottom w:val="none" w:sz="0" w:space="0" w:color="auto"/>
        <w:right w:val="none" w:sz="0" w:space="0" w:color="auto"/>
      </w:divBdr>
    </w:div>
    <w:div w:id="969093694">
      <w:bodyDiv w:val="1"/>
      <w:marLeft w:val="0"/>
      <w:marRight w:val="0"/>
      <w:marTop w:val="0"/>
      <w:marBottom w:val="0"/>
      <w:divBdr>
        <w:top w:val="none" w:sz="0" w:space="0" w:color="auto"/>
        <w:left w:val="none" w:sz="0" w:space="0" w:color="auto"/>
        <w:bottom w:val="none" w:sz="0" w:space="0" w:color="auto"/>
        <w:right w:val="none" w:sz="0" w:space="0" w:color="auto"/>
      </w:divBdr>
    </w:div>
    <w:div w:id="987056047">
      <w:bodyDiv w:val="1"/>
      <w:marLeft w:val="0"/>
      <w:marRight w:val="0"/>
      <w:marTop w:val="0"/>
      <w:marBottom w:val="0"/>
      <w:divBdr>
        <w:top w:val="none" w:sz="0" w:space="0" w:color="auto"/>
        <w:left w:val="none" w:sz="0" w:space="0" w:color="auto"/>
        <w:bottom w:val="none" w:sz="0" w:space="0" w:color="auto"/>
        <w:right w:val="none" w:sz="0" w:space="0" w:color="auto"/>
      </w:divBdr>
    </w:div>
    <w:div w:id="1013142742">
      <w:bodyDiv w:val="1"/>
      <w:marLeft w:val="0"/>
      <w:marRight w:val="0"/>
      <w:marTop w:val="0"/>
      <w:marBottom w:val="0"/>
      <w:divBdr>
        <w:top w:val="none" w:sz="0" w:space="0" w:color="auto"/>
        <w:left w:val="none" w:sz="0" w:space="0" w:color="auto"/>
        <w:bottom w:val="none" w:sz="0" w:space="0" w:color="auto"/>
        <w:right w:val="none" w:sz="0" w:space="0" w:color="auto"/>
      </w:divBdr>
    </w:div>
    <w:div w:id="1030492907">
      <w:bodyDiv w:val="1"/>
      <w:marLeft w:val="0"/>
      <w:marRight w:val="0"/>
      <w:marTop w:val="0"/>
      <w:marBottom w:val="0"/>
      <w:divBdr>
        <w:top w:val="none" w:sz="0" w:space="0" w:color="auto"/>
        <w:left w:val="none" w:sz="0" w:space="0" w:color="auto"/>
        <w:bottom w:val="none" w:sz="0" w:space="0" w:color="auto"/>
        <w:right w:val="none" w:sz="0" w:space="0" w:color="auto"/>
      </w:divBdr>
      <w:divsChild>
        <w:div w:id="1458833710">
          <w:marLeft w:val="0"/>
          <w:marRight w:val="0"/>
          <w:marTop w:val="0"/>
          <w:marBottom w:val="0"/>
          <w:divBdr>
            <w:top w:val="none" w:sz="0" w:space="0" w:color="auto"/>
            <w:left w:val="none" w:sz="0" w:space="0" w:color="auto"/>
            <w:bottom w:val="none" w:sz="0" w:space="0" w:color="auto"/>
            <w:right w:val="none" w:sz="0" w:space="0" w:color="auto"/>
          </w:divBdr>
        </w:div>
        <w:div w:id="1006324011">
          <w:marLeft w:val="0"/>
          <w:marRight w:val="0"/>
          <w:marTop w:val="0"/>
          <w:marBottom w:val="0"/>
          <w:divBdr>
            <w:top w:val="none" w:sz="0" w:space="0" w:color="auto"/>
            <w:left w:val="none" w:sz="0" w:space="0" w:color="auto"/>
            <w:bottom w:val="none" w:sz="0" w:space="0" w:color="auto"/>
            <w:right w:val="none" w:sz="0" w:space="0" w:color="auto"/>
          </w:divBdr>
        </w:div>
        <w:div w:id="536897045">
          <w:marLeft w:val="0"/>
          <w:marRight w:val="0"/>
          <w:marTop w:val="0"/>
          <w:marBottom w:val="0"/>
          <w:divBdr>
            <w:top w:val="none" w:sz="0" w:space="0" w:color="auto"/>
            <w:left w:val="none" w:sz="0" w:space="0" w:color="auto"/>
            <w:bottom w:val="none" w:sz="0" w:space="0" w:color="auto"/>
            <w:right w:val="none" w:sz="0" w:space="0" w:color="auto"/>
          </w:divBdr>
        </w:div>
        <w:div w:id="1787193402">
          <w:marLeft w:val="0"/>
          <w:marRight w:val="0"/>
          <w:marTop w:val="0"/>
          <w:marBottom w:val="0"/>
          <w:divBdr>
            <w:top w:val="none" w:sz="0" w:space="0" w:color="auto"/>
            <w:left w:val="none" w:sz="0" w:space="0" w:color="auto"/>
            <w:bottom w:val="none" w:sz="0" w:space="0" w:color="auto"/>
            <w:right w:val="none" w:sz="0" w:space="0" w:color="auto"/>
          </w:divBdr>
        </w:div>
        <w:div w:id="348142534">
          <w:marLeft w:val="0"/>
          <w:marRight w:val="0"/>
          <w:marTop w:val="0"/>
          <w:marBottom w:val="0"/>
          <w:divBdr>
            <w:top w:val="none" w:sz="0" w:space="0" w:color="auto"/>
            <w:left w:val="none" w:sz="0" w:space="0" w:color="auto"/>
            <w:bottom w:val="none" w:sz="0" w:space="0" w:color="auto"/>
            <w:right w:val="none" w:sz="0" w:space="0" w:color="auto"/>
          </w:divBdr>
        </w:div>
      </w:divsChild>
    </w:div>
    <w:div w:id="1038243913">
      <w:bodyDiv w:val="1"/>
      <w:marLeft w:val="0"/>
      <w:marRight w:val="0"/>
      <w:marTop w:val="0"/>
      <w:marBottom w:val="0"/>
      <w:divBdr>
        <w:top w:val="none" w:sz="0" w:space="0" w:color="auto"/>
        <w:left w:val="none" w:sz="0" w:space="0" w:color="auto"/>
        <w:bottom w:val="none" w:sz="0" w:space="0" w:color="auto"/>
        <w:right w:val="none" w:sz="0" w:space="0" w:color="auto"/>
      </w:divBdr>
      <w:divsChild>
        <w:div w:id="1966539857">
          <w:marLeft w:val="0"/>
          <w:marRight w:val="0"/>
          <w:marTop w:val="0"/>
          <w:marBottom w:val="0"/>
          <w:divBdr>
            <w:top w:val="none" w:sz="0" w:space="0" w:color="auto"/>
            <w:left w:val="none" w:sz="0" w:space="0" w:color="auto"/>
            <w:bottom w:val="none" w:sz="0" w:space="0" w:color="auto"/>
            <w:right w:val="none" w:sz="0" w:space="0" w:color="auto"/>
          </w:divBdr>
        </w:div>
        <w:div w:id="840199874">
          <w:marLeft w:val="0"/>
          <w:marRight w:val="0"/>
          <w:marTop w:val="0"/>
          <w:marBottom w:val="0"/>
          <w:divBdr>
            <w:top w:val="none" w:sz="0" w:space="0" w:color="auto"/>
            <w:left w:val="none" w:sz="0" w:space="0" w:color="auto"/>
            <w:bottom w:val="none" w:sz="0" w:space="0" w:color="auto"/>
            <w:right w:val="none" w:sz="0" w:space="0" w:color="auto"/>
          </w:divBdr>
        </w:div>
        <w:div w:id="760099367">
          <w:marLeft w:val="0"/>
          <w:marRight w:val="0"/>
          <w:marTop w:val="0"/>
          <w:marBottom w:val="0"/>
          <w:divBdr>
            <w:top w:val="none" w:sz="0" w:space="0" w:color="auto"/>
            <w:left w:val="none" w:sz="0" w:space="0" w:color="auto"/>
            <w:bottom w:val="none" w:sz="0" w:space="0" w:color="auto"/>
            <w:right w:val="none" w:sz="0" w:space="0" w:color="auto"/>
          </w:divBdr>
        </w:div>
        <w:div w:id="540095070">
          <w:marLeft w:val="0"/>
          <w:marRight w:val="0"/>
          <w:marTop w:val="0"/>
          <w:marBottom w:val="0"/>
          <w:divBdr>
            <w:top w:val="none" w:sz="0" w:space="0" w:color="auto"/>
            <w:left w:val="none" w:sz="0" w:space="0" w:color="auto"/>
            <w:bottom w:val="none" w:sz="0" w:space="0" w:color="auto"/>
            <w:right w:val="none" w:sz="0" w:space="0" w:color="auto"/>
          </w:divBdr>
        </w:div>
        <w:div w:id="1586307294">
          <w:marLeft w:val="0"/>
          <w:marRight w:val="0"/>
          <w:marTop w:val="0"/>
          <w:marBottom w:val="0"/>
          <w:divBdr>
            <w:top w:val="none" w:sz="0" w:space="0" w:color="auto"/>
            <w:left w:val="none" w:sz="0" w:space="0" w:color="auto"/>
            <w:bottom w:val="none" w:sz="0" w:space="0" w:color="auto"/>
            <w:right w:val="none" w:sz="0" w:space="0" w:color="auto"/>
          </w:divBdr>
        </w:div>
        <w:div w:id="6371028">
          <w:marLeft w:val="0"/>
          <w:marRight w:val="0"/>
          <w:marTop w:val="0"/>
          <w:marBottom w:val="0"/>
          <w:divBdr>
            <w:top w:val="none" w:sz="0" w:space="0" w:color="auto"/>
            <w:left w:val="none" w:sz="0" w:space="0" w:color="auto"/>
            <w:bottom w:val="none" w:sz="0" w:space="0" w:color="auto"/>
            <w:right w:val="none" w:sz="0" w:space="0" w:color="auto"/>
          </w:divBdr>
        </w:div>
        <w:div w:id="180317802">
          <w:marLeft w:val="0"/>
          <w:marRight w:val="0"/>
          <w:marTop w:val="0"/>
          <w:marBottom w:val="0"/>
          <w:divBdr>
            <w:top w:val="none" w:sz="0" w:space="0" w:color="auto"/>
            <w:left w:val="none" w:sz="0" w:space="0" w:color="auto"/>
            <w:bottom w:val="none" w:sz="0" w:space="0" w:color="auto"/>
            <w:right w:val="none" w:sz="0" w:space="0" w:color="auto"/>
          </w:divBdr>
        </w:div>
        <w:div w:id="1877234257">
          <w:marLeft w:val="0"/>
          <w:marRight w:val="0"/>
          <w:marTop w:val="0"/>
          <w:marBottom w:val="0"/>
          <w:divBdr>
            <w:top w:val="none" w:sz="0" w:space="0" w:color="auto"/>
            <w:left w:val="none" w:sz="0" w:space="0" w:color="auto"/>
            <w:bottom w:val="none" w:sz="0" w:space="0" w:color="auto"/>
            <w:right w:val="none" w:sz="0" w:space="0" w:color="auto"/>
          </w:divBdr>
        </w:div>
        <w:div w:id="215093554">
          <w:marLeft w:val="0"/>
          <w:marRight w:val="0"/>
          <w:marTop w:val="0"/>
          <w:marBottom w:val="0"/>
          <w:divBdr>
            <w:top w:val="none" w:sz="0" w:space="0" w:color="auto"/>
            <w:left w:val="none" w:sz="0" w:space="0" w:color="auto"/>
            <w:bottom w:val="none" w:sz="0" w:space="0" w:color="auto"/>
            <w:right w:val="none" w:sz="0" w:space="0" w:color="auto"/>
          </w:divBdr>
        </w:div>
      </w:divsChild>
    </w:div>
    <w:div w:id="1044989913">
      <w:bodyDiv w:val="1"/>
      <w:marLeft w:val="0"/>
      <w:marRight w:val="0"/>
      <w:marTop w:val="0"/>
      <w:marBottom w:val="0"/>
      <w:divBdr>
        <w:top w:val="none" w:sz="0" w:space="0" w:color="auto"/>
        <w:left w:val="none" w:sz="0" w:space="0" w:color="auto"/>
        <w:bottom w:val="none" w:sz="0" w:space="0" w:color="auto"/>
        <w:right w:val="none" w:sz="0" w:space="0" w:color="auto"/>
      </w:divBdr>
      <w:divsChild>
        <w:div w:id="332881010">
          <w:marLeft w:val="0"/>
          <w:marRight w:val="0"/>
          <w:marTop w:val="0"/>
          <w:marBottom w:val="0"/>
          <w:divBdr>
            <w:top w:val="none" w:sz="0" w:space="0" w:color="auto"/>
            <w:left w:val="none" w:sz="0" w:space="0" w:color="auto"/>
            <w:bottom w:val="none" w:sz="0" w:space="0" w:color="auto"/>
            <w:right w:val="none" w:sz="0" w:space="0" w:color="auto"/>
          </w:divBdr>
        </w:div>
        <w:div w:id="874999702">
          <w:marLeft w:val="0"/>
          <w:marRight w:val="0"/>
          <w:marTop w:val="0"/>
          <w:marBottom w:val="0"/>
          <w:divBdr>
            <w:top w:val="none" w:sz="0" w:space="0" w:color="auto"/>
            <w:left w:val="none" w:sz="0" w:space="0" w:color="auto"/>
            <w:bottom w:val="none" w:sz="0" w:space="0" w:color="auto"/>
            <w:right w:val="none" w:sz="0" w:space="0" w:color="auto"/>
          </w:divBdr>
        </w:div>
        <w:div w:id="1806002015">
          <w:marLeft w:val="0"/>
          <w:marRight w:val="0"/>
          <w:marTop w:val="0"/>
          <w:marBottom w:val="0"/>
          <w:divBdr>
            <w:top w:val="none" w:sz="0" w:space="0" w:color="auto"/>
            <w:left w:val="none" w:sz="0" w:space="0" w:color="auto"/>
            <w:bottom w:val="none" w:sz="0" w:space="0" w:color="auto"/>
            <w:right w:val="none" w:sz="0" w:space="0" w:color="auto"/>
          </w:divBdr>
        </w:div>
        <w:div w:id="1510094888">
          <w:marLeft w:val="0"/>
          <w:marRight w:val="0"/>
          <w:marTop w:val="0"/>
          <w:marBottom w:val="0"/>
          <w:divBdr>
            <w:top w:val="none" w:sz="0" w:space="0" w:color="auto"/>
            <w:left w:val="none" w:sz="0" w:space="0" w:color="auto"/>
            <w:bottom w:val="none" w:sz="0" w:space="0" w:color="auto"/>
            <w:right w:val="none" w:sz="0" w:space="0" w:color="auto"/>
          </w:divBdr>
        </w:div>
        <w:div w:id="1630210400">
          <w:marLeft w:val="0"/>
          <w:marRight w:val="0"/>
          <w:marTop w:val="0"/>
          <w:marBottom w:val="0"/>
          <w:divBdr>
            <w:top w:val="none" w:sz="0" w:space="0" w:color="auto"/>
            <w:left w:val="none" w:sz="0" w:space="0" w:color="auto"/>
            <w:bottom w:val="none" w:sz="0" w:space="0" w:color="auto"/>
            <w:right w:val="none" w:sz="0" w:space="0" w:color="auto"/>
          </w:divBdr>
        </w:div>
      </w:divsChild>
    </w:div>
    <w:div w:id="1057780768">
      <w:bodyDiv w:val="1"/>
      <w:marLeft w:val="0"/>
      <w:marRight w:val="0"/>
      <w:marTop w:val="0"/>
      <w:marBottom w:val="0"/>
      <w:divBdr>
        <w:top w:val="none" w:sz="0" w:space="0" w:color="auto"/>
        <w:left w:val="none" w:sz="0" w:space="0" w:color="auto"/>
        <w:bottom w:val="none" w:sz="0" w:space="0" w:color="auto"/>
        <w:right w:val="none" w:sz="0" w:space="0" w:color="auto"/>
      </w:divBdr>
    </w:div>
    <w:div w:id="1062290813">
      <w:bodyDiv w:val="1"/>
      <w:marLeft w:val="0"/>
      <w:marRight w:val="0"/>
      <w:marTop w:val="0"/>
      <w:marBottom w:val="0"/>
      <w:divBdr>
        <w:top w:val="none" w:sz="0" w:space="0" w:color="auto"/>
        <w:left w:val="none" w:sz="0" w:space="0" w:color="auto"/>
        <w:bottom w:val="none" w:sz="0" w:space="0" w:color="auto"/>
        <w:right w:val="none" w:sz="0" w:space="0" w:color="auto"/>
      </w:divBdr>
      <w:divsChild>
        <w:div w:id="1097560303">
          <w:marLeft w:val="0"/>
          <w:marRight w:val="0"/>
          <w:marTop w:val="0"/>
          <w:marBottom w:val="0"/>
          <w:divBdr>
            <w:top w:val="none" w:sz="0" w:space="0" w:color="auto"/>
            <w:left w:val="none" w:sz="0" w:space="0" w:color="auto"/>
            <w:bottom w:val="none" w:sz="0" w:space="0" w:color="auto"/>
            <w:right w:val="none" w:sz="0" w:space="0" w:color="auto"/>
          </w:divBdr>
        </w:div>
        <w:div w:id="632250619">
          <w:marLeft w:val="0"/>
          <w:marRight w:val="0"/>
          <w:marTop w:val="0"/>
          <w:marBottom w:val="0"/>
          <w:divBdr>
            <w:top w:val="none" w:sz="0" w:space="0" w:color="auto"/>
            <w:left w:val="none" w:sz="0" w:space="0" w:color="auto"/>
            <w:bottom w:val="none" w:sz="0" w:space="0" w:color="auto"/>
            <w:right w:val="none" w:sz="0" w:space="0" w:color="auto"/>
          </w:divBdr>
        </w:div>
        <w:div w:id="266887031">
          <w:marLeft w:val="0"/>
          <w:marRight w:val="0"/>
          <w:marTop w:val="0"/>
          <w:marBottom w:val="0"/>
          <w:divBdr>
            <w:top w:val="none" w:sz="0" w:space="0" w:color="auto"/>
            <w:left w:val="none" w:sz="0" w:space="0" w:color="auto"/>
            <w:bottom w:val="none" w:sz="0" w:space="0" w:color="auto"/>
            <w:right w:val="none" w:sz="0" w:space="0" w:color="auto"/>
          </w:divBdr>
        </w:div>
        <w:div w:id="1914118752">
          <w:marLeft w:val="0"/>
          <w:marRight w:val="0"/>
          <w:marTop w:val="0"/>
          <w:marBottom w:val="0"/>
          <w:divBdr>
            <w:top w:val="none" w:sz="0" w:space="0" w:color="auto"/>
            <w:left w:val="none" w:sz="0" w:space="0" w:color="auto"/>
            <w:bottom w:val="none" w:sz="0" w:space="0" w:color="auto"/>
            <w:right w:val="none" w:sz="0" w:space="0" w:color="auto"/>
          </w:divBdr>
        </w:div>
        <w:div w:id="1464343249">
          <w:marLeft w:val="0"/>
          <w:marRight w:val="0"/>
          <w:marTop w:val="0"/>
          <w:marBottom w:val="0"/>
          <w:divBdr>
            <w:top w:val="none" w:sz="0" w:space="0" w:color="auto"/>
            <w:left w:val="none" w:sz="0" w:space="0" w:color="auto"/>
            <w:bottom w:val="none" w:sz="0" w:space="0" w:color="auto"/>
            <w:right w:val="none" w:sz="0" w:space="0" w:color="auto"/>
          </w:divBdr>
        </w:div>
        <w:div w:id="1403522178">
          <w:marLeft w:val="0"/>
          <w:marRight w:val="0"/>
          <w:marTop w:val="0"/>
          <w:marBottom w:val="0"/>
          <w:divBdr>
            <w:top w:val="none" w:sz="0" w:space="0" w:color="auto"/>
            <w:left w:val="none" w:sz="0" w:space="0" w:color="auto"/>
            <w:bottom w:val="none" w:sz="0" w:space="0" w:color="auto"/>
            <w:right w:val="none" w:sz="0" w:space="0" w:color="auto"/>
          </w:divBdr>
        </w:div>
        <w:div w:id="1578324607">
          <w:marLeft w:val="0"/>
          <w:marRight w:val="0"/>
          <w:marTop w:val="0"/>
          <w:marBottom w:val="0"/>
          <w:divBdr>
            <w:top w:val="none" w:sz="0" w:space="0" w:color="auto"/>
            <w:left w:val="none" w:sz="0" w:space="0" w:color="auto"/>
            <w:bottom w:val="none" w:sz="0" w:space="0" w:color="auto"/>
            <w:right w:val="none" w:sz="0" w:space="0" w:color="auto"/>
          </w:divBdr>
        </w:div>
        <w:div w:id="1778214737">
          <w:marLeft w:val="0"/>
          <w:marRight w:val="0"/>
          <w:marTop w:val="0"/>
          <w:marBottom w:val="0"/>
          <w:divBdr>
            <w:top w:val="none" w:sz="0" w:space="0" w:color="auto"/>
            <w:left w:val="none" w:sz="0" w:space="0" w:color="auto"/>
            <w:bottom w:val="none" w:sz="0" w:space="0" w:color="auto"/>
            <w:right w:val="none" w:sz="0" w:space="0" w:color="auto"/>
          </w:divBdr>
        </w:div>
        <w:div w:id="819804797">
          <w:marLeft w:val="0"/>
          <w:marRight w:val="0"/>
          <w:marTop w:val="0"/>
          <w:marBottom w:val="0"/>
          <w:divBdr>
            <w:top w:val="none" w:sz="0" w:space="0" w:color="auto"/>
            <w:left w:val="none" w:sz="0" w:space="0" w:color="auto"/>
            <w:bottom w:val="none" w:sz="0" w:space="0" w:color="auto"/>
            <w:right w:val="none" w:sz="0" w:space="0" w:color="auto"/>
          </w:divBdr>
        </w:div>
        <w:div w:id="1420516660">
          <w:marLeft w:val="0"/>
          <w:marRight w:val="0"/>
          <w:marTop w:val="0"/>
          <w:marBottom w:val="0"/>
          <w:divBdr>
            <w:top w:val="none" w:sz="0" w:space="0" w:color="auto"/>
            <w:left w:val="none" w:sz="0" w:space="0" w:color="auto"/>
            <w:bottom w:val="none" w:sz="0" w:space="0" w:color="auto"/>
            <w:right w:val="none" w:sz="0" w:space="0" w:color="auto"/>
          </w:divBdr>
        </w:div>
        <w:div w:id="871187784">
          <w:marLeft w:val="0"/>
          <w:marRight w:val="0"/>
          <w:marTop w:val="0"/>
          <w:marBottom w:val="0"/>
          <w:divBdr>
            <w:top w:val="none" w:sz="0" w:space="0" w:color="auto"/>
            <w:left w:val="none" w:sz="0" w:space="0" w:color="auto"/>
            <w:bottom w:val="none" w:sz="0" w:space="0" w:color="auto"/>
            <w:right w:val="none" w:sz="0" w:space="0" w:color="auto"/>
          </w:divBdr>
        </w:div>
        <w:div w:id="1881550793">
          <w:marLeft w:val="0"/>
          <w:marRight w:val="0"/>
          <w:marTop w:val="0"/>
          <w:marBottom w:val="0"/>
          <w:divBdr>
            <w:top w:val="none" w:sz="0" w:space="0" w:color="auto"/>
            <w:left w:val="none" w:sz="0" w:space="0" w:color="auto"/>
            <w:bottom w:val="none" w:sz="0" w:space="0" w:color="auto"/>
            <w:right w:val="none" w:sz="0" w:space="0" w:color="auto"/>
          </w:divBdr>
        </w:div>
        <w:div w:id="1351030827">
          <w:marLeft w:val="0"/>
          <w:marRight w:val="0"/>
          <w:marTop w:val="0"/>
          <w:marBottom w:val="0"/>
          <w:divBdr>
            <w:top w:val="none" w:sz="0" w:space="0" w:color="auto"/>
            <w:left w:val="none" w:sz="0" w:space="0" w:color="auto"/>
            <w:bottom w:val="none" w:sz="0" w:space="0" w:color="auto"/>
            <w:right w:val="none" w:sz="0" w:space="0" w:color="auto"/>
          </w:divBdr>
        </w:div>
        <w:div w:id="736443859">
          <w:marLeft w:val="0"/>
          <w:marRight w:val="0"/>
          <w:marTop w:val="0"/>
          <w:marBottom w:val="0"/>
          <w:divBdr>
            <w:top w:val="none" w:sz="0" w:space="0" w:color="auto"/>
            <w:left w:val="none" w:sz="0" w:space="0" w:color="auto"/>
            <w:bottom w:val="none" w:sz="0" w:space="0" w:color="auto"/>
            <w:right w:val="none" w:sz="0" w:space="0" w:color="auto"/>
          </w:divBdr>
        </w:div>
        <w:div w:id="1382709684">
          <w:marLeft w:val="0"/>
          <w:marRight w:val="0"/>
          <w:marTop w:val="0"/>
          <w:marBottom w:val="0"/>
          <w:divBdr>
            <w:top w:val="none" w:sz="0" w:space="0" w:color="auto"/>
            <w:left w:val="none" w:sz="0" w:space="0" w:color="auto"/>
            <w:bottom w:val="none" w:sz="0" w:space="0" w:color="auto"/>
            <w:right w:val="none" w:sz="0" w:space="0" w:color="auto"/>
          </w:divBdr>
        </w:div>
        <w:div w:id="645738774">
          <w:marLeft w:val="0"/>
          <w:marRight w:val="0"/>
          <w:marTop w:val="0"/>
          <w:marBottom w:val="0"/>
          <w:divBdr>
            <w:top w:val="none" w:sz="0" w:space="0" w:color="auto"/>
            <w:left w:val="none" w:sz="0" w:space="0" w:color="auto"/>
            <w:bottom w:val="none" w:sz="0" w:space="0" w:color="auto"/>
            <w:right w:val="none" w:sz="0" w:space="0" w:color="auto"/>
          </w:divBdr>
        </w:div>
      </w:divsChild>
    </w:div>
    <w:div w:id="1065569237">
      <w:bodyDiv w:val="1"/>
      <w:marLeft w:val="0"/>
      <w:marRight w:val="0"/>
      <w:marTop w:val="0"/>
      <w:marBottom w:val="0"/>
      <w:divBdr>
        <w:top w:val="none" w:sz="0" w:space="0" w:color="auto"/>
        <w:left w:val="none" w:sz="0" w:space="0" w:color="auto"/>
        <w:bottom w:val="none" w:sz="0" w:space="0" w:color="auto"/>
        <w:right w:val="none" w:sz="0" w:space="0" w:color="auto"/>
      </w:divBdr>
    </w:div>
    <w:div w:id="1066300424">
      <w:bodyDiv w:val="1"/>
      <w:marLeft w:val="0"/>
      <w:marRight w:val="0"/>
      <w:marTop w:val="0"/>
      <w:marBottom w:val="0"/>
      <w:divBdr>
        <w:top w:val="none" w:sz="0" w:space="0" w:color="auto"/>
        <w:left w:val="none" w:sz="0" w:space="0" w:color="auto"/>
        <w:bottom w:val="none" w:sz="0" w:space="0" w:color="auto"/>
        <w:right w:val="none" w:sz="0" w:space="0" w:color="auto"/>
      </w:divBdr>
      <w:divsChild>
        <w:div w:id="274941924">
          <w:marLeft w:val="0"/>
          <w:marRight w:val="0"/>
          <w:marTop w:val="0"/>
          <w:marBottom w:val="0"/>
          <w:divBdr>
            <w:top w:val="none" w:sz="0" w:space="0" w:color="auto"/>
            <w:left w:val="none" w:sz="0" w:space="0" w:color="auto"/>
            <w:bottom w:val="none" w:sz="0" w:space="0" w:color="auto"/>
            <w:right w:val="none" w:sz="0" w:space="0" w:color="auto"/>
          </w:divBdr>
        </w:div>
        <w:div w:id="628248307">
          <w:marLeft w:val="0"/>
          <w:marRight w:val="0"/>
          <w:marTop w:val="0"/>
          <w:marBottom w:val="0"/>
          <w:divBdr>
            <w:top w:val="none" w:sz="0" w:space="0" w:color="auto"/>
            <w:left w:val="none" w:sz="0" w:space="0" w:color="auto"/>
            <w:bottom w:val="none" w:sz="0" w:space="0" w:color="auto"/>
            <w:right w:val="none" w:sz="0" w:space="0" w:color="auto"/>
          </w:divBdr>
        </w:div>
        <w:div w:id="1581209598">
          <w:marLeft w:val="0"/>
          <w:marRight w:val="0"/>
          <w:marTop w:val="0"/>
          <w:marBottom w:val="0"/>
          <w:divBdr>
            <w:top w:val="none" w:sz="0" w:space="0" w:color="auto"/>
            <w:left w:val="none" w:sz="0" w:space="0" w:color="auto"/>
            <w:bottom w:val="none" w:sz="0" w:space="0" w:color="auto"/>
            <w:right w:val="none" w:sz="0" w:space="0" w:color="auto"/>
          </w:divBdr>
        </w:div>
        <w:div w:id="1313176638">
          <w:marLeft w:val="0"/>
          <w:marRight w:val="0"/>
          <w:marTop w:val="0"/>
          <w:marBottom w:val="0"/>
          <w:divBdr>
            <w:top w:val="none" w:sz="0" w:space="0" w:color="auto"/>
            <w:left w:val="none" w:sz="0" w:space="0" w:color="auto"/>
            <w:bottom w:val="none" w:sz="0" w:space="0" w:color="auto"/>
            <w:right w:val="none" w:sz="0" w:space="0" w:color="auto"/>
          </w:divBdr>
        </w:div>
        <w:div w:id="381058135">
          <w:marLeft w:val="0"/>
          <w:marRight w:val="0"/>
          <w:marTop w:val="0"/>
          <w:marBottom w:val="0"/>
          <w:divBdr>
            <w:top w:val="none" w:sz="0" w:space="0" w:color="auto"/>
            <w:left w:val="none" w:sz="0" w:space="0" w:color="auto"/>
            <w:bottom w:val="none" w:sz="0" w:space="0" w:color="auto"/>
            <w:right w:val="none" w:sz="0" w:space="0" w:color="auto"/>
          </w:divBdr>
        </w:div>
      </w:divsChild>
    </w:div>
    <w:div w:id="1081370335">
      <w:bodyDiv w:val="1"/>
      <w:marLeft w:val="0"/>
      <w:marRight w:val="0"/>
      <w:marTop w:val="0"/>
      <w:marBottom w:val="0"/>
      <w:divBdr>
        <w:top w:val="none" w:sz="0" w:space="0" w:color="auto"/>
        <w:left w:val="none" w:sz="0" w:space="0" w:color="auto"/>
        <w:bottom w:val="none" w:sz="0" w:space="0" w:color="auto"/>
        <w:right w:val="none" w:sz="0" w:space="0" w:color="auto"/>
      </w:divBdr>
      <w:divsChild>
        <w:div w:id="685208480">
          <w:marLeft w:val="0"/>
          <w:marRight w:val="0"/>
          <w:marTop w:val="0"/>
          <w:marBottom w:val="0"/>
          <w:divBdr>
            <w:top w:val="none" w:sz="0" w:space="0" w:color="auto"/>
            <w:left w:val="none" w:sz="0" w:space="0" w:color="auto"/>
            <w:bottom w:val="none" w:sz="0" w:space="0" w:color="auto"/>
            <w:right w:val="none" w:sz="0" w:space="0" w:color="auto"/>
          </w:divBdr>
        </w:div>
        <w:div w:id="1949316222">
          <w:marLeft w:val="0"/>
          <w:marRight w:val="0"/>
          <w:marTop w:val="0"/>
          <w:marBottom w:val="0"/>
          <w:divBdr>
            <w:top w:val="none" w:sz="0" w:space="0" w:color="auto"/>
            <w:left w:val="none" w:sz="0" w:space="0" w:color="auto"/>
            <w:bottom w:val="none" w:sz="0" w:space="0" w:color="auto"/>
            <w:right w:val="none" w:sz="0" w:space="0" w:color="auto"/>
          </w:divBdr>
        </w:div>
        <w:div w:id="1534540003">
          <w:marLeft w:val="0"/>
          <w:marRight w:val="0"/>
          <w:marTop w:val="0"/>
          <w:marBottom w:val="0"/>
          <w:divBdr>
            <w:top w:val="none" w:sz="0" w:space="0" w:color="auto"/>
            <w:left w:val="none" w:sz="0" w:space="0" w:color="auto"/>
            <w:bottom w:val="none" w:sz="0" w:space="0" w:color="auto"/>
            <w:right w:val="none" w:sz="0" w:space="0" w:color="auto"/>
          </w:divBdr>
        </w:div>
        <w:div w:id="2060862771">
          <w:marLeft w:val="0"/>
          <w:marRight w:val="0"/>
          <w:marTop w:val="0"/>
          <w:marBottom w:val="0"/>
          <w:divBdr>
            <w:top w:val="none" w:sz="0" w:space="0" w:color="auto"/>
            <w:left w:val="none" w:sz="0" w:space="0" w:color="auto"/>
            <w:bottom w:val="none" w:sz="0" w:space="0" w:color="auto"/>
            <w:right w:val="none" w:sz="0" w:space="0" w:color="auto"/>
          </w:divBdr>
        </w:div>
        <w:div w:id="1415667956">
          <w:marLeft w:val="0"/>
          <w:marRight w:val="0"/>
          <w:marTop w:val="0"/>
          <w:marBottom w:val="0"/>
          <w:divBdr>
            <w:top w:val="none" w:sz="0" w:space="0" w:color="auto"/>
            <w:left w:val="none" w:sz="0" w:space="0" w:color="auto"/>
            <w:bottom w:val="none" w:sz="0" w:space="0" w:color="auto"/>
            <w:right w:val="none" w:sz="0" w:space="0" w:color="auto"/>
          </w:divBdr>
        </w:div>
        <w:div w:id="305621255">
          <w:marLeft w:val="0"/>
          <w:marRight w:val="0"/>
          <w:marTop w:val="0"/>
          <w:marBottom w:val="0"/>
          <w:divBdr>
            <w:top w:val="none" w:sz="0" w:space="0" w:color="auto"/>
            <w:left w:val="none" w:sz="0" w:space="0" w:color="auto"/>
            <w:bottom w:val="none" w:sz="0" w:space="0" w:color="auto"/>
            <w:right w:val="none" w:sz="0" w:space="0" w:color="auto"/>
          </w:divBdr>
        </w:div>
        <w:div w:id="1401438491">
          <w:marLeft w:val="0"/>
          <w:marRight w:val="0"/>
          <w:marTop w:val="0"/>
          <w:marBottom w:val="0"/>
          <w:divBdr>
            <w:top w:val="none" w:sz="0" w:space="0" w:color="auto"/>
            <w:left w:val="none" w:sz="0" w:space="0" w:color="auto"/>
            <w:bottom w:val="none" w:sz="0" w:space="0" w:color="auto"/>
            <w:right w:val="none" w:sz="0" w:space="0" w:color="auto"/>
          </w:divBdr>
        </w:div>
      </w:divsChild>
    </w:div>
    <w:div w:id="1081608517">
      <w:bodyDiv w:val="1"/>
      <w:marLeft w:val="0"/>
      <w:marRight w:val="0"/>
      <w:marTop w:val="0"/>
      <w:marBottom w:val="0"/>
      <w:divBdr>
        <w:top w:val="none" w:sz="0" w:space="0" w:color="auto"/>
        <w:left w:val="none" w:sz="0" w:space="0" w:color="auto"/>
        <w:bottom w:val="none" w:sz="0" w:space="0" w:color="auto"/>
        <w:right w:val="none" w:sz="0" w:space="0" w:color="auto"/>
      </w:divBdr>
    </w:div>
    <w:div w:id="1195926629">
      <w:bodyDiv w:val="1"/>
      <w:marLeft w:val="0"/>
      <w:marRight w:val="0"/>
      <w:marTop w:val="0"/>
      <w:marBottom w:val="0"/>
      <w:divBdr>
        <w:top w:val="none" w:sz="0" w:space="0" w:color="auto"/>
        <w:left w:val="none" w:sz="0" w:space="0" w:color="auto"/>
        <w:bottom w:val="none" w:sz="0" w:space="0" w:color="auto"/>
        <w:right w:val="none" w:sz="0" w:space="0" w:color="auto"/>
      </w:divBdr>
      <w:divsChild>
        <w:div w:id="1758940794">
          <w:marLeft w:val="0"/>
          <w:marRight w:val="0"/>
          <w:marTop w:val="0"/>
          <w:marBottom w:val="0"/>
          <w:divBdr>
            <w:top w:val="none" w:sz="0" w:space="0" w:color="auto"/>
            <w:left w:val="none" w:sz="0" w:space="0" w:color="auto"/>
            <w:bottom w:val="none" w:sz="0" w:space="0" w:color="auto"/>
            <w:right w:val="none" w:sz="0" w:space="0" w:color="auto"/>
          </w:divBdr>
          <w:divsChild>
            <w:div w:id="434405233">
              <w:marLeft w:val="0"/>
              <w:marRight w:val="0"/>
              <w:marTop w:val="0"/>
              <w:marBottom w:val="0"/>
              <w:divBdr>
                <w:top w:val="none" w:sz="0" w:space="0" w:color="auto"/>
                <w:left w:val="none" w:sz="0" w:space="0" w:color="auto"/>
                <w:bottom w:val="none" w:sz="0" w:space="0" w:color="auto"/>
                <w:right w:val="none" w:sz="0" w:space="0" w:color="auto"/>
              </w:divBdr>
            </w:div>
            <w:div w:id="961880057">
              <w:marLeft w:val="0"/>
              <w:marRight w:val="0"/>
              <w:marTop w:val="0"/>
              <w:marBottom w:val="0"/>
              <w:divBdr>
                <w:top w:val="none" w:sz="0" w:space="0" w:color="auto"/>
                <w:left w:val="none" w:sz="0" w:space="0" w:color="auto"/>
                <w:bottom w:val="none" w:sz="0" w:space="0" w:color="auto"/>
                <w:right w:val="none" w:sz="0" w:space="0" w:color="auto"/>
              </w:divBdr>
            </w:div>
            <w:div w:id="805854541">
              <w:marLeft w:val="0"/>
              <w:marRight w:val="0"/>
              <w:marTop w:val="0"/>
              <w:marBottom w:val="0"/>
              <w:divBdr>
                <w:top w:val="none" w:sz="0" w:space="0" w:color="auto"/>
                <w:left w:val="none" w:sz="0" w:space="0" w:color="auto"/>
                <w:bottom w:val="none" w:sz="0" w:space="0" w:color="auto"/>
                <w:right w:val="none" w:sz="0" w:space="0" w:color="auto"/>
              </w:divBdr>
            </w:div>
            <w:div w:id="1967808263">
              <w:marLeft w:val="0"/>
              <w:marRight w:val="0"/>
              <w:marTop w:val="0"/>
              <w:marBottom w:val="0"/>
              <w:divBdr>
                <w:top w:val="none" w:sz="0" w:space="0" w:color="auto"/>
                <w:left w:val="none" w:sz="0" w:space="0" w:color="auto"/>
                <w:bottom w:val="none" w:sz="0" w:space="0" w:color="auto"/>
                <w:right w:val="none" w:sz="0" w:space="0" w:color="auto"/>
              </w:divBdr>
            </w:div>
            <w:div w:id="812874048">
              <w:marLeft w:val="0"/>
              <w:marRight w:val="0"/>
              <w:marTop w:val="0"/>
              <w:marBottom w:val="0"/>
              <w:divBdr>
                <w:top w:val="none" w:sz="0" w:space="0" w:color="auto"/>
                <w:left w:val="none" w:sz="0" w:space="0" w:color="auto"/>
                <w:bottom w:val="none" w:sz="0" w:space="0" w:color="auto"/>
                <w:right w:val="none" w:sz="0" w:space="0" w:color="auto"/>
              </w:divBdr>
            </w:div>
            <w:div w:id="1030910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402089">
      <w:bodyDiv w:val="1"/>
      <w:marLeft w:val="0"/>
      <w:marRight w:val="0"/>
      <w:marTop w:val="0"/>
      <w:marBottom w:val="0"/>
      <w:divBdr>
        <w:top w:val="none" w:sz="0" w:space="0" w:color="auto"/>
        <w:left w:val="none" w:sz="0" w:space="0" w:color="auto"/>
        <w:bottom w:val="none" w:sz="0" w:space="0" w:color="auto"/>
        <w:right w:val="none" w:sz="0" w:space="0" w:color="auto"/>
      </w:divBdr>
      <w:divsChild>
        <w:div w:id="43608497">
          <w:marLeft w:val="0"/>
          <w:marRight w:val="0"/>
          <w:marTop w:val="0"/>
          <w:marBottom w:val="0"/>
          <w:divBdr>
            <w:top w:val="none" w:sz="0" w:space="0" w:color="auto"/>
            <w:left w:val="none" w:sz="0" w:space="0" w:color="auto"/>
            <w:bottom w:val="none" w:sz="0" w:space="0" w:color="auto"/>
            <w:right w:val="none" w:sz="0" w:space="0" w:color="auto"/>
          </w:divBdr>
        </w:div>
        <w:div w:id="1298878328">
          <w:marLeft w:val="0"/>
          <w:marRight w:val="0"/>
          <w:marTop w:val="0"/>
          <w:marBottom w:val="0"/>
          <w:divBdr>
            <w:top w:val="none" w:sz="0" w:space="0" w:color="auto"/>
            <w:left w:val="none" w:sz="0" w:space="0" w:color="auto"/>
            <w:bottom w:val="none" w:sz="0" w:space="0" w:color="auto"/>
            <w:right w:val="none" w:sz="0" w:space="0" w:color="auto"/>
          </w:divBdr>
        </w:div>
      </w:divsChild>
    </w:div>
    <w:div w:id="1229532901">
      <w:bodyDiv w:val="1"/>
      <w:marLeft w:val="0"/>
      <w:marRight w:val="0"/>
      <w:marTop w:val="0"/>
      <w:marBottom w:val="0"/>
      <w:divBdr>
        <w:top w:val="none" w:sz="0" w:space="0" w:color="auto"/>
        <w:left w:val="none" w:sz="0" w:space="0" w:color="auto"/>
        <w:bottom w:val="none" w:sz="0" w:space="0" w:color="auto"/>
        <w:right w:val="none" w:sz="0" w:space="0" w:color="auto"/>
      </w:divBdr>
      <w:divsChild>
        <w:div w:id="970555376">
          <w:marLeft w:val="0"/>
          <w:marRight w:val="0"/>
          <w:marTop w:val="0"/>
          <w:marBottom w:val="0"/>
          <w:divBdr>
            <w:top w:val="none" w:sz="0" w:space="0" w:color="auto"/>
            <w:left w:val="none" w:sz="0" w:space="0" w:color="auto"/>
            <w:bottom w:val="none" w:sz="0" w:space="0" w:color="auto"/>
            <w:right w:val="none" w:sz="0" w:space="0" w:color="auto"/>
          </w:divBdr>
        </w:div>
      </w:divsChild>
    </w:div>
    <w:div w:id="1234975326">
      <w:bodyDiv w:val="1"/>
      <w:marLeft w:val="0"/>
      <w:marRight w:val="0"/>
      <w:marTop w:val="0"/>
      <w:marBottom w:val="0"/>
      <w:divBdr>
        <w:top w:val="none" w:sz="0" w:space="0" w:color="auto"/>
        <w:left w:val="none" w:sz="0" w:space="0" w:color="auto"/>
        <w:bottom w:val="none" w:sz="0" w:space="0" w:color="auto"/>
        <w:right w:val="none" w:sz="0" w:space="0" w:color="auto"/>
      </w:divBdr>
    </w:div>
    <w:div w:id="1237939207">
      <w:bodyDiv w:val="1"/>
      <w:marLeft w:val="0"/>
      <w:marRight w:val="0"/>
      <w:marTop w:val="0"/>
      <w:marBottom w:val="0"/>
      <w:divBdr>
        <w:top w:val="none" w:sz="0" w:space="0" w:color="auto"/>
        <w:left w:val="none" w:sz="0" w:space="0" w:color="auto"/>
        <w:bottom w:val="none" w:sz="0" w:space="0" w:color="auto"/>
        <w:right w:val="none" w:sz="0" w:space="0" w:color="auto"/>
      </w:divBdr>
      <w:divsChild>
        <w:div w:id="1550219735">
          <w:marLeft w:val="0"/>
          <w:marRight w:val="0"/>
          <w:marTop w:val="0"/>
          <w:marBottom w:val="0"/>
          <w:divBdr>
            <w:top w:val="none" w:sz="0" w:space="0" w:color="auto"/>
            <w:left w:val="none" w:sz="0" w:space="0" w:color="auto"/>
            <w:bottom w:val="none" w:sz="0" w:space="0" w:color="auto"/>
            <w:right w:val="none" w:sz="0" w:space="0" w:color="auto"/>
          </w:divBdr>
          <w:divsChild>
            <w:div w:id="2100717341">
              <w:marLeft w:val="0"/>
              <w:marRight w:val="0"/>
              <w:marTop w:val="0"/>
              <w:marBottom w:val="0"/>
              <w:divBdr>
                <w:top w:val="none" w:sz="0" w:space="0" w:color="auto"/>
                <w:left w:val="none" w:sz="0" w:space="0" w:color="auto"/>
                <w:bottom w:val="none" w:sz="0" w:space="0" w:color="auto"/>
                <w:right w:val="none" w:sz="0" w:space="0" w:color="auto"/>
              </w:divBdr>
              <w:divsChild>
                <w:div w:id="152282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306414">
      <w:bodyDiv w:val="1"/>
      <w:marLeft w:val="0"/>
      <w:marRight w:val="0"/>
      <w:marTop w:val="0"/>
      <w:marBottom w:val="0"/>
      <w:divBdr>
        <w:top w:val="none" w:sz="0" w:space="0" w:color="auto"/>
        <w:left w:val="none" w:sz="0" w:space="0" w:color="auto"/>
        <w:bottom w:val="none" w:sz="0" w:space="0" w:color="auto"/>
        <w:right w:val="none" w:sz="0" w:space="0" w:color="auto"/>
      </w:divBdr>
      <w:divsChild>
        <w:div w:id="927613671">
          <w:marLeft w:val="0"/>
          <w:marRight w:val="0"/>
          <w:marTop w:val="0"/>
          <w:marBottom w:val="0"/>
          <w:divBdr>
            <w:top w:val="none" w:sz="0" w:space="0" w:color="auto"/>
            <w:left w:val="none" w:sz="0" w:space="0" w:color="auto"/>
            <w:bottom w:val="none" w:sz="0" w:space="0" w:color="auto"/>
            <w:right w:val="none" w:sz="0" w:space="0" w:color="auto"/>
          </w:divBdr>
        </w:div>
        <w:div w:id="885676260">
          <w:marLeft w:val="0"/>
          <w:marRight w:val="0"/>
          <w:marTop w:val="0"/>
          <w:marBottom w:val="0"/>
          <w:divBdr>
            <w:top w:val="none" w:sz="0" w:space="0" w:color="auto"/>
            <w:left w:val="none" w:sz="0" w:space="0" w:color="auto"/>
            <w:bottom w:val="none" w:sz="0" w:space="0" w:color="auto"/>
            <w:right w:val="none" w:sz="0" w:space="0" w:color="auto"/>
          </w:divBdr>
        </w:div>
        <w:div w:id="1040477467">
          <w:marLeft w:val="0"/>
          <w:marRight w:val="0"/>
          <w:marTop w:val="0"/>
          <w:marBottom w:val="0"/>
          <w:divBdr>
            <w:top w:val="none" w:sz="0" w:space="0" w:color="auto"/>
            <w:left w:val="none" w:sz="0" w:space="0" w:color="auto"/>
            <w:bottom w:val="none" w:sz="0" w:space="0" w:color="auto"/>
            <w:right w:val="none" w:sz="0" w:space="0" w:color="auto"/>
          </w:divBdr>
        </w:div>
      </w:divsChild>
    </w:div>
    <w:div w:id="1279413024">
      <w:bodyDiv w:val="1"/>
      <w:marLeft w:val="0"/>
      <w:marRight w:val="0"/>
      <w:marTop w:val="0"/>
      <w:marBottom w:val="0"/>
      <w:divBdr>
        <w:top w:val="none" w:sz="0" w:space="0" w:color="auto"/>
        <w:left w:val="none" w:sz="0" w:space="0" w:color="auto"/>
        <w:bottom w:val="none" w:sz="0" w:space="0" w:color="auto"/>
        <w:right w:val="none" w:sz="0" w:space="0" w:color="auto"/>
      </w:divBdr>
      <w:divsChild>
        <w:div w:id="2051881594">
          <w:marLeft w:val="0"/>
          <w:marRight w:val="0"/>
          <w:marTop w:val="0"/>
          <w:marBottom w:val="0"/>
          <w:divBdr>
            <w:top w:val="none" w:sz="0" w:space="0" w:color="auto"/>
            <w:left w:val="none" w:sz="0" w:space="0" w:color="auto"/>
            <w:bottom w:val="none" w:sz="0" w:space="0" w:color="auto"/>
            <w:right w:val="none" w:sz="0" w:space="0" w:color="auto"/>
          </w:divBdr>
        </w:div>
        <w:div w:id="1851330643">
          <w:marLeft w:val="0"/>
          <w:marRight w:val="0"/>
          <w:marTop w:val="0"/>
          <w:marBottom w:val="0"/>
          <w:divBdr>
            <w:top w:val="none" w:sz="0" w:space="0" w:color="auto"/>
            <w:left w:val="none" w:sz="0" w:space="0" w:color="auto"/>
            <w:bottom w:val="none" w:sz="0" w:space="0" w:color="auto"/>
            <w:right w:val="none" w:sz="0" w:space="0" w:color="auto"/>
          </w:divBdr>
        </w:div>
      </w:divsChild>
    </w:div>
    <w:div w:id="1286810099">
      <w:bodyDiv w:val="1"/>
      <w:marLeft w:val="0"/>
      <w:marRight w:val="0"/>
      <w:marTop w:val="0"/>
      <w:marBottom w:val="0"/>
      <w:divBdr>
        <w:top w:val="none" w:sz="0" w:space="0" w:color="auto"/>
        <w:left w:val="none" w:sz="0" w:space="0" w:color="auto"/>
        <w:bottom w:val="none" w:sz="0" w:space="0" w:color="auto"/>
        <w:right w:val="none" w:sz="0" w:space="0" w:color="auto"/>
      </w:divBdr>
    </w:div>
    <w:div w:id="1308437923">
      <w:bodyDiv w:val="1"/>
      <w:marLeft w:val="0"/>
      <w:marRight w:val="0"/>
      <w:marTop w:val="0"/>
      <w:marBottom w:val="0"/>
      <w:divBdr>
        <w:top w:val="none" w:sz="0" w:space="0" w:color="auto"/>
        <w:left w:val="none" w:sz="0" w:space="0" w:color="auto"/>
        <w:bottom w:val="none" w:sz="0" w:space="0" w:color="auto"/>
        <w:right w:val="none" w:sz="0" w:space="0" w:color="auto"/>
      </w:divBdr>
      <w:divsChild>
        <w:div w:id="1625623372">
          <w:marLeft w:val="0"/>
          <w:marRight w:val="0"/>
          <w:marTop w:val="0"/>
          <w:marBottom w:val="0"/>
          <w:divBdr>
            <w:top w:val="none" w:sz="0" w:space="0" w:color="auto"/>
            <w:left w:val="none" w:sz="0" w:space="0" w:color="auto"/>
            <w:bottom w:val="none" w:sz="0" w:space="0" w:color="auto"/>
            <w:right w:val="none" w:sz="0" w:space="0" w:color="auto"/>
          </w:divBdr>
        </w:div>
        <w:div w:id="2101364241">
          <w:marLeft w:val="0"/>
          <w:marRight w:val="0"/>
          <w:marTop w:val="0"/>
          <w:marBottom w:val="0"/>
          <w:divBdr>
            <w:top w:val="none" w:sz="0" w:space="0" w:color="auto"/>
            <w:left w:val="none" w:sz="0" w:space="0" w:color="auto"/>
            <w:bottom w:val="none" w:sz="0" w:space="0" w:color="auto"/>
            <w:right w:val="none" w:sz="0" w:space="0" w:color="auto"/>
          </w:divBdr>
        </w:div>
        <w:div w:id="383988791">
          <w:marLeft w:val="0"/>
          <w:marRight w:val="0"/>
          <w:marTop w:val="0"/>
          <w:marBottom w:val="0"/>
          <w:divBdr>
            <w:top w:val="none" w:sz="0" w:space="0" w:color="auto"/>
            <w:left w:val="none" w:sz="0" w:space="0" w:color="auto"/>
            <w:bottom w:val="none" w:sz="0" w:space="0" w:color="auto"/>
            <w:right w:val="none" w:sz="0" w:space="0" w:color="auto"/>
          </w:divBdr>
        </w:div>
        <w:div w:id="891112202">
          <w:marLeft w:val="0"/>
          <w:marRight w:val="0"/>
          <w:marTop w:val="0"/>
          <w:marBottom w:val="0"/>
          <w:divBdr>
            <w:top w:val="none" w:sz="0" w:space="0" w:color="auto"/>
            <w:left w:val="none" w:sz="0" w:space="0" w:color="auto"/>
            <w:bottom w:val="none" w:sz="0" w:space="0" w:color="auto"/>
            <w:right w:val="none" w:sz="0" w:space="0" w:color="auto"/>
          </w:divBdr>
        </w:div>
      </w:divsChild>
    </w:div>
    <w:div w:id="1338462503">
      <w:bodyDiv w:val="1"/>
      <w:marLeft w:val="0"/>
      <w:marRight w:val="0"/>
      <w:marTop w:val="0"/>
      <w:marBottom w:val="0"/>
      <w:divBdr>
        <w:top w:val="none" w:sz="0" w:space="0" w:color="auto"/>
        <w:left w:val="none" w:sz="0" w:space="0" w:color="auto"/>
        <w:bottom w:val="none" w:sz="0" w:space="0" w:color="auto"/>
        <w:right w:val="none" w:sz="0" w:space="0" w:color="auto"/>
      </w:divBdr>
    </w:div>
    <w:div w:id="1374840517">
      <w:bodyDiv w:val="1"/>
      <w:marLeft w:val="0"/>
      <w:marRight w:val="0"/>
      <w:marTop w:val="0"/>
      <w:marBottom w:val="0"/>
      <w:divBdr>
        <w:top w:val="none" w:sz="0" w:space="0" w:color="auto"/>
        <w:left w:val="none" w:sz="0" w:space="0" w:color="auto"/>
        <w:bottom w:val="none" w:sz="0" w:space="0" w:color="auto"/>
        <w:right w:val="none" w:sz="0" w:space="0" w:color="auto"/>
      </w:divBdr>
    </w:div>
    <w:div w:id="1375499672">
      <w:bodyDiv w:val="1"/>
      <w:marLeft w:val="0"/>
      <w:marRight w:val="0"/>
      <w:marTop w:val="0"/>
      <w:marBottom w:val="0"/>
      <w:divBdr>
        <w:top w:val="none" w:sz="0" w:space="0" w:color="auto"/>
        <w:left w:val="none" w:sz="0" w:space="0" w:color="auto"/>
        <w:bottom w:val="none" w:sz="0" w:space="0" w:color="auto"/>
        <w:right w:val="none" w:sz="0" w:space="0" w:color="auto"/>
      </w:divBdr>
    </w:div>
    <w:div w:id="1402748282">
      <w:bodyDiv w:val="1"/>
      <w:marLeft w:val="0"/>
      <w:marRight w:val="0"/>
      <w:marTop w:val="0"/>
      <w:marBottom w:val="0"/>
      <w:divBdr>
        <w:top w:val="none" w:sz="0" w:space="0" w:color="auto"/>
        <w:left w:val="none" w:sz="0" w:space="0" w:color="auto"/>
        <w:bottom w:val="none" w:sz="0" w:space="0" w:color="auto"/>
        <w:right w:val="none" w:sz="0" w:space="0" w:color="auto"/>
      </w:divBdr>
      <w:divsChild>
        <w:div w:id="1703290027">
          <w:marLeft w:val="0"/>
          <w:marRight w:val="0"/>
          <w:marTop w:val="0"/>
          <w:marBottom w:val="0"/>
          <w:divBdr>
            <w:top w:val="none" w:sz="0" w:space="0" w:color="auto"/>
            <w:left w:val="none" w:sz="0" w:space="0" w:color="auto"/>
            <w:bottom w:val="none" w:sz="0" w:space="0" w:color="auto"/>
            <w:right w:val="none" w:sz="0" w:space="0" w:color="auto"/>
          </w:divBdr>
          <w:divsChild>
            <w:div w:id="588127052">
              <w:marLeft w:val="0"/>
              <w:marRight w:val="0"/>
              <w:marTop w:val="0"/>
              <w:marBottom w:val="0"/>
              <w:divBdr>
                <w:top w:val="none" w:sz="0" w:space="0" w:color="auto"/>
                <w:left w:val="none" w:sz="0" w:space="0" w:color="auto"/>
                <w:bottom w:val="none" w:sz="0" w:space="0" w:color="auto"/>
                <w:right w:val="none" w:sz="0" w:space="0" w:color="auto"/>
              </w:divBdr>
            </w:div>
            <w:div w:id="1361051699">
              <w:marLeft w:val="0"/>
              <w:marRight w:val="0"/>
              <w:marTop w:val="0"/>
              <w:marBottom w:val="0"/>
              <w:divBdr>
                <w:top w:val="none" w:sz="0" w:space="0" w:color="auto"/>
                <w:left w:val="none" w:sz="0" w:space="0" w:color="auto"/>
                <w:bottom w:val="none" w:sz="0" w:space="0" w:color="auto"/>
                <w:right w:val="none" w:sz="0" w:space="0" w:color="auto"/>
              </w:divBdr>
            </w:div>
            <w:div w:id="923034475">
              <w:marLeft w:val="0"/>
              <w:marRight w:val="0"/>
              <w:marTop w:val="0"/>
              <w:marBottom w:val="0"/>
              <w:divBdr>
                <w:top w:val="none" w:sz="0" w:space="0" w:color="auto"/>
                <w:left w:val="none" w:sz="0" w:space="0" w:color="auto"/>
                <w:bottom w:val="none" w:sz="0" w:space="0" w:color="auto"/>
                <w:right w:val="none" w:sz="0" w:space="0" w:color="auto"/>
              </w:divBdr>
            </w:div>
            <w:div w:id="795224019">
              <w:marLeft w:val="0"/>
              <w:marRight w:val="0"/>
              <w:marTop w:val="0"/>
              <w:marBottom w:val="0"/>
              <w:divBdr>
                <w:top w:val="none" w:sz="0" w:space="0" w:color="auto"/>
                <w:left w:val="none" w:sz="0" w:space="0" w:color="auto"/>
                <w:bottom w:val="none" w:sz="0" w:space="0" w:color="auto"/>
                <w:right w:val="none" w:sz="0" w:space="0" w:color="auto"/>
              </w:divBdr>
            </w:div>
            <w:div w:id="1289581788">
              <w:marLeft w:val="0"/>
              <w:marRight w:val="0"/>
              <w:marTop w:val="0"/>
              <w:marBottom w:val="0"/>
              <w:divBdr>
                <w:top w:val="none" w:sz="0" w:space="0" w:color="auto"/>
                <w:left w:val="none" w:sz="0" w:space="0" w:color="auto"/>
                <w:bottom w:val="none" w:sz="0" w:space="0" w:color="auto"/>
                <w:right w:val="none" w:sz="0" w:space="0" w:color="auto"/>
              </w:divBdr>
            </w:div>
            <w:div w:id="112754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182635">
      <w:bodyDiv w:val="1"/>
      <w:marLeft w:val="0"/>
      <w:marRight w:val="0"/>
      <w:marTop w:val="0"/>
      <w:marBottom w:val="0"/>
      <w:divBdr>
        <w:top w:val="none" w:sz="0" w:space="0" w:color="auto"/>
        <w:left w:val="none" w:sz="0" w:space="0" w:color="auto"/>
        <w:bottom w:val="none" w:sz="0" w:space="0" w:color="auto"/>
        <w:right w:val="none" w:sz="0" w:space="0" w:color="auto"/>
      </w:divBdr>
    </w:div>
    <w:div w:id="1414014903">
      <w:bodyDiv w:val="1"/>
      <w:marLeft w:val="0"/>
      <w:marRight w:val="0"/>
      <w:marTop w:val="0"/>
      <w:marBottom w:val="0"/>
      <w:divBdr>
        <w:top w:val="none" w:sz="0" w:space="0" w:color="auto"/>
        <w:left w:val="none" w:sz="0" w:space="0" w:color="auto"/>
        <w:bottom w:val="none" w:sz="0" w:space="0" w:color="auto"/>
        <w:right w:val="none" w:sz="0" w:space="0" w:color="auto"/>
      </w:divBdr>
      <w:divsChild>
        <w:div w:id="1490250789">
          <w:marLeft w:val="0"/>
          <w:marRight w:val="0"/>
          <w:marTop w:val="0"/>
          <w:marBottom w:val="0"/>
          <w:divBdr>
            <w:top w:val="none" w:sz="0" w:space="0" w:color="auto"/>
            <w:left w:val="none" w:sz="0" w:space="0" w:color="auto"/>
            <w:bottom w:val="none" w:sz="0" w:space="0" w:color="auto"/>
            <w:right w:val="none" w:sz="0" w:space="0" w:color="auto"/>
          </w:divBdr>
        </w:div>
        <w:div w:id="1563951444">
          <w:marLeft w:val="0"/>
          <w:marRight w:val="0"/>
          <w:marTop w:val="0"/>
          <w:marBottom w:val="0"/>
          <w:divBdr>
            <w:top w:val="none" w:sz="0" w:space="0" w:color="auto"/>
            <w:left w:val="none" w:sz="0" w:space="0" w:color="auto"/>
            <w:bottom w:val="none" w:sz="0" w:space="0" w:color="auto"/>
            <w:right w:val="none" w:sz="0" w:space="0" w:color="auto"/>
          </w:divBdr>
        </w:div>
        <w:div w:id="1761246527">
          <w:marLeft w:val="0"/>
          <w:marRight w:val="0"/>
          <w:marTop w:val="0"/>
          <w:marBottom w:val="0"/>
          <w:divBdr>
            <w:top w:val="none" w:sz="0" w:space="0" w:color="auto"/>
            <w:left w:val="none" w:sz="0" w:space="0" w:color="auto"/>
            <w:bottom w:val="none" w:sz="0" w:space="0" w:color="auto"/>
            <w:right w:val="none" w:sz="0" w:space="0" w:color="auto"/>
          </w:divBdr>
        </w:div>
        <w:div w:id="393116493">
          <w:marLeft w:val="0"/>
          <w:marRight w:val="0"/>
          <w:marTop w:val="0"/>
          <w:marBottom w:val="0"/>
          <w:divBdr>
            <w:top w:val="none" w:sz="0" w:space="0" w:color="auto"/>
            <w:left w:val="none" w:sz="0" w:space="0" w:color="auto"/>
            <w:bottom w:val="none" w:sz="0" w:space="0" w:color="auto"/>
            <w:right w:val="none" w:sz="0" w:space="0" w:color="auto"/>
          </w:divBdr>
        </w:div>
        <w:div w:id="1993021900">
          <w:marLeft w:val="0"/>
          <w:marRight w:val="0"/>
          <w:marTop w:val="0"/>
          <w:marBottom w:val="0"/>
          <w:divBdr>
            <w:top w:val="none" w:sz="0" w:space="0" w:color="auto"/>
            <w:left w:val="none" w:sz="0" w:space="0" w:color="auto"/>
            <w:bottom w:val="none" w:sz="0" w:space="0" w:color="auto"/>
            <w:right w:val="none" w:sz="0" w:space="0" w:color="auto"/>
          </w:divBdr>
        </w:div>
        <w:div w:id="800459948">
          <w:marLeft w:val="0"/>
          <w:marRight w:val="0"/>
          <w:marTop w:val="0"/>
          <w:marBottom w:val="0"/>
          <w:divBdr>
            <w:top w:val="none" w:sz="0" w:space="0" w:color="auto"/>
            <w:left w:val="none" w:sz="0" w:space="0" w:color="auto"/>
            <w:bottom w:val="none" w:sz="0" w:space="0" w:color="auto"/>
            <w:right w:val="none" w:sz="0" w:space="0" w:color="auto"/>
          </w:divBdr>
        </w:div>
        <w:div w:id="637421468">
          <w:marLeft w:val="0"/>
          <w:marRight w:val="0"/>
          <w:marTop w:val="0"/>
          <w:marBottom w:val="0"/>
          <w:divBdr>
            <w:top w:val="none" w:sz="0" w:space="0" w:color="auto"/>
            <w:left w:val="none" w:sz="0" w:space="0" w:color="auto"/>
            <w:bottom w:val="none" w:sz="0" w:space="0" w:color="auto"/>
            <w:right w:val="none" w:sz="0" w:space="0" w:color="auto"/>
          </w:divBdr>
        </w:div>
        <w:div w:id="1179543918">
          <w:marLeft w:val="0"/>
          <w:marRight w:val="0"/>
          <w:marTop w:val="0"/>
          <w:marBottom w:val="0"/>
          <w:divBdr>
            <w:top w:val="none" w:sz="0" w:space="0" w:color="auto"/>
            <w:left w:val="none" w:sz="0" w:space="0" w:color="auto"/>
            <w:bottom w:val="none" w:sz="0" w:space="0" w:color="auto"/>
            <w:right w:val="none" w:sz="0" w:space="0" w:color="auto"/>
          </w:divBdr>
        </w:div>
      </w:divsChild>
    </w:div>
    <w:div w:id="1415785694">
      <w:bodyDiv w:val="1"/>
      <w:marLeft w:val="0"/>
      <w:marRight w:val="0"/>
      <w:marTop w:val="0"/>
      <w:marBottom w:val="0"/>
      <w:divBdr>
        <w:top w:val="none" w:sz="0" w:space="0" w:color="auto"/>
        <w:left w:val="none" w:sz="0" w:space="0" w:color="auto"/>
        <w:bottom w:val="none" w:sz="0" w:space="0" w:color="auto"/>
        <w:right w:val="none" w:sz="0" w:space="0" w:color="auto"/>
      </w:divBdr>
      <w:divsChild>
        <w:div w:id="1454596603">
          <w:marLeft w:val="0"/>
          <w:marRight w:val="0"/>
          <w:marTop w:val="0"/>
          <w:marBottom w:val="0"/>
          <w:divBdr>
            <w:top w:val="none" w:sz="0" w:space="0" w:color="auto"/>
            <w:left w:val="none" w:sz="0" w:space="0" w:color="auto"/>
            <w:bottom w:val="none" w:sz="0" w:space="0" w:color="auto"/>
            <w:right w:val="none" w:sz="0" w:space="0" w:color="auto"/>
          </w:divBdr>
        </w:div>
        <w:div w:id="2141143600">
          <w:marLeft w:val="0"/>
          <w:marRight w:val="0"/>
          <w:marTop w:val="0"/>
          <w:marBottom w:val="0"/>
          <w:divBdr>
            <w:top w:val="none" w:sz="0" w:space="0" w:color="auto"/>
            <w:left w:val="none" w:sz="0" w:space="0" w:color="auto"/>
            <w:bottom w:val="none" w:sz="0" w:space="0" w:color="auto"/>
            <w:right w:val="none" w:sz="0" w:space="0" w:color="auto"/>
          </w:divBdr>
        </w:div>
        <w:div w:id="1352996620">
          <w:marLeft w:val="0"/>
          <w:marRight w:val="0"/>
          <w:marTop w:val="0"/>
          <w:marBottom w:val="0"/>
          <w:divBdr>
            <w:top w:val="none" w:sz="0" w:space="0" w:color="auto"/>
            <w:left w:val="none" w:sz="0" w:space="0" w:color="auto"/>
            <w:bottom w:val="none" w:sz="0" w:space="0" w:color="auto"/>
            <w:right w:val="none" w:sz="0" w:space="0" w:color="auto"/>
          </w:divBdr>
        </w:div>
        <w:div w:id="968123718">
          <w:marLeft w:val="0"/>
          <w:marRight w:val="0"/>
          <w:marTop w:val="0"/>
          <w:marBottom w:val="0"/>
          <w:divBdr>
            <w:top w:val="none" w:sz="0" w:space="0" w:color="auto"/>
            <w:left w:val="none" w:sz="0" w:space="0" w:color="auto"/>
            <w:bottom w:val="none" w:sz="0" w:space="0" w:color="auto"/>
            <w:right w:val="none" w:sz="0" w:space="0" w:color="auto"/>
          </w:divBdr>
        </w:div>
        <w:div w:id="1460689803">
          <w:marLeft w:val="0"/>
          <w:marRight w:val="0"/>
          <w:marTop w:val="0"/>
          <w:marBottom w:val="0"/>
          <w:divBdr>
            <w:top w:val="none" w:sz="0" w:space="0" w:color="auto"/>
            <w:left w:val="none" w:sz="0" w:space="0" w:color="auto"/>
            <w:bottom w:val="none" w:sz="0" w:space="0" w:color="auto"/>
            <w:right w:val="none" w:sz="0" w:space="0" w:color="auto"/>
          </w:divBdr>
        </w:div>
        <w:div w:id="2098672856">
          <w:marLeft w:val="0"/>
          <w:marRight w:val="0"/>
          <w:marTop w:val="0"/>
          <w:marBottom w:val="0"/>
          <w:divBdr>
            <w:top w:val="none" w:sz="0" w:space="0" w:color="auto"/>
            <w:left w:val="none" w:sz="0" w:space="0" w:color="auto"/>
            <w:bottom w:val="none" w:sz="0" w:space="0" w:color="auto"/>
            <w:right w:val="none" w:sz="0" w:space="0" w:color="auto"/>
          </w:divBdr>
        </w:div>
        <w:div w:id="1472407050">
          <w:marLeft w:val="0"/>
          <w:marRight w:val="0"/>
          <w:marTop w:val="0"/>
          <w:marBottom w:val="0"/>
          <w:divBdr>
            <w:top w:val="none" w:sz="0" w:space="0" w:color="auto"/>
            <w:left w:val="none" w:sz="0" w:space="0" w:color="auto"/>
            <w:bottom w:val="none" w:sz="0" w:space="0" w:color="auto"/>
            <w:right w:val="none" w:sz="0" w:space="0" w:color="auto"/>
          </w:divBdr>
        </w:div>
        <w:div w:id="1916354060">
          <w:marLeft w:val="0"/>
          <w:marRight w:val="0"/>
          <w:marTop w:val="0"/>
          <w:marBottom w:val="0"/>
          <w:divBdr>
            <w:top w:val="none" w:sz="0" w:space="0" w:color="auto"/>
            <w:left w:val="none" w:sz="0" w:space="0" w:color="auto"/>
            <w:bottom w:val="none" w:sz="0" w:space="0" w:color="auto"/>
            <w:right w:val="none" w:sz="0" w:space="0" w:color="auto"/>
          </w:divBdr>
        </w:div>
        <w:div w:id="2092771789">
          <w:marLeft w:val="0"/>
          <w:marRight w:val="0"/>
          <w:marTop w:val="0"/>
          <w:marBottom w:val="0"/>
          <w:divBdr>
            <w:top w:val="none" w:sz="0" w:space="0" w:color="auto"/>
            <w:left w:val="none" w:sz="0" w:space="0" w:color="auto"/>
            <w:bottom w:val="none" w:sz="0" w:space="0" w:color="auto"/>
            <w:right w:val="none" w:sz="0" w:space="0" w:color="auto"/>
          </w:divBdr>
        </w:div>
        <w:div w:id="1040740658">
          <w:marLeft w:val="0"/>
          <w:marRight w:val="0"/>
          <w:marTop w:val="0"/>
          <w:marBottom w:val="0"/>
          <w:divBdr>
            <w:top w:val="none" w:sz="0" w:space="0" w:color="auto"/>
            <w:left w:val="none" w:sz="0" w:space="0" w:color="auto"/>
            <w:bottom w:val="none" w:sz="0" w:space="0" w:color="auto"/>
            <w:right w:val="none" w:sz="0" w:space="0" w:color="auto"/>
          </w:divBdr>
        </w:div>
        <w:div w:id="1055545958">
          <w:marLeft w:val="0"/>
          <w:marRight w:val="0"/>
          <w:marTop w:val="0"/>
          <w:marBottom w:val="0"/>
          <w:divBdr>
            <w:top w:val="none" w:sz="0" w:space="0" w:color="auto"/>
            <w:left w:val="none" w:sz="0" w:space="0" w:color="auto"/>
            <w:bottom w:val="none" w:sz="0" w:space="0" w:color="auto"/>
            <w:right w:val="none" w:sz="0" w:space="0" w:color="auto"/>
          </w:divBdr>
        </w:div>
        <w:div w:id="422260716">
          <w:marLeft w:val="0"/>
          <w:marRight w:val="0"/>
          <w:marTop w:val="0"/>
          <w:marBottom w:val="0"/>
          <w:divBdr>
            <w:top w:val="none" w:sz="0" w:space="0" w:color="auto"/>
            <w:left w:val="none" w:sz="0" w:space="0" w:color="auto"/>
            <w:bottom w:val="none" w:sz="0" w:space="0" w:color="auto"/>
            <w:right w:val="none" w:sz="0" w:space="0" w:color="auto"/>
          </w:divBdr>
        </w:div>
        <w:div w:id="2130470918">
          <w:marLeft w:val="0"/>
          <w:marRight w:val="0"/>
          <w:marTop w:val="0"/>
          <w:marBottom w:val="0"/>
          <w:divBdr>
            <w:top w:val="none" w:sz="0" w:space="0" w:color="auto"/>
            <w:left w:val="none" w:sz="0" w:space="0" w:color="auto"/>
            <w:bottom w:val="none" w:sz="0" w:space="0" w:color="auto"/>
            <w:right w:val="none" w:sz="0" w:space="0" w:color="auto"/>
          </w:divBdr>
        </w:div>
      </w:divsChild>
    </w:div>
    <w:div w:id="1437628931">
      <w:bodyDiv w:val="1"/>
      <w:marLeft w:val="0"/>
      <w:marRight w:val="0"/>
      <w:marTop w:val="0"/>
      <w:marBottom w:val="0"/>
      <w:divBdr>
        <w:top w:val="none" w:sz="0" w:space="0" w:color="auto"/>
        <w:left w:val="none" w:sz="0" w:space="0" w:color="auto"/>
        <w:bottom w:val="none" w:sz="0" w:space="0" w:color="auto"/>
        <w:right w:val="none" w:sz="0" w:space="0" w:color="auto"/>
      </w:divBdr>
      <w:divsChild>
        <w:div w:id="1096755888">
          <w:marLeft w:val="0"/>
          <w:marRight w:val="0"/>
          <w:marTop w:val="0"/>
          <w:marBottom w:val="0"/>
          <w:divBdr>
            <w:top w:val="none" w:sz="0" w:space="0" w:color="auto"/>
            <w:left w:val="none" w:sz="0" w:space="0" w:color="auto"/>
            <w:bottom w:val="none" w:sz="0" w:space="0" w:color="auto"/>
            <w:right w:val="none" w:sz="0" w:space="0" w:color="auto"/>
          </w:divBdr>
        </w:div>
        <w:div w:id="1107041548">
          <w:marLeft w:val="0"/>
          <w:marRight w:val="0"/>
          <w:marTop w:val="0"/>
          <w:marBottom w:val="0"/>
          <w:divBdr>
            <w:top w:val="none" w:sz="0" w:space="0" w:color="auto"/>
            <w:left w:val="none" w:sz="0" w:space="0" w:color="auto"/>
            <w:bottom w:val="none" w:sz="0" w:space="0" w:color="auto"/>
            <w:right w:val="none" w:sz="0" w:space="0" w:color="auto"/>
          </w:divBdr>
        </w:div>
        <w:div w:id="1602685681">
          <w:marLeft w:val="0"/>
          <w:marRight w:val="0"/>
          <w:marTop w:val="0"/>
          <w:marBottom w:val="0"/>
          <w:divBdr>
            <w:top w:val="none" w:sz="0" w:space="0" w:color="auto"/>
            <w:left w:val="none" w:sz="0" w:space="0" w:color="auto"/>
            <w:bottom w:val="none" w:sz="0" w:space="0" w:color="auto"/>
            <w:right w:val="none" w:sz="0" w:space="0" w:color="auto"/>
          </w:divBdr>
        </w:div>
      </w:divsChild>
    </w:div>
    <w:div w:id="1490554734">
      <w:bodyDiv w:val="1"/>
      <w:marLeft w:val="0"/>
      <w:marRight w:val="0"/>
      <w:marTop w:val="0"/>
      <w:marBottom w:val="0"/>
      <w:divBdr>
        <w:top w:val="none" w:sz="0" w:space="0" w:color="auto"/>
        <w:left w:val="none" w:sz="0" w:space="0" w:color="auto"/>
        <w:bottom w:val="none" w:sz="0" w:space="0" w:color="auto"/>
        <w:right w:val="none" w:sz="0" w:space="0" w:color="auto"/>
      </w:divBdr>
      <w:divsChild>
        <w:div w:id="2121409289">
          <w:marLeft w:val="0"/>
          <w:marRight w:val="0"/>
          <w:marTop w:val="0"/>
          <w:marBottom w:val="0"/>
          <w:divBdr>
            <w:top w:val="none" w:sz="0" w:space="0" w:color="auto"/>
            <w:left w:val="none" w:sz="0" w:space="0" w:color="auto"/>
            <w:bottom w:val="none" w:sz="0" w:space="0" w:color="auto"/>
            <w:right w:val="none" w:sz="0" w:space="0" w:color="auto"/>
          </w:divBdr>
        </w:div>
        <w:div w:id="744574633">
          <w:marLeft w:val="0"/>
          <w:marRight w:val="0"/>
          <w:marTop w:val="0"/>
          <w:marBottom w:val="0"/>
          <w:divBdr>
            <w:top w:val="none" w:sz="0" w:space="0" w:color="auto"/>
            <w:left w:val="none" w:sz="0" w:space="0" w:color="auto"/>
            <w:bottom w:val="none" w:sz="0" w:space="0" w:color="auto"/>
            <w:right w:val="none" w:sz="0" w:space="0" w:color="auto"/>
          </w:divBdr>
        </w:div>
      </w:divsChild>
    </w:div>
    <w:div w:id="1528640177">
      <w:bodyDiv w:val="1"/>
      <w:marLeft w:val="0"/>
      <w:marRight w:val="0"/>
      <w:marTop w:val="0"/>
      <w:marBottom w:val="0"/>
      <w:divBdr>
        <w:top w:val="none" w:sz="0" w:space="0" w:color="auto"/>
        <w:left w:val="none" w:sz="0" w:space="0" w:color="auto"/>
        <w:bottom w:val="none" w:sz="0" w:space="0" w:color="auto"/>
        <w:right w:val="none" w:sz="0" w:space="0" w:color="auto"/>
      </w:divBdr>
    </w:div>
    <w:div w:id="1553424092">
      <w:bodyDiv w:val="1"/>
      <w:marLeft w:val="0"/>
      <w:marRight w:val="0"/>
      <w:marTop w:val="0"/>
      <w:marBottom w:val="0"/>
      <w:divBdr>
        <w:top w:val="none" w:sz="0" w:space="0" w:color="auto"/>
        <w:left w:val="none" w:sz="0" w:space="0" w:color="auto"/>
        <w:bottom w:val="none" w:sz="0" w:space="0" w:color="auto"/>
        <w:right w:val="none" w:sz="0" w:space="0" w:color="auto"/>
      </w:divBdr>
    </w:div>
    <w:div w:id="1623078762">
      <w:bodyDiv w:val="1"/>
      <w:marLeft w:val="0"/>
      <w:marRight w:val="0"/>
      <w:marTop w:val="0"/>
      <w:marBottom w:val="0"/>
      <w:divBdr>
        <w:top w:val="none" w:sz="0" w:space="0" w:color="auto"/>
        <w:left w:val="none" w:sz="0" w:space="0" w:color="auto"/>
        <w:bottom w:val="none" w:sz="0" w:space="0" w:color="auto"/>
        <w:right w:val="none" w:sz="0" w:space="0" w:color="auto"/>
      </w:divBdr>
    </w:div>
    <w:div w:id="1648389110">
      <w:bodyDiv w:val="1"/>
      <w:marLeft w:val="0"/>
      <w:marRight w:val="0"/>
      <w:marTop w:val="0"/>
      <w:marBottom w:val="0"/>
      <w:divBdr>
        <w:top w:val="none" w:sz="0" w:space="0" w:color="auto"/>
        <w:left w:val="none" w:sz="0" w:space="0" w:color="auto"/>
        <w:bottom w:val="none" w:sz="0" w:space="0" w:color="auto"/>
        <w:right w:val="none" w:sz="0" w:space="0" w:color="auto"/>
      </w:divBdr>
      <w:divsChild>
        <w:div w:id="929699304">
          <w:marLeft w:val="0"/>
          <w:marRight w:val="0"/>
          <w:marTop w:val="0"/>
          <w:marBottom w:val="0"/>
          <w:divBdr>
            <w:top w:val="none" w:sz="0" w:space="0" w:color="auto"/>
            <w:left w:val="none" w:sz="0" w:space="0" w:color="auto"/>
            <w:bottom w:val="none" w:sz="0" w:space="0" w:color="auto"/>
            <w:right w:val="none" w:sz="0" w:space="0" w:color="auto"/>
          </w:divBdr>
        </w:div>
        <w:div w:id="71898108">
          <w:marLeft w:val="0"/>
          <w:marRight w:val="0"/>
          <w:marTop w:val="0"/>
          <w:marBottom w:val="0"/>
          <w:divBdr>
            <w:top w:val="none" w:sz="0" w:space="0" w:color="auto"/>
            <w:left w:val="none" w:sz="0" w:space="0" w:color="auto"/>
            <w:bottom w:val="none" w:sz="0" w:space="0" w:color="auto"/>
            <w:right w:val="none" w:sz="0" w:space="0" w:color="auto"/>
          </w:divBdr>
        </w:div>
        <w:div w:id="1239822158">
          <w:marLeft w:val="0"/>
          <w:marRight w:val="0"/>
          <w:marTop w:val="0"/>
          <w:marBottom w:val="0"/>
          <w:divBdr>
            <w:top w:val="none" w:sz="0" w:space="0" w:color="auto"/>
            <w:left w:val="none" w:sz="0" w:space="0" w:color="auto"/>
            <w:bottom w:val="none" w:sz="0" w:space="0" w:color="auto"/>
            <w:right w:val="none" w:sz="0" w:space="0" w:color="auto"/>
          </w:divBdr>
        </w:div>
      </w:divsChild>
    </w:div>
    <w:div w:id="1658220346">
      <w:bodyDiv w:val="1"/>
      <w:marLeft w:val="0"/>
      <w:marRight w:val="0"/>
      <w:marTop w:val="0"/>
      <w:marBottom w:val="0"/>
      <w:divBdr>
        <w:top w:val="none" w:sz="0" w:space="0" w:color="auto"/>
        <w:left w:val="none" w:sz="0" w:space="0" w:color="auto"/>
        <w:bottom w:val="none" w:sz="0" w:space="0" w:color="auto"/>
        <w:right w:val="none" w:sz="0" w:space="0" w:color="auto"/>
      </w:divBdr>
    </w:div>
    <w:div w:id="1661275878">
      <w:bodyDiv w:val="1"/>
      <w:marLeft w:val="0"/>
      <w:marRight w:val="0"/>
      <w:marTop w:val="0"/>
      <w:marBottom w:val="0"/>
      <w:divBdr>
        <w:top w:val="none" w:sz="0" w:space="0" w:color="auto"/>
        <w:left w:val="none" w:sz="0" w:space="0" w:color="auto"/>
        <w:bottom w:val="none" w:sz="0" w:space="0" w:color="auto"/>
        <w:right w:val="none" w:sz="0" w:space="0" w:color="auto"/>
      </w:divBdr>
    </w:div>
    <w:div w:id="1663776698">
      <w:bodyDiv w:val="1"/>
      <w:marLeft w:val="0"/>
      <w:marRight w:val="0"/>
      <w:marTop w:val="0"/>
      <w:marBottom w:val="0"/>
      <w:divBdr>
        <w:top w:val="none" w:sz="0" w:space="0" w:color="auto"/>
        <w:left w:val="none" w:sz="0" w:space="0" w:color="auto"/>
        <w:bottom w:val="none" w:sz="0" w:space="0" w:color="auto"/>
        <w:right w:val="none" w:sz="0" w:space="0" w:color="auto"/>
      </w:divBdr>
    </w:div>
    <w:div w:id="1674793467">
      <w:bodyDiv w:val="1"/>
      <w:marLeft w:val="0"/>
      <w:marRight w:val="0"/>
      <w:marTop w:val="0"/>
      <w:marBottom w:val="0"/>
      <w:divBdr>
        <w:top w:val="none" w:sz="0" w:space="0" w:color="auto"/>
        <w:left w:val="none" w:sz="0" w:space="0" w:color="auto"/>
        <w:bottom w:val="none" w:sz="0" w:space="0" w:color="auto"/>
        <w:right w:val="none" w:sz="0" w:space="0" w:color="auto"/>
      </w:divBdr>
      <w:divsChild>
        <w:div w:id="688457154">
          <w:marLeft w:val="0"/>
          <w:marRight w:val="0"/>
          <w:marTop w:val="0"/>
          <w:marBottom w:val="0"/>
          <w:divBdr>
            <w:top w:val="none" w:sz="0" w:space="0" w:color="auto"/>
            <w:left w:val="none" w:sz="0" w:space="0" w:color="auto"/>
            <w:bottom w:val="none" w:sz="0" w:space="0" w:color="auto"/>
            <w:right w:val="none" w:sz="0" w:space="0" w:color="auto"/>
          </w:divBdr>
        </w:div>
        <w:div w:id="1563249478">
          <w:marLeft w:val="0"/>
          <w:marRight w:val="0"/>
          <w:marTop w:val="0"/>
          <w:marBottom w:val="0"/>
          <w:divBdr>
            <w:top w:val="none" w:sz="0" w:space="0" w:color="auto"/>
            <w:left w:val="none" w:sz="0" w:space="0" w:color="auto"/>
            <w:bottom w:val="none" w:sz="0" w:space="0" w:color="auto"/>
            <w:right w:val="none" w:sz="0" w:space="0" w:color="auto"/>
          </w:divBdr>
        </w:div>
      </w:divsChild>
    </w:div>
    <w:div w:id="1748921244">
      <w:bodyDiv w:val="1"/>
      <w:marLeft w:val="0"/>
      <w:marRight w:val="0"/>
      <w:marTop w:val="0"/>
      <w:marBottom w:val="0"/>
      <w:divBdr>
        <w:top w:val="none" w:sz="0" w:space="0" w:color="auto"/>
        <w:left w:val="none" w:sz="0" w:space="0" w:color="auto"/>
        <w:bottom w:val="none" w:sz="0" w:space="0" w:color="auto"/>
        <w:right w:val="none" w:sz="0" w:space="0" w:color="auto"/>
      </w:divBdr>
      <w:divsChild>
        <w:div w:id="353729086">
          <w:marLeft w:val="0"/>
          <w:marRight w:val="0"/>
          <w:marTop w:val="0"/>
          <w:marBottom w:val="0"/>
          <w:divBdr>
            <w:top w:val="none" w:sz="0" w:space="0" w:color="auto"/>
            <w:left w:val="none" w:sz="0" w:space="0" w:color="auto"/>
            <w:bottom w:val="none" w:sz="0" w:space="0" w:color="auto"/>
            <w:right w:val="none" w:sz="0" w:space="0" w:color="auto"/>
          </w:divBdr>
        </w:div>
        <w:div w:id="1003825588">
          <w:marLeft w:val="0"/>
          <w:marRight w:val="0"/>
          <w:marTop w:val="0"/>
          <w:marBottom w:val="0"/>
          <w:divBdr>
            <w:top w:val="none" w:sz="0" w:space="0" w:color="auto"/>
            <w:left w:val="none" w:sz="0" w:space="0" w:color="auto"/>
            <w:bottom w:val="none" w:sz="0" w:space="0" w:color="auto"/>
            <w:right w:val="none" w:sz="0" w:space="0" w:color="auto"/>
          </w:divBdr>
        </w:div>
      </w:divsChild>
    </w:div>
    <w:div w:id="1758166945">
      <w:bodyDiv w:val="1"/>
      <w:marLeft w:val="0"/>
      <w:marRight w:val="0"/>
      <w:marTop w:val="0"/>
      <w:marBottom w:val="0"/>
      <w:divBdr>
        <w:top w:val="none" w:sz="0" w:space="0" w:color="auto"/>
        <w:left w:val="none" w:sz="0" w:space="0" w:color="auto"/>
        <w:bottom w:val="none" w:sz="0" w:space="0" w:color="auto"/>
        <w:right w:val="none" w:sz="0" w:space="0" w:color="auto"/>
      </w:divBdr>
      <w:divsChild>
        <w:div w:id="1570723145">
          <w:marLeft w:val="0"/>
          <w:marRight w:val="0"/>
          <w:marTop w:val="0"/>
          <w:marBottom w:val="0"/>
          <w:divBdr>
            <w:top w:val="none" w:sz="0" w:space="0" w:color="auto"/>
            <w:left w:val="none" w:sz="0" w:space="0" w:color="auto"/>
            <w:bottom w:val="none" w:sz="0" w:space="0" w:color="auto"/>
            <w:right w:val="none" w:sz="0" w:space="0" w:color="auto"/>
          </w:divBdr>
          <w:divsChild>
            <w:div w:id="294217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512757">
      <w:bodyDiv w:val="1"/>
      <w:marLeft w:val="0"/>
      <w:marRight w:val="0"/>
      <w:marTop w:val="0"/>
      <w:marBottom w:val="0"/>
      <w:divBdr>
        <w:top w:val="none" w:sz="0" w:space="0" w:color="auto"/>
        <w:left w:val="none" w:sz="0" w:space="0" w:color="auto"/>
        <w:bottom w:val="none" w:sz="0" w:space="0" w:color="auto"/>
        <w:right w:val="none" w:sz="0" w:space="0" w:color="auto"/>
      </w:divBdr>
    </w:div>
    <w:div w:id="1810978799">
      <w:bodyDiv w:val="1"/>
      <w:marLeft w:val="0"/>
      <w:marRight w:val="0"/>
      <w:marTop w:val="0"/>
      <w:marBottom w:val="0"/>
      <w:divBdr>
        <w:top w:val="none" w:sz="0" w:space="0" w:color="auto"/>
        <w:left w:val="none" w:sz="0" w:space="0" w:color="auto"/>
        <w:bottom w:val="none" w:sz="0" w:space="0" w:color="auto"/>
        <w:right w:val="none" w:sz="0" w:space="0" w:color="auto"/>
      </w:divBdr>
    </w:div>
    <w:div w:id="1827739333">
      <w:bodyDiv w:val="1"/>
      <w:marLeft w:val="0"/>
      <w:marRight w:val="0"/>
      <w:marTop w:val="0"/>
      <w:marBottom w:val="0"/>
      <w:divBdr>
        <w:top w:val="none" w:sz="0" w:space="0" w:color="auto"/>
        <w:left w:val="none" w:sz="0" w:space="0" w:color="auto"/>
        <w:bottom w:val="none" w:sz="0" w:space="0" w:color="auto"/>
        <w:right w:val="none" w:sz="0" w:space="0" w:color="auto"/>
      </w:divBdr>
      <w:divsChild>
        <w:div w:id="268003543">
          <w:marLeft w:val="0"/>
          <w:marRight w:val="0"/>
          <w:marTop w:val="0"/>
          <w:marBottom w:val="0"/>
          <w:divBdr>
            <w:top w:val="none" w:sz="0" w:space="0" w:color="auto"/>
            <w:left w:val="none" w:sz="0" w:space="0" w:color="auto"/>
            <w:bottom w:val="none" w:sz="0" w:space="0" w:color="auto"/>
            <w:right w:val="none" w:sz="0" w:space="0" w:color="auto"/>
          </w:divBdr>
        </w:div>
        <w:div w:id="613945441">
          <w:marLeft w:val="0"/>
          <w:marRight w:val="0"/>
          <w:marTop w:val="0"/>
          <w:marBottom w:val="0"/>
          <w:divBdr>
            <w:top w:val="none" w:sz="0" w:space="0" w:color="auto"/>
            <w:left w:val="none" w:sz="0" w:space="0" w:color="auto"/>
            <w:bottom w:val="none" w:sz="0" w:space="0" w:color="auto"/>
            <w:right w:val="none" w:sz="0" w:space="0" w:color="auto"/>
          </w:divBdr>
        </w:div>
      </w:divsChild>
    </w:div>
    <w:div w:id="1836990112">
      <w:bodyDiv w:val="1"/>
      <w:marLeft w:val="0"/>
      <w:marRight w:val="0"/>
      <w:marTop w:val="0"/>
      <w:marBottom w:val="0"/>
      <w:divBdr>
        <w:top w:val="none" w:sz="0" w:space="0" w:color="auto"/>
        <w:left w:val="none" w:sz="0" w:space="0" w:color="auto"/>
        <w:bottom w:val="none" w:sz="0" w:space="0" w:color="auto"/>
        <w:right w:val="none" w:sz="0" w:space="0" w:color="auto"/>
      </w:divBdr>
    </w:div>
    <w:div w:id="1841506630">
      <w:bodyDiv w:val="1"/>
      <w:marLeft w:val="0"/>
      <w:marRight w:val="0"/>
      <w:marTop w:val="0"/>
      <w:marBottom w:val="0"/>
      <w:divBdr>
        <w:top w:val="none" w:sz="0" w:space="0" w:color="auto"/>
        <w:left w:val="none" w:sz="0" w:space="0" w:color="auto"/>
        <w:bottom w:val="none" w:sz="0" w:space="0" w:color="auto"/>
        <w:right w:val="none" w:sz="0" w:space="0" w:color="auto"/>
      </w:divBdr>
    </w:div>
    <w:div w:id="1848129926">
      <w:bodyDiv w:val="1"/>
      <w:marLeft w:val="0"/>
      <w:marRight w:val="0"/>
      <w:marTop w:val="0"/>
      <w:marBottom w:val="0"/>
      <w:divBdr>
        <w:top w:val="none" w:sz="0" w:space="0" w:color="auto"/>
        <w:left w:val="none" w:sz="0" w:space="0" w:color="auto"/>
        <w:bottom w:val="none" w:sz="0" w:space="0" w:color="auto"/>
        <w:right w:val="none" w:sz="0" w:space="0" w:color="auto"/>
      </w:divBdr>
      <w:divsChild>
        <w:div w:id="1615942413">
          <w:marLeft w:val="0"/>
          <w:marRight w:val="0"/>
          <w:marTop w:val="0"/>
          <w:marBottom w:val="0"/>
          <w:divBdr>
            <w:top w:val="none" w:sz="0" w:space="0" w:color="auto"/>
            <w:left w:val="none" w:sz="0" w:space="0" w:color="auto"/>
            <w:bottom w:val="none" w:sz="0" w:space="0" w:color="auto"/>
            <w:right w:val="none" w:sz="0" w:space="0" w:color="auto"/>
          </w:divBdr>
        </w:div>
        <w:div w:id="941063940">
          <w:marLeft w:val="0"/>
          <w:marRight w:val="0"/>
          <w:marTop w:val="0"/>
          <w:marBottom w:val="0"/>
          <w:divBdr>
            <w:top w:val="none" w:sz="0" w:space="0" w:color="auto"/>
            <w:left w:val="none" w:sz="0" w:space="0" w:color="auto"/>
            <w:bottom w:val="none" w:sz="0" w:space="0" w:color="auto"/>
            <w:right w:val="none" w:sz="0" w:space="0" w:color="auto"/>
          </w:divBdr>
        </w:div>
      </w:divsChild>
    </w:div>
    <w:div w:id="1890994779">
      <w:bodyDiv w:val="1"/>
      <w:marLeft w:val="0"/>
      <w:marRight w:val="0"/>
      <w:marTop w:val="0"/>
      <w:marBottom w:val="0"/>
      <w:divBdr>
        <w:top w:val="none" w:sz="0" w:space="0" w:color="auto"/>
        <w:left w:val="none" w:sz="0" w:space="0" w:color="auto"/>
        <w:bottom w:val="none" w:sz="0" w:space="0" w:color="auto"/>
        <w:right w:val="none" w:sz="0" w:space="0" w:color="auto"/>
      </w:divBdr>
      <w:divsChild>
        <w:div w:id="1223249165">
          <w:marLeft w:val="0"/>
          <w:marRight w:val="0"/>
          <w:marTop w:val="0"/>
          <w:marBottom w:val="0"/>
          <w:divBdr>
            <w:top w:val="none" w:sz="0" w:space="0" w:color="auto"/>
            <w:left w:val="none" w:sz="0" w:space="0" w:color="auto"/>
            <w:bottom w:val="none" w:sz="0" w:space="0" w:color="auto"/>
            <w:right w:val="none" w:sz="0" w:space="0" w:color="auto"/>
          </w:divBdr>
        </w:div>
        <w:div w:id="2095009833">
          <w:marLeft w:val="0"/>
          <w:marRight w:val="0"/>
          <w:marTop w:val="0"/>
          <w:marBottom w:val="0"/>
          <w:divBdr>
            <w:top w:val="none" w:sz="0" w:space="0" w:color="auto"/>
            <w:left w:val="none" w:sz="0" w:space="0" w:color="auto"/>
            <w:bottom w:val="none" w:sz="0" w:space="0" w:color="auto"/>
            <w:right w:val="none" w:sz="0" w:space="0" w:color="auto"/>
          </w:divBdr>
        </w:div>
        <w:div w:id="1641810644">
          <w:marLeft w:val="0"/>
          <w:marRight w:val="0"/>
          <w:marTop w:val="0"/>
          <w:marBottom w:val="0"/>
          <w:divBdr>
            <w:top w:val="none" w:sz="0" w:space="0" w:color="auto"/>
            <w:left w:val="none" w:sz="0" w:space="0" w:color="auto"/>
            <w:bottom w:val="none" w:sz="0" w:space="0" w:color="auto"/>
            <w:right w:val="none" w:sz="0" w:space="0" w:color="auto"/>
          </w:divBdr>
        </w:div>
        <w:div w:id="1892766799">
          <w:marLeft w:val="0"/>
          <w:marRight w:val="0"/>
          <w:marTop w:val="0"/>
          <w:marBottom w:val="0"/>
          <w:divBdr>
            <w:top w:val="none" w:sz="0" w:space="0" w:color="auto"/>
            <w:left w:val="none" w:sz="0" w:space="0" w:color="auto"/>
            <w:bottom w:val="none" w:sz="0" w:space="0" w:color="auto"/>
            <w:right w:val="none" w:sz="0" w:space="0" w:color="auto"/>
          </w:divBdr>
        </w:div>
      </w:divsChild>
    </w:div>
    <w:div w:id="1900440315">
      <w:bodyDiv w:val="1"/>
      <w:marLeft w:val="0"/>
      <w:marRight w:val="0"/>
      <w:marTop w:val="0"/>
      <w:marBottom w:val="0"/>
      <w:divBdr>
        <w:top w:val="none" w:sz="0" w:space="0" w:color="auto"/>
        <w:left w:val="none" w:sz="0" w:space="0" w:color="auto"/>
        <w:bottom w:val="none" w:sz="0" w:space="0" w:color="auto"/>
        <w:right w:val="none" w:sz="0" w:space="0" w:color="auto"/>
      </w:divBdr>
    </w:div>
    <w:div w:id="1938246571">
      <w:bodyDiv w:val="1"/>
      <w:marLeft w:val="0"/>
      <w:marRight w:val="0"/>
      <w:marTop w:val="0"/>
      <w:marBottom w:val="0"/>
      <w:divBdr>
        <w:top w:val="none" w:sz="0" w:space="0" w:color="auto"/>
        <w:left w:val="none" w:sz="0" w:space="0" w:color="auto"/>
        <w:bottom w:val="none" w:sz="0" w:space="0" w:color="auto"/>
        <w:right w:val="none" w:sz="0" w:space="0" w:color="auto"/>
      </w:divBdr>
    </w:div>
    <w:div w:id="1961834203">
      <w:bodyDiv w:val="1"/>
      <w:marLeft w:val="0"/>
      <w:marRight w:val="0"/>
      <w:marTop w:val="0"/>
      <w:marBottom w:val="0"/>
      <w:divBdr>
        <w:top w:val="none" w:sz="0" w:space="0" w:color="auto"/>
        <w:left w:val="none" w:sz="0" w:space="0" w:color="auto"/>
        <w:bottom w:val="none" w:sz="0" w:space="0" w:color="auto"/>
        <w:right w:val="none" w:sz="0" w:space="0" w:color="auto"/>
      </w:divBdr>
      <w:divsChild>
        <w:div w:id="480972214">
          <w:marLeft w:val="0"/>
          <w:marRight w:val="0"/>
          <w:marTop w:val="0"/>
          <w:marBottom w:val="0"/>
          <w:divBdr>
            <w:top w:val="none" w:sz="0" w:space="0" w:color="auto"/>
            <w:left w:val="none" w:sz="0" w:space="0" w:color="auto"/>
            <w:bottom w:val="none" w:sz="0" w:space="0" w:color="auto"/>
            <w:right w:val="none" w:sz="0" w:space="0" w:color="auto"/>
          </w:divBdr>
        </w:div>
        <w:div w:id="188954403">
          <w:marLeft w:val="0"/>
          <w:marRight w:val="0"/>
          <w:marTop w:val="0"/>
          <w:marBottom w:val="0"/>
          <w:divBdr>
            <w:top w:val="none" w:sz="0" w:space="0" w:color="auto"/>
            <w:left w:val="none" w:sz="0" w:space="0" w:color="auto"/>
            <w:bottom w:val="none" w:sz="0" w:space="0" w:color="auto"/>
            <w:right w:val="none" w:sz="0" w:space="0" w:color="auto"/>
          </w:divBdr>
        </w:div>
        <w:div w:id="1529947205">
          <w:marLeft w:val="0"/>
          <w:marRight w:val="0"/>
          <w:marTop w:val="0"/>
          <w:marBottom w:val="0"/>
          <w:divBdr>
            <w:top w:val="none" w:sz="0" w:space="0" w:color="auto"/>
            <w:left w:val="none" w:sz="0" w:space="0" w:color="auto"/>
            <w:bottom w:val="none" w:sz="0" w:space="0" w:color="auto"/>
            <w:right w:val="none" w:sz="0" w:space="0" w:color="auto"/>
          </w:divBdr>
        </w:div>
      </w:divsChild>
    </w:div>
    <w:div w:id="1980963557">
      <w:bodyDiv w:val="1"/>
      <w:marLeft w:val="0"/>
      <w:marRight w:val="0"/>
      <w:marTop w:val="0"/>
      <w:marBottom w:val="0"/>
      <w:divBdr>
        <w:top w:val="none" w:sz="0" w:space="0" w:color="auto"/>
        <w:left w:val="none" w:sz="0" w:space="0" w:color="auto"/>
        <w:bottom w:val="none" w:sz="0" w:space="0" w:color="auto"/>
        <w:right w:val="none" w:sz="0" w:space="0" w:color="auto"/>
      </w:divBdr>
    </w:div>
    <w:div w:id="2023434564">
      <w:bodyDiv w:val="1"/>
      <w:marLeft w:val="0"/>
      <w:marRight w:val="0"/>
      <w:marTop w:val="0"/>
      <w:marBottom w:val="0"/>
      <w:divBdr>
        <w:top w:val="none" w:sz="0" w:space="0" w:color="auto"/>
        <w:left w:val="none" w:sz="0" w:space="0" w:color="auto"/>
        <w:bottom w:val="none" w:sz="0" w:space="0" w:color="auto"/>
        <w:right w:val="none" w:sz="0" w:space="0" w:color="auto"/>
      </w:divBdr>
    </w:div>
    <w:div w:id="2027825117">
      <w:bodyDiv w:val="1"/>
      <w:marLeft w:val="0"/>
      <w:marRight w:val="0"/>
      <w:marTop w:val="0"/>
      <w:marBottom w:val="0"/>
      <w:divBdr>
        <w:top w:val="none" w:sz="0" w:space="0" w:color="auto"/>
        <w:left w:val="none" w:sz="0" w:space="0" w:color="auto"/>
        <w:bottom w:val="none" w:sz="0" w:space="0" w:color="auto"/>
        <w:right w:val="none" w:sz="0" w:space="0" w:color="auto"/>
      </w:divBdr>
    </w:div>
    <w:div w:id="2064211403">
      <w:bodyDiv w:val="1"/>
      <w:marLeft w:val="0"/>
      <w:marRight w:val="0"/>
      <w:marTop w:val="0"/>
      <w:marBottom w:val="0"/>
      <w:divBdr>
        <w:top w:val="none" w:sz="0" w:space="0" w:color="auto"/>
        <w:left w:val="none" w:sz="0" w:space="0" w:color="auto"/>
        <w:bottom w:val="none" w:sz="0" w:space="0" w:color="auto"/>
        <w:right w:val="none" w:sz="0" w:space="0" w:color="auto"/>
      </w:divBdr>
      <w:divsChild>
        <w:div w:id="1874537492">
          <w:marLeft w:val="0"/>
          <w:marRight w:val="0"/>
          <w:marTop w:val="0"/>
          <w:marBottom w:val="0"/>
          <w:divBdr>
            <w:top w:val="none" w:sz="0" w:space="0" w:color="auto"/>
            <w:left w:val="none" w:sz="0" w:space="0" w:color="auto"/>
            <w:bottom w:val="none" w:sz="0" w:space="0" w:color="auto"/>
            <w:right w:val="none" w:sz="0" w:space="0" w:color="auto"/>
          </w:divBdr>
        </w:div>
        <w:div w:id="477378884">
          <w:marLeft w:val="0"/>
          <w:marRight w:val="0"/>
          <w:marTop w:val="0"/>
          <w:marBottom w:val="0"/>
          <w:divBdr>
            <w:top w:val="none" w:sz="0" w:space="0" w:color="auto"/>
            <w:left w:val="none" w:sz="0" w:space="0" w:color="auto"/>
            <w:bottom w:val="none" w:sz="0" w:space="0" w:color="auto"/>
            <w:right w:val="none" w:sz="0" w:space="0" w:color="auto"/>
          </w:divBdr>
        </w:div>
      </w:divsChild>
    </w:div>
    <w:div w:id="2141342483">
      <w:bodyDiv w:val="1"/>
      <w:marLeft w:val="0"/>
      <w:marRight w:val="0"/>
      <w:marTop w:val="0"/>
      <w:marBottom w:val="0"/>
      <w:divBdr>
        <w:top w:val="none" w:sz="0" w:space="0" w:color="auto"/>
        <w:left w:val="none" w:sz="0" w:space="0" w:color="auto"/>
        <w:bottom w:val="none" w:sz="0" w:space="0" w:color="auto"/>
        <w:right w:val="none" w:sz="0" w:space="0" w:color="auto"/>
      </w:divBdr>
    </w:div>
    <w:div w:id="2142533365">
      <w:bodyDiv w:val="1"/>
      <w:marLeft w:val="0"/>
      <w:marRight w:val="0"/>
      <w:marTop w:val="0"/>
      <w:marBottom w:val="0"/>
      <w:divBdr>
        <w:top w:val="none" w:sz="0" w:space="0" w:color="auto"/>
        <w:left w:val="none" w:sz="0" w:space="0" w:color="auto"/>
        <w:bottom w:val="none" w:sz="0" w:space="0" w:color="auto"/>
        <w:right w:val="none" w:sz="0" w:space="0" w:color="auto"/>
      </w:divBdr>
      <w:divsChild>
        <w:div w:id="20415902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eader" Target="header2.xml"/><Relationship Id="rId11" Type="http://schemas.openxmlformats.org/officeDocument/2006/relationships/image" Target="media/image1.jpeg"/><Relationship Id="rId12" Type="http://schemas.openxmlformats.org/officeDocument/2006/relationships/image" Target="media/image2.png"/><Relationship Id="rId13" Type="http://schemas.microsoft.com/office/2007/relationships/hdphoto" Target="media/hdphoto1.wdp"/><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emf"/><Relationship Id="rId17" Type="http://schemas.openxmlformats.org/officeDocument/2006/relationships/image" Target="media/image6.emf"/><Relationship Id="rId18" Type="http://schemas.openxmlformats.org/officeDocument/2006/relationships/image" Target="media/image7.emf"/><Relationship Id="rId19" Type="http://schemas.openxmlformats.org/officeDocument/2006/relationships/image" Target="media/image8.png"/><Relationship Id="rId60" Type="http://schemas.openxmlformats.org/officeDocument/2006/relationships/chart" Target="charts/chart10.xml"/><Relationship Id="rId61" Type="http://schemas.openxmlformats.org/officeDocument/2006/relationships/chart" Target="charts/chart11.xml"/><Relationship Id="rId62" Type="http://schemas.openxmlformats.org/officeDocument/2006/relationships/image" Target="media/image32.png"/><Relationship Id="rId63" Type="http://schemas.openxmlformats.org/officeDocument/2006/relationships/image" Target="media/image33.png"/><Relationship Id="rId64" Type="http://schemas.openxmlformats.org/officeDocument/2006/relationships/image" Target="media/image34.emf"/><Relationship Id="rId65" Type="http://schemas.openxmlformats.org/officeDocument/2006/relationships/image" Target="media/image35.jpeg"/><Relationship Id="rId66" Type="http://schemas.openxmlformats.org/officeDocument/2006/relationships/image" Target="media/image36.emf"/><Relationship Id="rId67" Type="http://schemas.openxmlformats.org/officeDocument/2006/relationships/image" Target="media/image37.emf"/><Relationship Id="rId68" Type="http://schemas.openxmlformats.org/officeDocument/2006/relationships/image" Target="media/image38.emf"/><Relationship Id="rId69" Type="http://schemas.openxmlformats.org/officeDocument/2006/relationships/image" Target="media/image39.emf"/><Relationship Id="rId120" Type="http://schemas.openxmlformats.org/officeDocument/2006/relationships/fontTable" Target="fontTable.xml"/><Relationship Id="rId121" Type="http://schemas.openxmlformats.org/officeDocument/2006/relationships/theme" Target="theme/theme1.xml"/><Relationship Id="rId40" Type="http://schemas.openxmlformats.org/officeDocument/2006/relationships/image" Target="media/image21.wmf"/><Relationship Id="rId41" Type="http://schemas.openxmlformats.org/officeDocument/2006/relationships/image" Target="media/image22.wmf"/><Relationship Id="rId42" Type="http://schemas.openxmlformats.org/officeDocument/2006/relationships/image" Target="media/image23.wmf"/><Relationship Id="rId90" Type="http://schemas.microsoft.com/office/2007/relationships/hdphoto" Target="media/hdphoto15.wdp"/><Relationship Id="rId91" Type="http://schemas.openxmlformats.org/officeDocument/2006/relationships/image" Target="media/image53.jpeg"/><Relationship Id="rId92" Type="http://schemas.microsoft.com/office/2007/relationships/hdphoto" Target="media/hdphoto16.wdp"/><Relationship Id="rId93" Type="http://schemas.openxmlformats.org/officeDocument/2006/relationships/chart" Target="charts/chart14.xml"/><Relationship Id="rId94" Type="http://schemas.openxmlformats.org/officeDocument/2006/relationships/image" Target="media/image54.png"/><Relationship Id="rId95" Type="http://schemas.microsoft.com/office/2007/relationships/hdphoto" Target="media/hdphoto17.wdp"/><Relationship Id="rId96" Type="http://schemas.openxmlformats.org/officeDocument/2006/relationships/image" Target="media/image55.png"/><Relationship Id="rId101" Type="http://schemas.openxmlformats.org/officeDocument/2006/relationships/image" Target="media/image57.jpeg"/><Relationship Id="rId102" Type="http://schemas.microsoft.com/office/2007/relationships/hdphoto" Target="media/hdphoto19.wdp"/><Relationship Id="rId103" Type="http://schemas.openxmlformats.org/officeDocument/2006/relationships/image" Target="media/image58.jpeg"/><Relationship Id="rId104" Type="http://schemas.openxmlformats.org/officeDocument/2006/relationships/image" Target="media/image59.png"/><Relationship Id="rId105" Type="http://schemas.openxmlformats.org/officeDocument/2006/relationships/image" Target="media/image60.png"/><Relationship Id="rId106" Type="http://schemas.openxmlformats.org/officeDocument/2006/relationships/image" Target="media/image61.png"/><Relationship Id="rId107" Type="http://schemas.openxmlformats.org/officeDocument/2006/relationships/image" Target="media/image62.png"/><Relationship Id="rId108" Type="http://schemas.openxmlformats.org/officeDocument/2006/relationships/image" Target="media/image63.png"/><Relationship Id="rId109" Type="http://schemas.microsoft.com/office/2007/relationships/hdphoto" Target="media/hdphoto20.wdp"/><Relationship Id="rId97" Type="http://schemas.microsoft.com/office/2007/relationships/hdphoto" Target="media/hdphoto18.wdp"/><Relationship Id="rId98" Type="http://schemas.openxmlformats.org/officeDocument/2006/relationships/chart" Target="charts/chart15.xml"/><Relationship Id="rId99" Type="http://schemas.openxmlformats.org/officeDocument/2006/relationships/chart" Target="charts/chart16.xml"/><Relationship Id="rId43" Type="http://schemas.openxmlformats.org/officeDocument/2006/relationships/chart" Target="charts/chart3.xml"/><Relationship Id="rId44" Type="http://schemas.openxmlformats.org/officeDocument/2006/relationships/chart" Target="charts/chart4.xml"/><Relationship Id="rId45" Type="http://schemas.openxmlformats.org/officeDocument/2006/relationships/image" Target="media/image24.wmf"/><Relationship Id="rId46" Type="http://schemas.openxmlformats.org/officeDocument/2006/relationships/image" Target="media/image25.wmf"/><Relationship Id="rId47" Type="http://schemas.openxmlformats.org/officeDocument/2006/relationships/image" Target="media/image26.tiff"/><Relationship Id="rId48" Type="http://schemas.openxmlformats.org/officeDocument/2006/relationships/image" Target="media/image27.tiff"/><Relationship Id="rId49" Type="http://schemas.openxmlformats.org/officeDocument/2006/relationships/image" Target="media/image28.png"/><Relationship Id="rId100" Type="http://schemas.openxmlformats.org/officeDocument/2006/relationships/image" Target="media/image56.png"/><Relationship Id="rId20" Type="http://schemas.microsoft.com/office/2007/relationships/hdphoto" Target="media/hdphoto2.wdp"/><Relationship Id="rId21" Type="http://schemas.openxmlformats.org/officeDocument/2006/relationships/image" Target="media/image9.png"/><Relationship Id="rId22" Type="http://schemas.openxmlformats.org/officeDocument/2006/relationships/image" Target="media/image10.png"/><Relationship Id="rId70" Type="http://schemas.openxmlformats.org/officeDocument/2006/relationships/image" Target="media/image40.png"/><Relationship Id="rId71" Type="http://schemas.openxmlformats.org/officeDocument/2006/relationships/image" Target="media/image41.png"/><Relationship Id="rId72" Type="http://schemas.openxmlformats.org/officeDocument/2006/relationships/image" Target="media/image42.png"/><Relationship Id="rId73" Type="http://schemas.openxmlformats.org/officeDocument/2006/relationships/image" Target="media/image43.png"/><Relationship Id="rId74" Type="http://schemas.openxmlformats.org/officeDocument/2006/relationships/image" Target="media/image44.emf"/><Relationship Id="rId75" Type="http://schemas.openxmlformats.org/officeDocument/2006/relationships/image" Target="media/image45.jpeg"/><Relationship Id="rId76" Type="http://schemas.microsoft.com/office/2007/relationships/hdphoto" Target="media/hdphoto10.wdp"/><Relationship Id="rId77" Type="http://schemas.openxmlformats.org/officeDocument/2006/relationships/image" Target="media/image46.tiff"/><Relationship Id="rId78" Type="http://schemas.openxmlformats.org/officeDocument/2006/relationships/image" Target="media/image47.png"/><Relationship Id="rId79" Type="http://schemas.openxmlformats.org/officeDocument/2006/relationships/chart" Target="charts/chart12.xml"/><Relationship Id="rId23" Type="http://schemas.openxmlformats.org/officeDocument/2006/relationships/image" Target="media/image11.png"/><Relationship Id="rId24" Type="http://schemas.openxmlformats.org/officeDocument/2006/relationships/image" Target="media/image12.emf"/><Relationship Id="rId25" Type="http://schemas.openxmlformats.org/officeDocument/2006/relationships/image" Target="media/image13.png"/><Relationship Id="rId26" Type="http://schemas.openxmlformats.org/officeDocument/2006/relationships/image" Target="media/image14.wmf"/><Relationship Id="rId27" Type="http://schemas.openxmlformats.org/officeDocument/2006/relationships/chart" Target="charts/chart1.xml"/><Relationship Id="rId28" Type="http://schemas.openxmlformats.org/officeDocument/2006/relationships/chart" Target="charts/chart2.xml"/><Relationship Id="rId29" Type="http://schemas.openxmlformats.org/officeDocument/2006/relationships/image" Target="media/image15.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50" Type="http://schemas.microsoft.com/office/2007/relationships/hdphoto" Target="media/hdphoto8.wdp"/><Relationship Id="rId51" Type="http://schemas.openxmlformats.org/officeDocument/2006/relationships/image" Target="media/image29.png"/><Relationship Id="rId52" Type="http://schemas.microsoft.com/office/2007/relationships/hdphoto" Target="media/hdphoto9.wdp"/><Relationship Id="rId53" Type="http://schemas.openxmlformats.org/officeDocument/2006/relationships/chart" Target="charts/chart5.xml"/><Relationship Id="rId54" Type="http://schemas.openxmlformats.org/officeDocument/2006/relationships/chart" Target="charts/chart6.xml"/><Relationship Id="rId55" Type="http://schemas.openxmlformats.org/officeDocument/2006/relationships/chart" Target="charts/chart7.xml"/><Relationship Id="rId56" Type="http://schemas.openxmlformats.org/officeDocument/2006/relationships/chart" Target="charts/chart8.xml"/><Relationship Id="rId57" Type="http://schemas.openxmlformats.org/officeDocument/2006/relationships/image" Target="media/image30.png"/><Relationship Id="rId58" Type="http://schemas.openxmlformats.org/officeDocument/2006/relationships/image" Target="media/image31.png"/><Relationship Id="rId59" Type="http://schemas.openxmlformats.org/officeDocument/2006/relationships/chart" Target="charts/chart9.xml"/><Relationship Id="rId110" Type="http://schemas.openxmlformats.org/officeDocument/2006/relationships/image" Target="media/image64.png"/><Relationship Id="rId111" Type="http://schemas.openxmlformats.org/officeDocument/2006/relationships/image" Target="media/image65.png"/><Relationship Id="rId112" Type="http://schemas.microsoft.com/office/2007/relationships/hdphoto" Target="media/hdphoto21.wdp"/><Relationship Id="rId113" Type="http://schemas.openxmlformats.org/officeDocument/2006/relationships/image" Target="media/image66.png"/><Relationship Id="rId114" Type="http://schemas.openxmlformats.org/officeDocument/2006/relationships/image" Target="media/image67.png"/><Relationship Id="rId115" Type="http://schemas.openxmlformats.org/officeDocument/2006/relationships/chart" Target="charts/chart17.xml"/><Relationship Id="rId116" Type="http://schemas.openxmlformats.org/officeDocument/2006/relationships/chart" Target="charts/chart18.xml"/><Relationship Id="rId117" Type="http://schemas.openxmlformats.org/officeDocument/2006/relationships/chart" Target="charts/chart19.xml"/><Relationship Id="rId118" Type="http://schemas.openxmlformats.org/officeDocument/2006/relationships/header" Target="header3.xml"/><Relationship Id="rId119" Type="http://schemas.openxmlformats.org/officeDocument/2006/relationships/header" Target="header4.xml"/><Relationship Id="rId30" Type="http://schemas.microsoft.com/office/2007/relationships/hdphoto" Target="media/hdphoto3.wdp"/><Relationship Id="rId31" Type="http://schemas.openxmlformats.org/officeDocument/2006/relationships/image" Target="media/image16.jpeg"/><Relationship Id="rId32" Type="http://schemas.microsoft.com/office/2007/relationships/hdphoto" Target="media/hdphoto4.wdp"/><Relationship Id="rId33" Type="http://schemas.openxmlformats.org/officeDocument/2006/relationships/image" Target="media/image17.png"/><Relationship Id="rId34" Type="http://schemas.microsoft.com/office/2007/relationships/hdphoto" Target="media/hdphoto5.wdp"/><Relationship Id="rId35" Type="http://schemas.openxmlformats.org/officeDocument/2006/relationships/image" Target="media/image18.jpeg"/><Relationship Id="rId36" Type="http://schemas.microsoft.com/office/2007/relationships/hdphoto" Target="media/hdphoto6.wdp"/><Relationship Id="rId37" Type="http://schemas.openxmlformats.org/officeDocument/2006/relationships/image" Target="media/image19.jpeg"/><Relationship Id="rId38" Type="http://schemas.microsoft.com/office/2007/relationships/hdphoto" Target="media/hdphoto7.wdp"/><Relationship Id="rId39" Type="http://schemas.openxmlformats.org/officeDocument/2006/relationships/image" Target="media/image20.wmf"/><Relationship Id="rId80" Type="http://schemas.openxmlformats.org/officeDocument/2006/relationships/chart" Target="charts/chart13.xml"/><Relationship Id="rId81" Type="http://schemas.openxmlformats.org/officeDocument/2006/relationships/image" Target="media/image48.jpeg"/><Relationship Id="rId82" Type="http://schemas.microsoft.com/office/2007/relationships/hdphoto" Target="media/hdphoto11.wdp"/><Relationship Id="rId83" Type="http://schemas.openxmlformats.org/officeDocument/2006/relationships/image" Target="media/image49.jpeg"/><Relationship Id="rId84" Type="http://schemas.microsoft.com/office/2007/relationships/hdphoto" Target="media/hdphoto12.wdp"/><Relationship Id="rId85" Type="http://schemas.openxmlformats.org/officeDocument/2006/relationships/image" Target="media/image50.png"/><Relationship Id="rId86" Type="http://schemas.microsoft.com/office/2007/relationships/hdphoto" Target="media/hdphoto13.wdp"/><Relationship Id="rId87" Type="http://schemas.openxmlformats.org/officeDocument/2006/relationships/image" Target="media/image51.jpeg"/><Relationship Id="rId88" Type="http://schemas.microsoft.com/office/2007/relationships/hdphoto" Target="media/hdphoto14.wdp"/><Relationship Id="rId89" Type="http://schemas.openxmlformats.org/officeDocument/2006/relationships/image" Target="media/image52.jpeg"/></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0.xml.rels><?xml version="1.0" encoding="UTF-8" standalone="yes"?>
<Relationships xmlns="http://schemas.openxmlformats.org/package/2006/relationships"><Relationship Id="rId1" Type="http://schemas.openxmlformats.org/officeDocument/2006/relationships/themeOverride" Target="../theme/themeOverride5.xml"/><Relationship Id="rId2" Type="http://schemas.openxmlformats.org/officeDocument/2006/relationships/package" Target="../embeddings/Microsoft_Excel-Tabelle7.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Tabelle8.xlsx"/></Relationships>
</file>

<file path=word/charts/_rels/chart12.xml.rels><?xml version="1.0" encoding="UTF-8" standalone="yes"?>
<Relationships xmlns="http://schemas.openxmlformats.org/package/2006/relationships"><Relationship Id="rId1" Type="http://schemas.openxmlformats.org/officeDocument/2006/relationships/themeOverride" Target="../theme/themeOverride6.xml"/><Relationship Id="rId2" Type="http://schemas.openxmlformats.org/officeDocument/2006/relationships/package" Target="../embeddings/Microsoft_Excel-Tabelle9.xlsx"/></Relationships>
</file>

<file path=word/charts/_rels/chart13.xml.rels><?xml version="1.0" encoding="UTF-8" standalone="yes"?>
<Relationships xmlns="http://schemas.openxmlformats.org/package/2006/relationships"><Relationship Id="rId1" Type="http://schemas.openxmlformats.org/officeDocument/2006/relationships/themeOverride" Target="../theme/themeOverride7.xml"/><Relationship Id="rId2" Type="http://schemas.openxmlformats.org/officeDocument/2006/relationships/package" Target="../embeddings/Microsoft_Excel-Tabelle10.xlsx"/></Relationships>
</file>

<file path=word/charts/_rels/chart14.xml.rels><?xml version="1.0" encoding="UTF-8" standalone="yes"?>
<Relationships xmlns="http://schemas.openxmlformats.org/package/2006/relationships"><Relationship Id="rId1" Type="http://schemas.openxmlformats.org/officeDocument/2006/relationships/themeOverride" Target="../theme/themeOverride8.xml"/><Relationship Id="rId2" Type="http://schemas.openxmlformats.org/officeDocument/2006/relationships/oleObject" Target="INTENSO:EtOH_H2O_Probe4.xlsx" TargetMode="External"/></Relationships>
</file>

<file path=word/charts/_rels/chart15.xml.rels><?xml version="1.0" encoding="UTF-8" standalone="yes"?>
<Relationships xmlns="http://schemas.openxmlformats.org/package/2006/relationships"><Relationship Id="rId1" Type="http://schemas.openxmlformats.org/officeDocument/2006/relationships/themeOverride" Target="../theme/themeOverride9.xml"/><Relationship Id="rId2" Type="http://schemas.openxmlformats.org/officeDocument/2006/relationships/package" Target="../embeddings/Microsoft_Excel-Tabelle11.xlsx"/></Relationships>
</file>

<file path=word/charts/_rels/chart16.xml.rels><?xml version="1.0" encoding="UTF-8" standalone="yes"?>
<Relationships xmlns="http://schemas.openxmlformats.org/package/2006/relationships"><Relationship Id="rId1" Type="http://schemas.openxmlformats.org/officeDocument/2006/relationships/themeOverride" Target="../theme/themeOverride10.xml"/><Relationship Id="rId2" Type="http://schemas.openxmlformats.org/officeDocument/2006/relationships/package" Target="../embeddings/Microsoft_Excel-Tabelle12.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Tabelle13.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Tabelle14.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Tabelle1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Tabelle1.xlsx"/></Relationships>
</file>

<file path=word/charts/_rels/chart3.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package" Target="../embeddings/Microsoft_Excel-Tabelle2.xlsx"/></Relationships>
</file>

<file path=word/charts/_rels/chart4.xml.rels><?xml version="1.0" encoding="UTF-8" standalone="yes"?>
<Relationships xmlns="http://schemas.openxmlformats.org/package/2006/relationships"><Relationship Id="rId1" Type="http://schemas.openxmlformats.org/officeDocument/2006/relationships/themeOverride" Target="../theme/themeOverride2.xml"/><Relationship Id="rId2" Type="http://schemas.openxmlformats.org/officeDocument/2006/relationships/package" Target="../embeddings/Microsoft_Excel-Tabelle3.xlsx"/></Relationships>
</file>

<file path=word/charts/_rels/chart5.xml.rels><?xml version="1.0" encoding="UTF-8" standalone="yes"?>
<Relationships xmlns="http://schemas.openxmlformats.org/package/2006/relationships"><Relationship Id="rId1" Type="http://schemas.openxmlformats.org/officeDocument/2006/relationships/themeOverride" Target="../theme/themeOverride3.xml"/><Relationship Id="rId2" Type="http://schemas.openxmlformats.org/officeDocument/2006/relationships/oleObject" Target="INTENSO:Ergebnisse:Freisetzung%20Nov%202013.xlsx"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Tabelle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Tabelle5.xlsx"/></Relationships>
</file>

<file path=word/charts/_rels/chart8.xml.rels><?xml version="1.0" encoding="UTF-8" standalone="yes"?>
<Relationships xmlns="http://schemas.openxmlformats.org/package/2006/relationships"><Relationship Id="rId1" Type="http://schemas.openxmlformats.org/officeDocument/2006/relationships/oleObject" Target="Diagramm%20in%20Microsoft%20Office%20Word" TargetMode="External"/></Relationships>
</file>

<file path=word/charts/_rels/chart9.xml.rels><?xml version="1.0" encoding="UTF-8" standalone="yes"?>
<Relationships xmlns="http://schemas.openxmlformats.org/package/2006/relationships"><Relationship Id="rId1" Type="http://schemas.openxmlformats.org/officeDocument/2006/relationships/themeOverride" Target="../theme/themeOverride4.xml"/><Relationship Id="rId2" Type="http://schemas.openxmlformats.org/officeDocument/2006/relationships/package" Target="../embeddings/Microsoft_Excel-Tabelle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461633018488"/>
          <c:y val="0.105451666974579"/>
          <c:w val="0.819580979281154"/>
          <c:h val="0.686310216532062"/>
        </c:manualLayout>
      </c:layout>
      <c:scatterChart>
        <c:scatterStyle val="smoothMarker"/>
        <c:varyColors val="0"/>
        <c:ser>
          <c:idx val="0"/>
          <c:order val="0"/>
          <c:spPr>
            <a:ln w="25400">
              <a:noFill/>
              <a:prstDash val="solid"/>
            </a:ln>
          </c:spPr>
          <c:marker>
            <c:symbol val="diamond"/>
            <c:size val="5"/>
            <c:spPr>
              <a:solidFill>
                <a:schemeClr val="tx1"/>
              </a:solidFill>
              <a:ln>
                <a:solidFill>
                  <a:schemeClr val="tx1"/>
                </a:solidFill>
                <a:prstDash val="solid"/>
              </a:ln>
            </c:spPr>
          </c:marker>
          <c:trendline>
            <c:spPr>
              <a:ln>
                <a:prstDash val="dashDot"/>
              </a:ln>
            </c:spPr>
            <c:trendlineType val="power"/>
            <c:dispRSqr val="1"/>
            <c:dispEq val="1"/>
            <c:trendlineLbl>
              <c:layout>
                <c:manualLayout>
                  <c:x val="0.150051385313868"/>
                  <c:y val="-0.296416513410913"/>
                </c:manualLayout>
              </c:layout>
              <c:numFmt formatCode="General" sourceLinked="0"/>
            </c:trendlineLbl>
          </c:trendline>
          <c:errBars>
            <c:errDir val="y"/>
            <c:errBarType val="both"/>
            <c:errValType val="cust"/>
            <c:noEndCap val="0"/>
            <c:plus>
              <c:numRef>
                <c:f>Tabelle1!$C$1:$C$5</c:f>
                <c:numCache>
                  <c:formatCode>General</c:formatCode>
                  <c:ptCount val="5"/>
                  <c:pt idx="0">
                    <c:v>16.7</c:v>
                  </c:pt>
                  <c:pt idx="1">
                    <c:v>14.6</c:v>
                  </c:pt>
                  <c:pt idx="2">
                    <c:v>18.6</c:v>
                  </c:pt>
                  <c:pt idx="3">
                    <c:v>11.3</c:v>
                  </c:pt>
                  <c:pt idx="4">
                    <c:v>8.3</c:v>
                  </c:pt>
                </c:numCache>
              </c:numRef>
            </c:plus>
            <c:minus>
              <c:numRef>
                <c:f>Tabelle1!$C$1:$C$5</c:f>
                <c:numCache>
                  <c:formatCode>General</c:formatCode>
                  <c:ptCount val="5"/>
                  <c:pt idx="0">
                    <c:v>16.7</c:v>
                  </c:pt>
                  <c:pt idx="1">
                    <c:v>14.6</c:v>
                  </c:pt>
                  <c:pt idx="2">
                    <c:v>18.6</c:v>
                  </c:pt>
                  <c:pt idx="3">
                    <c:v>11.3</c:v>
                  </c:pt>
                  <c:pt idx="4">
                    <c:v>8.3</c:v>
                  </c:pt>
                </c:numCache>
              </c:numRef>
            </c:minus>
            <c:spPr>
              <a:ln w="3175">
                <a:solidFill>
                  <a:srgbClr val="000000"/>
                </a:solidFill>
                <a:prstDash val="solid"/>
              </a:ln>
            </c:spPr>
          </c:errBars>
          <c:xVal>
            <c:numRef>
              <c:f>Tabelle1!$A$1:$A$4</c:f>
              <c:numCache>
                <c:formatCode>General</c:formatCode>
                <c:ptCount val="4"/>
                <c:pt idx="0">
                  <c:v>0.1</c:v>
                </c:pt>
                <c:pt idx="1">
                  <c:v>0.3</c:v>
                </c:pt>
                <c:pt idx="2">
                  <c:v>0.5</c:v>
                </c:pt>
                <c:pt idx="3">
                  <c:v>0.8</c:v>
                </c:pt>
              </c:numCache>
            </c:numRef>
          </c:xVal>
          <c:yVal>
            <c:numRef>
              <c:f>Tabelle1!$B$1:$B$4</c:f>
              <c:numCache>
                <c:formatCode>General</c:formatCode>
                <c:ptCount val="4"/>
                <c:pt idx="0">
                  <c:v>430.0</c:v>
                </c:pt>
                <c:pt idx="1">
                  <c:v>230.0</c:v>
                </c:pt>
                <c:pt idx="2">
                  <c:v>176.0</c:v>
                </c:pt>
                <c:pt idx="3">
                  <c:v>127.0</c:v>
                </c:pt>
              </c:numCache>
            </c:numRef>
          </c:yVal>
          <c:smooth val="1"/>
        </c:ser>
        <c:ser>
          <c:idx val="1"/>
          <c:order val="1"/>
          <c:spPr>
            <a:ln>
              <a:noFill/>
            </a:ln>
          </c:spPr>
          <c:marker>
            <c:symbol val="diamond"/>
            <c:size val="5"/>
            <c:spPr>
              <a:solidFill>
                <a:schemeClr val="tx1"/>
              </a:solidFill>
              <a:ln>
                <a:solidFill>
                  <a:schemeClr val="tx1"/>
                </a:solidFill>
              </a:ln>
            </c:spPr>
          </c:marker>
          <c:dPt>
            <c:idx val="0"/>
            <c:marker>
              <c:spPr>
                <a:solidFill>
                  <a:schemeClr val="tx1"/>
                </a:solidFill>
                <a:ln>
                  <a:noFill/>
                </a:ln>
              </c:spPr>
            </c:marker>
            <c:bubble3D val="0"/>
          </c:dPt>
          <c:trendline>
            <c:spPr>
              <a:ln>
                <a:prstDash val="lgDash"/>
              </a:ln>
            </c:spPr>
            <c:trendlineType val="linear"/>
            <c:dispRSqr val="0"/>
            <c:dispEq val="0"/>
          </c:trendline>
          <c:xVal>
            <c:numRef>
              <c:f>Tabelle1!$A$4:$A$5</c:f>
              <c:numCache>
                <c:formatCode>0.00</c:formatCode>
                <c:ptCount val="2"/>
                <c:pt idx="0" formatCode="General">
                  <c:v>0.8</c:v>
                </c:pt>
                <c:pt idx="1">
                  <c:v>2.5</c:v>
                </c:pt>
              </c:numCache>
            </c:numRef>
          </c:xVal>
          <c:yVal>
            <c:numRef>
              <c:f>Tabelle1!$B$4:$B$5</c:f>
              <c:numCache>
                <c:formatCode>General</c:formatCode>
                <c:ptCount val="2"/>
                <c:pt idx="0">
                  <c:v>127.0</c:v>
                </c:pt>
                <c:pt idx="1">
                  <c:v>125.0</c:v>
                </c:pt>
              </c:numCache>
            </c:numRef>
          </c:yVal>
          <c:smooth val="1"/>
        </c:ser>
        <c:dLbls>
          <c:showLegendKey val="0"/>
          <c:showVal val="0"/>
          <c:showCatName val="0"/>
          <c:showSerName val="0"/>
          <c:showPercent val="0"/>
          <c:showBubbleSize val="0"/>
        </c:dLbls>
        <c:axId val="2079940328"/>
        <c:axId val="2079946440"/>
      </c:scatterChart>
      <c:valAx>
        <c:axId val="2079940328"/>
        <c:scaling>
          <c:orientation val="minMax"/>
        </c:scaling>
        <c:delete val="0"/>
        <c:axPos val="b"/>
        <c:title>
          <c:tx>
            <c:rich>
              <a:bodyPr/>
              <a:lstStyle/>
              <a:p>
                <a:pPr>
                  <a:defRPr sz="1200" b="1" i="0" u="none" strike="noStrike" baseline="0">
                    <a:solidFill>
                      <a:srgbClr val="000000"/>
                    </a:solidFill>
                    <a:latin typeface="Arial"/>
                    <a:ea typeface="Arial"/>
                    <a:cs typeface="Arial"/>
                  </a:defRPr>
                </a:pPr>
                <a:r>
                  <a:rPr lang="de-DE" sz="1000" b="0"/>
                  <a:t>PVA Konzentration [%] m/m</a:t>
                </a:r>
              </a:p>
            </c:rich>
          </c:tx>
          <c:layout>
            <c:manualLayout>
              <c:xMode val="edge"/>
              <c:yMode val="edge"/>
              <c:x val="0.382750876420168"/>
              <c:y val="0.892448512585815"/>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de-DE"/>
          </a:p>
        </c:txPr>
        <c:crossAx val="2079946440"/>
        <c:crosses val="autoZero"/>
        <c:crossBetween val="midCat"/>
        <c:majorUnit val="0.5"/>
      </c:valAx>
      <c:valAx>
        <c:axId val="2079946440"/>
        <c:scaling>
          <c:orientation val="minMax"/>
        </c:scaling>
        <c:delete val="0"/>
        <c:axPos val="l"/>
        <c:title>
          <c:tx>
            <c:rich>
              <a:bodyPr/>
              <a:lstStyle/>
              <a:p>
                <a:pPr>
                  <a:defRPr sz="1200" b="1" i="0" u="none" strike="noStrike" baseline="0">
                    <a:solidFill>
                      <a:srgbClr val="000000"/>
                    </a:solidFill>
                    <a:latin typeface="Arial"/>
                    <a:ea typeface="Arial"/>
                    <a:cs typeface="Arial"/>
                  </a:defRPr>
                </a:pPr>
                <a:r>
                  <a:rPr lang="de-DE" sz="1000" b="0"/>
                  <a:t>mittlerer</a:t>
                </a:r>
                <a:r>
                  <a:rPr lang="de-DE" sz="1000" b="0" baseline="0"/>
                  <a:t> Partikeldurchmesser</a:t>
                </a:r>
                <a:r>
                  <a:rPr lang="de-DE" sz="1000" b="0"/>
                  <a:t> [nm]</a:t>
                </a:r>
              </a:p>
            </c:rich>
          </c:tx>
          <c:layout>
            <c:manualLayout>
              <c:xMode val="edge"/>
              <c:yMode val="edge"/>
              <c:x val="0.000664684706932744"/>
              <c:y val="0.185444665314224"/>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de-DE"/>
          </a:p>
        </c:txPr>
        <c:crossAx val="2079940328"/>
        <c:crosses val="autoZero"/>
        <c:crossBetween val="midCat"/>
        <c:majorUnit val="100.0"/>
      </c:valAx>
      <c:spPr>
        <a:gradFill rotWithShape="0">
          <a:gsLst>
            <a:gs pos="0">
              <a:srgbClr val="C0C0C0"/>
            </a:gs>
            <a:gs pos="100000">
              <a:schemeClr val="bg1"/>
            </a:gs>
          </a:gsLst>
          <a:lin ang="5400000" scaled="1"/>
        </a:gradFill>
        <a:ln w="12700">
          <a:solidFill>
            <a:srgbClr val="808080"/>
          </a:solidFill>
          <a:prstDash val="solid"/>
        </a:ln>
      </c:spPr>
    </c:plotArea>
    <c:plotVisOnly val="1"/>
    <c:dispBlanksAs val="gap"/>
    <c:showDLblsOverMax val="0"/>
  </c:chart>
  <c:spPr>
    <a:solidFill>
      <a:srgbClr val="FFFFFF"/>
    </a:solidFill>
    <a:ln w="9525">
      <a:noFill/>
    </a:ln>
  </c:spPr>
  <c:txPr>
    <a:bodyPr/>
    <a:lstStyle/>
    <a:p>
      <a:pPr>
        <a:defRPr sz="1000" b="0" i="0" u="none" strike="noStrike" baseline="0">
          <a:solidFill>
            <a:srgbClr val="000000"/>
          </a:solidFill>
          <a:latin typeface="Arial"/>
          <a:ea typeface="Arial"/>
          <a:cs typeface="Arial"/>
        </a:defRPr>
      </a:pPr>
      <a:endParaRPr lang="de-DE"/>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597932202919"/>
          <c:y val="0.220630958289198"/>
          <c:w val="0.842474378202725"/>
          <c:h val="0.613919597629916"/>
        </c:manualLayout>
      </c:layout>
      <c:scatterChart>
        <c:scatterStyle val="smoothMarker"/>
        <c:varyColors val="0"/>
        <c:ser>
          <c:idx val="1"/>
          <c:order val="0"/>
          <c:tx>
            <c:strRef>
              <c:f>'PEA Cys'!$B$2</c:f>
              <c:strCache>
                <c:ptCount val="1"/>
                <c:pt idx="0">
                  <c:v>Nanopartikel ohne Eudragit</c:v>
                </c:pt>
              </c:strCache>
            </c:strRef>
          </c:tx>
          <c:spPr>
            <a:ln w="15875">
              <a:solidFill>
                <a:srgbClr val="BD0000"/>
              </a:solidFill>
            </a:ln>
          </c:spPr>
          <c:marker>
            <c:symbol val="none"/>
          </c:marker>
          <c:xVal>
            <c:numRef>
              <c:f>'PEA Cys'!$A$3:$A$62</c:f>
              <c:numCache>
                <c:formatCode>General</c:formatCode>
                <c:ptCount val="60"/>
                <c:pt idx="0">
                  <c:v>2.0</c:v>
                </c:pt>
                <c:pt idx="1">
                  <c:v>2.25</c:v>
                </c:pt>
                <c:pt idx="2">
                  <c:v>2.53</c:v>
                </c:pt>
                <c:pt idx="3">
                  <c:v>2.84</c:v>
                </c:pt>
                <c:pt idx="4">
                  <c:v>3.19</c:v>
                </c:pt>
                <c:pt idx="5">
                  <c:v>3.59</c:v>
                </c:pt>
                <c:pt idx="6">
                  <c:v>4.04</c:v>
                </c:pt>
                <c:pt idx="7">
                  <c:v>4.54</c:v>
                </c:pt>
                <c:pt idx="8">
                  <c:v>5.1</c:v>
                </c:pt>
                <c:pt idx="9">
                  <c:v>5.74</c:v>
                </c:pt>
                <c:pt idx="10">
                  <c:v>6.45</c:v>
                </c:pt>
                <c:pt idx="11">
                  <c:v>7.25</c:v>
                </c:pt>
                <c:pt idx="12">
                  <c:v>8.15</c:v>
                </c:pt>
                <c:pt idx="13">
                  <c:v>9.16</c:v>
                </c:pt>
                <c:pt idx="14">
                  <c:v>10.3</c:v>
                </c:pt>
                <c:pt idx="15">
                  <c:v>11.58</c:v>
                </c:pt>
                <c:pt idx="16">
                  <c:v>13.02</c:v>
                </c:pt>
                <c:pt idx="17">
                  <c:v>14.64</c:v>
                </c:pt>
                <c:pt idx="18">
                  <c:v>16.45</c:v>
                </c:pt>
                <c:pt idx="19">
                  <c:v>18.5</c:v>
                </c:pt>
                <c:pt idx="20">
                  <c:v>20.8</c:v>
                </c:pt>
                <c:pt idx="21">
                  <c:v>23.38</c:v>
                </c:pt>
                <c:pt idx="22">
                  <c:v>26.27999999999999</c:v>
                </c:pt>
                <c:pt idx="23">
                  <c:v>29.55</c:v>
                </c:pt>
                <c:pt idx="24">
                  <c:v>33.22000000000001</c:v>
                </c:pt>
                <c:pt idx="25">
                  <c:v>37.34</c:v>
                </c:pt>
                <c:pt idx="26">
                  <c:v>41.98</c:v>
                </c:pt>
                <c:pt idx="27">
                  <c:v>47.2</c:v>
                </c:pt>
                <c:pt idx="28">
                  <c:v>53.06</c:v>
                </c:pt>
                <c:pt idx="29">
                  <c:v>59.65</c:v>
                </c:pt>
                <c:pt idx="30">
                  <c:v>67.06</c:v>
                </c:pt>
                <c:pt idx="31">
                  <c:v>75.39</c:v>
                </c:pt>
                <c:pt idx="32">
                  <c:v>84.75</c:v>
                </c:pt>
                <c:pt idx="33">
                  <c:v>95.28</c:v>
                </c:pt>
                <c:pt idx="34">
                  <c:v>107.11</c:v>
                </c:pt>
                <c:pt idx="35">
                  <c:v>120.42</c:v>
                </c:pt>
                <c:pt idx="36">
                  <c:v>135.3800000000006</c:v>
                </c:pt>
                <c:pt idx="37">
                  <c:v>152.19</c:v>
                </c:pt>
                <c:pt idx="38">
                  <c:v>171.09</c:v>
                </c:pt>
                <c:pt idx="39">
                  <c:v>192.3500000000006</c:v>
                </c:pt>
                <c:pt idx="40">
                  <c:v>216.24</c:v>
                </c:pt>
                <c:pt idx="41">
                  <c:v>243.1</c:v>
                </c:pt>
                <c:pt idx="42">
                  <c:v>273.2899999999988</c:v>
                </c:pt>
                <c:pt idx="43">
                  <c:v>307.2299999999988</c:v>
                </c:pt>
                <c:pt idx="44">
                  <c:v>345.4</c:v>
                </c:pt>
                <c:pt idx="45">
                  <c:v>388.3</c:v>
                </c:pt>
                <c:pt idx="46">
                  <c:v>436.53</c:v>
                </c:pt>
                <c:pt idx="47">
                  <c:v>490.75</c:v>
                </c:pt>
                <c:pt idx="48">
                  <c:v>551.71</c:v>
                </c:pt>
                <c:pt idx="49">
                  <c:v>620.23</c:v>
                </c:pt>
                <c:pt idx="50">
                  <c:v>697.2700000000005</c:v>
                </c:pt>
                <c:pt idx="51">
                  <c:v>783.88</c:v>
                </c:pt>
                <c:pt idx="52">
                  <c:v>881.25</c:v>
                </c:pt>
                <c:pt idx="53">
                  <c:v>990.71</c:v>
                </c:pt>
                <c:pt idx="54">
                  <c:v>1113.76</c:v>
                </c:pt>
                <c:pt idx="55">
                  <c:v>1252.1</c:v>
                </c:pt>
                <c:pt idx="56">
                  <c:v>1407.63</c:v>
                </c:pt>
                <c:pt idx="57">
                  <c:v>1582.47</c:v>
                </c:pt>
                <c:pt idx="58">
                  <c:v>1779.03</c:v>
                </c:pt>
                <c:pt idx="59">
                  <c:v>2000.0</c:v>
                </c:pt>
              </c:numCache>
            </c:numRef>
          </c:xVal>
          <c:yVal>
            <c:numRef>
              <c:f>'PEA Cys'!$B$3:$B$62</c:f>
              <c:numCache>
                <c:formatCode>General</c:formatCode>
                <c:ptCount val="60"/>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0.09</c:v>
                </c:pt>
                <c:pt idx="46">
                  <c:v>0.36</c:v>
                </c:pt>
                <c:pt idx="47">
                  <c:v>0.750000000000002</c:v>
                </c:pt>
                <c:pt idx="48">
                  <c:v>1.0</c:v>
                </c:pt>
                <c:pt idx="49">
                  <c:v>0.760000000000002</c:v>
                </c:pt>
                <c:pt idx="50">
                  <c:v>0.35</c:v>
                </c:pt>
                <c:pt idx="51">
                  <c:v>0.0</c:v>
                </c:pt>
                <c:pt idx="52">
                  <c:v>0.0</c:v>
                </c:pt>
                <c:pt idx="53">
                  <c:v>0.0</c:v>
                </c:pt>
                <c:pt idx="54">
                  <c:v>0.0</c:v>
                </c:pt>
                <c:pt idx="55">
                  <c:v>0.0</c:v>
                </c:pt>
                <c:pt idx="56">
                  <c:v>0.0</c:v>
                </c:pt>
                <c:pt idx="57">
                  <c:v>0.0</c:v>
                </c:pt>
                <c:pt idx="58">
                  <c:v>0.0</c:v>
                </c:pt>
                <c:pt idx="59">
                  <c:v>0.0</c:v>
                </c:pt>
              </c:numCache>
            </c:numRef>
          </c:yVal>
          <c:smooth val="1"/>
        </c:ser>
        <c:ser>
          <c:idx val="2"/>
          <c:order val="1"/>
          <c:tx>
            <c:strRef>
              <c:f>'PEA Cys'!$F$2</c:f>
              <c:strCache>
                <c:ptCount val="1"/>
                <c:pt idx="0">
                  <c:v>L30 D-55 Mikropartikel in HCL pH 1</c:v>
                </c:pt>
              </c:strCache>
            </c:strRef>
          </c:tx>
          <c:spPr>
            <a:ln w="15875">
              <a:solidFill>
                <a:sysClr val="windowText" lastClr="000000"/>
              </a:solidFill>
            </a:ln>
          </c:spPr>
          <c:marker>
            <c:symbol val="none"/>
          </c:marker>
          <c:xVal>
            <c:numRef>
              <c:f>'PEA Cys'!$D$3:$D$62</c:f>
              <c:numCache>
                <c:formatCode>General</c:formatCode>
                <c:ptCount val="60"/>
                <c:pt idx="0">
                  <c:v>2.0</c:v>
                </c:pt>
                <c:pt idx="1">
                  <c:v>2.26</c:v>
                </c:pt>
                <c:pt idx="2">
                  <c:v>2.56</c:v>
                </c:pt>
                <c:pt idx="3">
                  <c:v>2.9</c:v>
                </c:pt>
                <c:pt idx="4">
                  <c:v>3.28</c:v>
                </c:pt>
                <c:pt idx="5">
                  <c:v>3.72</c:v>
                </c:pt>
                <c:pt idx="6">
                  <c:v>4.21</c:v>
                </c:pt>
                <c:pt idx="7">
                  <c:v>4.76</c:v>
                </c:pt>
                <c:pt idx="8">
                  <c:v>5.39</c:v>
                </c:pt>
                <c:pt idx="9">
                  <c:v>6.1</c:v>
                </c:pt>
                <c:pt idx="10">
                  <c:v>6.91</c:v>
                </c:pt>
                <c:pt idx="11">
                  <c:v>7.819999999999998</c:v>
                </c:pt>
                <c:pt idx="12">
                  <c:v>8.850000000000006</c:v>
                </c:pt>
                <c:pt idx="13">
                  <c:v>10.02</c:v>
                </c:pt>
                <c:pt idx="14">
                  <c:v>11.34</c:v>
                </c:pt>
                <c:pt idx="15">
                  <c:v>12.84</c:v>
                </c:pt>
                <c:pt idx="16">
                  <c:v>14.53</c:v>
                </c:pt>
                <c:pt idx="17">
                  <c:v>16.45</c:v>
                </c:pt>
                <c:pt idx="18">
                  <c:v>18.62</c:v>
                </c:pt>
                <c:pt idx="19">
                  <c:v>21.08</c:v>
                </c:pt>
                <c:pt idx="20">
                  <c:v>23.86</c:v>
                </c:pt>
                <c:pt idx="21">
                  <c:v>27.01</c:v>
                </c:pt>
                <c:pt idx="22">
                  <c:v>30.57</c:v>
                </c:pt>
                <c:pt idx="23">
                  <c:v>34.61</c:v>
                </c:pt>
                <c:pt idx="24">
                  <c:v>39.17</c:v>
                </c:pt>
                <c:pt idx="25">
                  <c:v>44.34</c:v>
                </c:pt>
                <c:pt idx="26">
                  <c:v>50.19000000000001</c:v>
                </c:pt>
                <c:pt idx="27">
                  <c:v>56.82</c:v>
                </c:pt>
                <c:pt idx="28">
                  <c:v>64.32</c:v>
                </c:pt>
                <c:pt idx="29">
                  <c:v>72.81</c:v>
                </c:pt>
                <c:pt idx="30">
                  <c:v>82.41000000000002</c:v>
                </c:pt>
                <c:pt idx="31">
                  <c:v>93.29</c:v>
                </c:pt>
                <c:pt idx="32">
                  <c:v>105.6</c:v>
                </c:pt>
                <c:pt idx="33">
                  <c:v>119.53</c:v>
                </c:pt>
                <c:pt idx="34">
                  <c:v>135.31</c:v>
                </c:pt>
                <c:pt idx="35">
                  <c:v>153.16</c:v>
                </c:pt>
                <c:pt idx="36">
                  <c:v>173.37</c:v>
                </c:pt>
                <c:pt idx="37">
                  <c:v>196.25</c:v>
                </c:pt>
                <c:pt idx="38">
                  <c:v>222.15</c:v>
                </c:pt>
                <c:pt idx="39">
                  <c:v>251.47</c:v>
                </c:pt>
                <c:pt idx="40">
                  <c:v>284.6500000000003</c:v>
                </c:pt>
                <c:pt idx="41">
                  <c:v>322.209999999999</c:v>
                </c:pt>
                <c:pt idx="42">
                  <c:v>364.7299999999988</c:v>
                </c:pt>
                <c:pt idx="43">
                  <c:v>412.86</c:v>
                </c:pt>
                <c:pt idx="44">
                  <c:v>467.35</c:v>
                </c:pt>
                <c:pt idx="45">
                  <c:v>529.02</c:v>
                </c:pt>
                <c:pt idx="46">
                  <c:v>598.8299999999994</c:v>
                </c:pt>
                <c:pt idx="47">
                  <c:v>677.8499999999979</c:v>
                </c:pt>
                <c:pt idx="48">
                  <c:v>767.3</c:v>
                </c:pt>
                <c:pt idx="49">
                  <c:v>868.5599999999994</c:v>
                </c:pt>
                <c:pt idx="50">
                  <c:v>983.1800000000005</c:v>
                </c:pt>
                <c:pt idx="51">
                  <c:v>1112.92</c:v>
                </c:pt>
                <c:pt idx="52">
                  <c:v>1259.78</c:v>
                </c:pt>
                <c:pt idx="53">
                  <c:v>1426.03</c:v>
                </c:pt>
                <c:pt idx="54">
                  <c:v>1614.21</c:v>
                </c:pt>
                <c:pt idx="55">
                  <c:v>1827.23</c:v>
                </c:pt>
                <c:pt idx="56">
                  <c:v>2068.350000000002</c:v>
                </c:pt>
                <c:pt idx="57">
                  <c:v>2341.3</c:v>
                </c:pt>
                <c:pt idx="58">
                  <c:v>2650.26</c:v>
                </c:pt>
                <c:pt idx="59">
                  <c:v>3000.0</c:v>
                </c:pt>
              </c:numCache>
            </c:numRef>
          </c:xVal>
          <c:yVal>
            <c:numRef>
              <c:f>'PEA Cys'!$F$3:$F$62</c:f>
              <c:numCache>
                <c:formatCode>General</c:formatCode>
                <c:ptCount val="60"/>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0.0</c:v>
                </c:pt>
                <c:pt idx="46">
                  <c:v>0.0</c:v>
                </c:pt>
                <c:pt idx="47">
                  <c:v>0.0</c:v>
                </c:pt>
                <c:pt idx="48">
                  <c:v>0.0</c:v>
                </c:pt>
                <c:pt idx="49">
                  <c:v>0.0</c:v>
                </c:pt>
                <c:pt idx="50">
                  <c:v>0.0</c:v>
                </c:pt>
                <c:pt idx="51">
                  <c:v>0.0</c:v>
                </c:pt>
                <c:pt idx="52">
                  <c:v>0.0</c:v>
                </c:pt>
                <c:pt idx="53">
                  <c:v>0.0</c:v>
                </c:pt>
                <c:pt idx="54">
                  <c:v>0.0</c:v>
                </c:pt>
                <c:pt idx="55">
                  <c:v>0.0</c:v>
                </c:pt>
                <c:pt idx="56">
                  <c:v>0.88</c:v>
                </c:pt>
                <c:pt idx="57">
                  <c:v>1.0</c:v>
                </c:pt>
                <c:pt idx="58">
                  <c:v>0.99</c:v>
                </c:pt>
                <c:pt idx="59">
                  <c:v>0.98</c:v>
                </c:pt>
              </c:numCache>
            </c:numRef>
          </c:yVal>
          <c:smooth val="1"/>
        </c:ser>
        <c:ser>
          <c:idx val="0"/>
          <c:order val="2"/>
          <c:tx>
            <c:strRef>
              <c:f>'PEA Cys'!$E$2</c:f>
              <c:strCache>
                <c:ptCount val="1"/>
                <c:pt idx="0">
                  <c:v>L30 D-55 Mikropartikel in PBS pH 6,8</c:v>
                </c:pt>
              </c:strCache>
            </c:strRef>
          </c:tx>
          <c:spPr>
            <a:ln w="15875">
              <a:solidFill>
                <a:srgbClr val="0000FF"/>
              </a:solidFill>
            </a:ln>
          </c:spPr>
          <c:marker>
            <c:symbol val="none"/>
          </c:marker>
          <c:xVal>
            <c:numRef>
              <c:f>'PEA Cys'!$D$3:$D$62</c:f>
              <c:numCache>
                <c:formatCode>General</c:formatCode>
                <c:ptCount val="60"/>
                <c:pt idx="0">
                  <c:v>2.0</c:v>
                </c:pt>
                <c:pt idx="1">
                  <c:v>2.26</c:v>
                </c:pt>
                <c:pt idx="2">
                  <c:v>2.56</c:v>
                </c:pt>
                <c:pt idx="3">
                  <c:v>2.9</c:v>
                </c:pt>
                <c:pt idx="4">
                  <c:v>3.28</c:v>
                </c:pt>
                <c:pt idx="5">
                  <c:v>3.72</c:v>
                </c:pt>
                <c:pt idx="6">
                  <c:v>4.21</c:v>
                </c:pt>
                <c:pt idx="7">
                  <c:v>4.76</c:v>
                </c:pt>
                <c:pt idx="8">
                  <c:v>5.39</c:v>
                </c:pt>
                <c:pt idx="9">
                  <c:v>6.1</c:v>
                </c:pt>
                <c:pt idx="10">
                  <c:v>6.91</c:v>
                </c:pt>
                <c:pt idx="11">
                  <c:v>7.819999999999998</c:v>
                </c:pt>
                <c:pt idx="12">
                  <c:v>8.850000000000006</c:v>
                </c:pt>
                <c:pt idx="13">
                  <c:v>10.02</c:v>
                </c:pt>
                <c:pt idx="14">
                  <c:v>11.34</c:v>
                </c:pt>
                <c:pt idx="15">
                  <c:v>12.84</c:v>
                </c:pt>
                <c:pt idx="16">
                  <c:v>14.53</c:v>
                </c:pt>
                <c:pt idx="17">
                  <c:v>16.45</c:v>
                </c:pt>
                <c:pt idx="18">
                  <c:v>18.62</c:v>
                </c:pt>
                <c:pt idx="19">
                  <c:v>21.08</c:v>
                </c:pt>
                <c:pt idx="20">
                  <c:v>23.86</c:v>
                </c:pt>
                <c:pt idx="21">
                  <c:v>27.01</c:v>
                </c:pt>
                <c:pt idx="22">
                  <c:v>30.57</c:v>
                </c:pt>
                <c:pt idx="23">
                  <c:v>34.61</c:v>
                </c:pt>
                <c:pt idx="24">
                  <c:v>39.17</c:v>
                </c:pt>
                <c:pt idx="25">
                  <c:v>44.34</c:v>
                </c:pt>
                <c:pt idx="26">
                  <c:v>50.19000000000001</c:v>
                </c:pt>
                <c:pt idx="27">
                  <c:v>56.82</c:v>
                </c:pt>
                <c:pt idx="28">
                  <c:v>64.32</c:v>
                </c:pt>
                <c:pt idx="29">
                  <c:v>72.81</c:v>
                </c:pt>
                <c:pt idx="30">
                  <c:v>82.41000000000002</c:v>
                </c:pt>
                <c:pt idx="31">
                  <c:v>93.29</c:v>
                </c:pt>
                <c:pt idx="32">
                  <c:v>105.6</c:v>
                </c:pt>
                <c:pt idx="33">
                  <c:v>119.53</c:v>
                </c:pt>
                <c:pt idx="34">
                  <c:v>135.31</c:v>
                </c:pt>
                <c:pt idx="35">
                  <c:v>153.16</c:v>
                </c:pt>
                <c:pt idx="36">
                  <c:v>173.37</c:v>
                </c:pt>
                <c:pt idx="37">
                  <c:v>196.25</c:v>
                </c:pt>
                <c:pt idx="38">
                  <c:v>222.15</c:v>
                </c:pt>
                <c:pt idx="39">
                  <c:v>251.47</c:v>
                </c:pt>
                <c:pt idx="40">
                  <c:v>284.6500000000003</c:v>
                </c:pt>
                <c:pt idx="41">
                  <c:v>322.209999999999</c:v>
                </c:pt>
                <c:pt idx="42">
                  <c:v>364.7299999999988</c:v>
                </c:pt>
                <c:pt idx="43">
                  <c:v>412.86</c:v>
                </c:pt>
                <c:pt idx="44">
                  <c:v>467.35</c:v>
                </c:pt>
                <c:pt idx="45">
                  <c:v>529.02</c:v>
                </c:pt>
                <c:pt idx="46">
                  <c:v>598.8299999999994</c:v>
                </c:pt>
                <c:pt idx="47">
                  <c:v>677.8499999999979</c:v>
                </c:pt>
                <c:pt idx="48">
                  <c:v>767.3</c:v>
                </c:pt>
                <c:pt idx="49">
                  <c:v>868.5599999999994</c:v>
                </c:pt>
                <c:pt idx="50">
                  <c:v>983.1800000000005</c:v>
                </c:pt>
                <c:pt idx="51">
                  <c:v>1112.92</c:v>
                </c:pt>
                <c:pt idx="52">
                  <c:v>1259.78</c:v>
                </c:pt>
                <c:pt idx="53">
                  <c:v>1426.03</c:v>
                </c:pt>
                <c:pt idx="54">
                  <c:v>1614.21</c:v>
                </c:pt>
                <c:pt idx="55">
                  <c:v>1827.23</c:v>
                </c:pt>
                <c:pt idx="56">
                  <c:v>2068.350000000002</c:v>
                </c:pt>
                <c:pt idx="57">
                  <c:v>2341.3</c:v>
                </c:pt>
                <c:pt idx="58">
                  <c:v>2650.26</c:v>
                </c:pt>
                <c:pt idx="59">
                  <c:v>3000.0</c:v>
                </c:pt>
              </c:numCache>
            </c:numRef>
          </c:xVal>
          <c:yVal>
            <c:numRef>
              <c:f>'PEA Cys'!$E$3:$E$62</c:f>
              <c:numCache>
                <c:formatCode>General</c:formatCode>
                <c:ptCount val="60"/>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0.21</c:v>
                </c:pt>
                <c:pt idx="45">
                  <c:v>0.570000000000002</c:v>
                </c:pt>
                <c:pt idx="46">
                  <c:v>1.0</c:v>
                </c:pt>
                <c:pt idx="47">
                  <c:v>0.97</c:v>
                </c:pt>
                <c:pt idx="48">
                  <c:v>0.610000000000002</c:v>
                </c:pt>
                <c:pt idx="49">
                  <c:v>0.17</c:v>
                </c:pt>
                <c:pt idx="50">
                  <c:v>0.0</c:v>
                </c:pt>
                <c:pt idx="51">
                  <c:v>0.0</c:v>
                </c:pt>
                <c:pt idx="52">
                  <c:v>0.0</c:v>
                </c:pt>
                <c:pt idx="53">
                  <c:v>0.0</c:v>
                </c:pt>
                <c:pt idx="54">
                  <c:v>0.0</c:v>
                </c:pt>
                <c:pt idx="55">
                  <c:v>0.0</c:v>
                </c:pt>
                <c:pt idx="56">
                  <c:v>0.0</c:v>
                </c:pt>
                <c:pt idx="57">
                  <c:v>0.0</c:v>
                </c:pt>
                <c:pt idx="58">
                  <c:v>0.0</c:v>
                </c:pt>
                <c:pt idx="59">
                  <c:v>0.0</c:v>
                </c:pt>
              </c:numCache>
            </c:numRef>
          </c:yVal>
          <c:smooth val="1"/>
        </c:ser>
        <c:dLbls>
          <c:showLegendKey val="0"/>
          <c:showVal val="0"/>
          <c:showCatName val="0"/>
          <c:showSerName val="0"/>
          <c:showPercent val="0"/>
          <c:showBubbleSize val="0"/>
        </c:dLbls>
        <c:axId val="2106766712"/>
        <c:axId val="2106772360"/>
      </c:scatterChart>
      <c:valAx>
        <c:axId val="2106766712"/>
        <c:scaling>
          <c:orientation val="minMax"/>
          <c:max val="3000.0"/>
          <c:min val="0.0"/>
        </c:scaling>
        <c:delete val="0"/>
        <c:axPos val="b"/>
        <c:title>
          <c:tx>
            <c:rich>
              <a:bodyPr/>
              <a:lstStyle/>
              <a:p>
                <a:pPr>
                  <a:defRPr sz="1000" baseline="0"/>
                </a:pPr>
                <a:r>
                  <a:rPr lang="de-DE" sz="1000" baseline="0"/>
                  <a:t>Mittlerer Partikeldurchmesser [nm]</a:t>
                </a:r>
              </a:p>
            </c:rich>
          </c:tx>
          <c:layout>
            <c:manualLayout>
              <c:xMode val="edge"/>
              <c:yMode val="edge"/>
              <c:x val="0.357288672249304"/>
              <c:y val="0.931037951466258"/>
            </c:manualLayout>
          </c:layout>
          <c:overlay val="0"/>
        </c:title>
        <c:numFmt formatCode="General" sourceLinked="1"/>
        <c:majorTickMark val="out"/>
        <c:minorTickMark val="none"/>
        <c:tickLblPos val="nextTo"/>
        <c:spPr>
          <a:ln w="6350"/>
        </c:spPr>
        <c:txPr>
          <a:bodyPr/>
          <a:lstStyle/>
          <a:p>
            <a:pPr>
              <a:defRPr sz="900" baseline="0"/>
            </a:pPr>
            <a:endParaRPr lang="de-DE"/>
          </a:p>
        </c:txPr>
        <c:crossAx val="2106772360"/>
        <c:crosses val="autoZero"/>
        <c:crossBetween val="midCat"/>
        <c:majorUnit val="300.0"/>
      </c:valAx>
      <c:valAx>
        <c:axId val="2106772360"/>
        <c:scaling>
          <c:orientation val="minMax"/>
          <c:max val="1.1"/>
          <c:min val="0.0"/>
        </c:scaling>
        <c:delete val="0"/>
        <c:axPos val="l"/>
        <c:majorGridlines/>
        <c:title>
          <c:tx>
            <c:rich>
              <a:bodyPr rot="-5400000" vert="horz"/>
              <a:lstStyle/>
              <a:p>
                <a:pPr>
                  <a:defRPr sz="1000" baseline="0"/>
                </a:pPr>
                <a:r>
                  <a:rPr lang="de-DE" sz="1000" baseline="0"/>
                  <a:t>rel. Häufigkeit [%]</a:t>
                </a:r>
              </a:p>
            </c:rich>
          </c:tx>
          <c:layout>
            <c:manualLayout>
              <c:xMode val="edge"/>
              <c:yMode val="edge"/>
              <c:x val="0.0132275132275132"/>
              <c:y val="0.401654802557018"/>
            </c:manualLayout>
          </c:layout>
          <c:overlay val="0"/>
        </c:title>
        <c:numFmt formatCode="General" sourceLinked="1"/>
        <c:majorTickMark val="out"/>
        <c:minorTickMark val="none"/>
        <c:tickLblPos val="nextTo"/>
        <c:txPr>
          <a:bodyPr/>
          <a:lstStyle/>
          <a:p>
            <a:pPr>
              <a:defRPr sz="900" baseline="0"/>
            </a:pPr>
            <a:endParaRPr lang="de-DE"/>
          </a:p>
        </c:txPr>
        <c:crossAx val="2106766712"/>
        <c:crosses val="autoZero"/>
        <c:crossBetween val="midCat"/>
        <c:majorUnit val="0.3"/>
      </c:valAx>
    </c:plotArea>
    <c:legend>
      <c:legendPos val="b"/>
      <c:layout>
        <c:manualLayout>
          <c:xMode val="edge"/>
          <c:yMode val="edge"/>
          <c:x val="0.118120991329377"/>
          <c:y val="0.00839512226915669"/>
          <c:w val="0.790434181838379"/>
          <c:h val="0.144260231850435"/>
        </c:manualLayout>
      </c:layout>
      <c:overlay val="0"/>
      <c:txPr>
        <a:bodyPr/>
        <a:lstStyle/>
        <a:p>
          <a:pPr>
            <a:defRPr sz="900"/>
          </a:pPr>
          <a:endParaRPr lang="de-DE"/>
        </a:p>
      </c:txPr>
    </c:legend>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9870775011494"/>
          <c:y val="0.262138345047765"/>
          <c:w val="0.641229003518919"/>
          <c:h val="0.585173436054306"/>
        </c:manualLayout>
      </c:layout>
      <c:scatterChart>
        <c:scatterStyle val="smoothMarker"/>
        <c:varyColors val="0"/>
        <c:ser>
          <c:idx val="0"/>
          <c:order val="0"/>
          <c:tx>
            <c:strRef>
              <c:f>Tabelle1!$A$1</c:f>
              <c:strCache>
                <c:ptCount val="1"/>
                <c:pt idx="0">
                  <c:v>PEA Cys Nanopartikel ohne Eudragit</c:v>
                </c:pt>
              </c:strCache>
            </c:strRef>
          </c:tx>
          <c:spPr>
            <a:ln w="15875">
              <a:solidFill>
                <a:srgbClr val="666699"/>
              </a:solidFill>
              <a:prstDash val="solid"/>
            </a:ln>
          </c:spPr>
          <c:marker>
            <c:spPr>
              <a:solidFill>
                <a:srgbClr val="4F81BD"/>
              </a:solidFill>
              <a:ln>
                <a:solidFill>
                  <a:srgbClr val="666699"/>
                </a:solidFill>
                <a:prstDash val="solid"/>
              </a:ln>
            </c:spPr>
          </c:marker>
          <c:dPt>
            <c:idx val="5"/>
            <c:marker>
              <c:symbol val="diamond"/>
              <c:size val="5"/>
            </c:marker>
            <c:bubble3D val="0"/>
          </c:dPt>
          <c:xVal>
            <c:numRef>
              <c:f>Tabelle1!$M$3:$M$9</c:f>
              <c:numCache>
                <c:formatCode>General</c:formatCode>
                <c:ptCount val="7"/>
                <c:pt idx="0">
                  <c:v>0.083</c:v>
                </c:pt>
                <c:pt idx="1">
                  <c:v>0.5</c:v>
                </c:pt>
                <c:pt idx="2">
                  <c:v>3.0</c:v>
                </c:pt>
                <c:pt idx="3">
                  <c:v>5.0</c:v>
                </c:pt>
                <c:pt idx="4">
                  <c:v>20.0</c:v>
                </c:pt>
                <c:pt idx="5">
                  <c:v>48.0</c:v>
                </c:pt>
              </c:numCache>
            </c:numRef>
          </c:xVal>
          <c:yVal>
            <c:numRef>
              <c:f>Tabelle1!$C$3:$C$9</c:f>
              <c:numCache>
                <c:formatCode>General</c:formatCode>
                <c:ptCount val="7"/>
                <c:pt idx="0">
                  <c:v>74.7</c:v>
                </c:pt>
                <c:pt idx="1">
                  <c:v>77.6</c:v>
                </c:pt>
                <c:pt idx="2">
                  <c:v>85.0</c:v>
                </c:pt>
                <c:pt idx="3">
                  <c:v>88.5</c:v>
                </c:pt>
                <c:pt idx="4">
                  <c:v>93.7</c:v>
                </c:pt>
                <c:pt idx="5">
                  <c:v>95.3</c:v>
                </c:pt>
                <c:pt idx="6">
                  <c:v>100.0</c:v>
                </c:pt>
              </c:numCache>
            </c:numRef>
          </c:yVal>
          <c:smooth val="1"/>
        </c:ser>
        <c:ser>
          <c:idx val="1"/>
          <c:order val="1"/>
          <c:tx>
            <c:strRef>
              <c:f>Tabelle1!$G$1</c:f>
              <c:strCache>
                <c:ptCount val="1"/>
                <c:pt idx="0">
                  <c:v>L30 D-55 Mikropartikel in HCl pH 1</c:v>
                </c:pt>
              </c:strCache>
            </c:strRef>
          </c:tx>
          <c:spPr>
            <a:ln w="15875">
              <a:solidFill>
                <a:srgbClr val="993366"/>
              </a:solidFill>
              <a:prstDash val="solid"/>
            </a:ln>
          </c:spPr>
          <c:marker>
            <c:spPr>
              <a:solidFill>
                <a:srgbClr val="C0504D"/>
              </a:solidFill>
              <a:ln>
                <a:solidFill>
                  <a:srgbClr val="993366"/>
                </a:solidFill>
                <a:prstDash val="solid"/>
              </a:ln>
            </c:spPr>
          </c:marker>
          <c:xVal>
            <c:numRef>
              <c:f>Tabelle1!$M$3:$M$8</c:f>
              <c:numCache>
                <c:formatCode>General</c:formatCode>
                <c:ptCount val="6"/>
                <c:pt idx="0">
                  <c:v>0.083</c:v>
                </c:pt>
                <c:pt idx="1">
                  <c:v>0.5</c:v>
                </c:pt>
                <c:pt idx="2">
                  <c:v>3.0</c:v>
                </c:pt>
                <c:pt idx="3">
                  <c:v>5.0</c:v>
                </c:pt>
                <c:pt idx="4">
                  <c:v>20.0</c:v>
                </c:pt>
                <c:pt idx="5">
                  <c:v>48.0</c:v>
                </c:pt>
              </c:numCache>
            </c:numRef>
          </c:xVal>
          <c:yVal>
            <c:numRef>
              <c:f>Tabelle1!$I$3:$I$8</c:f>
              <c:numCache>
                <c:formatCode>General</c:formatCode>
                <c:ptCount val="6"/>
                <c:pt idx="0">
                  <c:v>25.4</c:v>
                </c:pt>
                <c:pt idx="1">
                  <c:v>28.5</c:v>
                </c:pt>
                <c:pt idx="2">
                  <c:v>36.9</c:v>
                </c:pt>
                <c:pt idx="3">
                  <c:v>39.1</c:v>
                </c:pt>
                <c:pt idx="4">
                  <c:v>44.6</c:v>
                </c:pt>
                <c:pt idx="5">
                  <c:v>65.0</c:v>
                </c:pt>
              </c:numCache>
            </c:numRef>
          </c:yVal>
          <c:smooth val="1"/>
        </c:ser>
        <c:ser>
          <c:idx val="2"/>
          <c:order val="2"/>
          <c:tx>
            <c:strRef>
              <c:f>Tabelle1!$A$12</c:f>
              <c:strCache>
                <c:ptCount val="1"/>
                <c:pt idx="0">
                  <c:v>L30 D-55 Mikropartikel in PBS pH 6,8</c:v>
                </c:pt>
              </c:strCache>
            </c:strRef>
          </c:tx>
          <c:spPr>
            <a:ln w="15875">
              <a:solidFill>
                <a:srgbClr val="99CC00"/>
              </a:solidFill>
              <a:prstDash val="solid"/>
            </a:ln>
          </c:spPr>
          <c:marker>
            <c:spPr>
              <a:solidFill>
                <a:srgbClr val="9BBB59"/>
              </a:solidFill>
              <a:ln>
                <a:solidFill>
                  <a:srgbClr val="99CC00"/>
                </a:solidFill>
                <a:prstDash val="solid"/>
              </a:ln>
            </c:spPr>
          </c:marker>
          <c:xVal>
            <c:numRef>
              <c:f>Tabelle1!$M$3:$M$8</c:f>
              <c:numCache>
                <c:formatCode>General</c:formatCode>
                <c:ptCount val="6"/>
                <c:pt idx="0">
                  <c:v>0.083</c:v>
                </c:pt>
                <c:pt idx="1">
                  <c:v>0.5</c:v>
                </c:pt>
                <c:pt idx="2">
                  <c:v>3.0</c:v>
                </c:pt>
                <c:pt idx="3">
                  <c:v>5.0</c:v>
                </c:pt>
                <c:pt idx="4">
                  <c:v>20.0</c:v>
                </c:pt>
                <c:pt idx="5">
                  <c:v>48.0</c:v>
                </c:pt>
              </c:numCache>
            </c:numRef>
          </c:xVal>
          <c:yVal>
            <c:numRef>
              <c:f>Tabelle1!$C$14:$C$19</c:f>
              <c:numCache>
                <c:formatCode>General</c:formatCode>
                <c:ptCount val="6"/>
                <c:pt idx="0">
                  <c:v>66.9</c:v>
                </c:pt>
                <c:pt idx="1">
                  <c:v>70.0</c:v>
                </c:pt>
                <c:pt idx="2">
                  <c:v>75.3</c:v>
                </c:pt>
                <c:pt idx="3">
                  <c:v>76.8</c:v>
                </c:pt>
                <c:pt idx="4">
                  <c:v>78.5</c:v>
                </c:pt>
                <c:pt idx="5">
                  <c:v>80.4</c:v>
                </c:pt>
              </c:numCache>
            </c:numRef>
          </c:yVal>
          <c:smooth val="1"/>
        </c:ser>
        <c:dLbls>
          <c:showLegendKey val="0"/>
          <c:showVal val="0"/>
          <c:showCatName val="0"/>
          <c:showSerName val="0"/>
          <c:showPercent val="0"/>
          <c:showBubbleSize val="0"/>
        </c:dLbls>
        <c:axId val="2106810872"/>
        <c:axId val="2106819112"/>
      </c:scatterChart>
      <c:valAx>
        <c:axId val="2106810872"/>
        <c:scaling>
          <c:orientation val="minMax"/>
        </c:scaling>
        <c:delete val="0"/>
        <c:axPos val="b"/>
        <c:title>
          <c:tx>
            <c:rich>
              <a:bodyPr/>
              <a:lstStyle/>
              <a:p>
                <a:pPr>
                  <a:defRPr/>
                </a:pPr>
                <a:r>
                  <a:rPr lang="de-DE" baseline="0"/>
                  <a:t>Zeit [h]</a:t>
                </a:r>
                <a:endParaRPr lang="de-DE"/>
              </a:p>
            </c:rich>
          </c:tx>
          <c:layout>
            <c:manualLayout>
              <c:xMode val="edge"/>
              <c:yMode val="edge"/>
              <c:x val="0.451144369612358"/>
              <c:y val="0.927421305711939"/>
            </c:manualLayout>
          </c:layout>
          <c:overlay val="0"/>
          <c:spPr>
            <a:noFill/>
            <a:ln w="25400">
              <a:noFill/>
            </a:ln>
          </c:spPr>
        </c:title>
        <c:numFmt formatCode="General" sourceLinked="1"/>
        <c:majorTickMark val="out"/>
        <c:minorTickMark val="none"/>
        <c:tickLblPos val="nextTo"/>
        <c:spPr>
          <a:ln w="3175">
            <a:solidFill>
              <a:srgbClr val="808080"/>
            </a:solidFill>
            <a:prstDash val="solid"/>
          </a:ln>
        </c:spPr>
        <c:txPr>
          <a:bodyPr rot="0" vert="horz"/>
          <a:lstStyle/>
          <a:p>
            <a:pPr>
              <a:defRPr sz="900" b="0" i="0" u="none" strike="noStrike" baseline="0">
                <a:solidFill>
                  <a:srgbClr val="000000"/>
                </a:solidFill>
                <a:latin typeface="Calibri"/>
                <a:ea typeface="Calibri"/>
                <a:cs typeface="Calibri"/>
              </a:defRPr>
            </a:pPr>
            <a:endParaRPr lang="de-DE"/>
          </a:p>
        </c:txPr>
        <c:crossAx val="2106819112"/>
        <c:crosses val="autoZero"/>
        <c:crossBetween val="midCat"/>
      </c:valAx>
      <c:valAx>
        <c:axId val="2106819112"/>
        <c:scaling>
          <c:orientation val="minMax"/>
          <c:max val="100.0"/>
        </c:scaling>
        <c:delete val="0"/>
        <c:axPos val="l"/>
        <c:majorGridlines>
          <c:spPr>
            <a:ln w="3175">
              <a:solidFill>
                <a:srgbClr val="808080">
                  <a:alpha val="70000"/>
                </a:srgbClr>
              </a:solidFill>
              <a:prstDash val="solid"/>
            </a:ln>
          </c:spPr>
        </c:majorGridlines>
        <c:title>
          <c:tx>
            <c:rich>
              <a:bodyPr rot="-5400000" vert="horz"/>
              <a:lstStyle/>
              <a:p>
                <a:pPr>
                  <a:defRPr/>
                </a:pPr>
                <a:r>
                  <a:rPr lang="de-DE"/>
                  <a:t>Desmopressin Freisetzung</a:t>
                </a:r>
                <a:r>
                  <a:rPr lang="de-DE" baseline="0"/>
                  <a:t> [%]</a:t>
                </a:r>
                <a:endParaRPr lang="de-DE"/>
              </a:p>
            </c:rich>
          </c:tx>
          <c:layout>
            <c:manualLayout>
              <c:xMode val="edge"/>
              <c:yMode val="edge"/>
              <c:x val="0.0461264283467869"/>
              <c:y val="0.31920164655677"/>
            </c:manualLayout>
          </c:layout>
          <c:overlay val="0"/>
          <c:spPr>
            <a:noFill/>
            <a:ln w="25400">
              <a:noFill/>
            </a:ln>
          </c:spPr>
        </c:title>
        <c:numFmt formatCode="General" sourceLinked="1"/>
        <c:majorTickMark val="out"/>
        <c:minorTickMark val="none"/>
        <c:tickLblPos val="nextTo"/>
        <c:spPr>
          <a:ln w="3175">
            <a:solidFill>
              <a:srgbClr val="808080"/>
            </a:solidFill>
            <a:prstDash val="solid"/>
          </a:ln>
        </c:spPr>
        <c:txPr>
          <a:bodyPr/>
          <a:lstStyle/>
          <a:p>
            <a:pPr>
              <a:defRPr sz="900"/>
            </a:pPr>
            <a:endParaRPr lang="de-DE"/>
          </a:p>
        </c:txPr>
        <c:crossAx val="2106810872"/>
        <c:crosses val="autoZero"/>
        <c:crossBetween val="midCat"/>
      </c:valAx>
      <c:spPr>
        <a:solidFill>
          <a:srgbClr val="FFFFFF"/>
        </a:solidFill>
        <a:ln w="25400">
          <a:noFill/>
        </a:ln>
      </c:spPr>
    </c:plotArea>
    <c:legend>
      <c:legendPos val="r"/>
      <c:layout>
        <c:manualLayout>
          <c:xMode val="edge"/>
          <c:yMode val="edge"/>
          <c:x val="0.11217125220706"/>
          <c:y val="0.0"/>
          <c:w val="0.73686952774891"/>
          <c:h val="0.161842849944886"/>
        </c:manualLayout>
      </c:layout>
      <c:overlay val="0"/>
      <c:spPr>
        <a:noFill/>
        <a:ln w="25400">
          <a:noFill/>
        </a:ln>
      </c:spPr>
      <c:txPr>
        <a:bodyPr/>
        <a:lstStyle/>
        <a:p>
          <a:pPr>
            <a:defRPr sz="900"/>
          </a:pPr>
          <a:endParaRPr lang="de-DE"/>
        </a:p>
      </c:txPr>
    </c:legend>
    <c:plotVisOnly val="1"/>
    <c:dispBlanksAs val="gap"/>
    <c:showDLblsOverMax val="0"/>
  </c:chart>
  <c:spPr>
    <a:solidFill>
      <a:srgbClr val="FFFFFF"/>
    </a:solidFill>
    <a:ln w="3175">
      <a:noFill/>
      <a:prstDash val="solid"/>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813242856838"/>
          <c:y val="0.0550310765057713"/>
          <c:w val="0.524820647419077"/>
          <c:h val="0.738797724633866"/>
        </c:manualLayout>
      </c:layout>
      <c:scatterChart>
        <c:scatterStyle val="smoothMarker"/>
        <c:varyColors val="0"/>
        <c:ser>
          <c:idx val="0"/>
          <c:order val="0"/>
          <c:tx>
            <c:strRef>
              <c:f>RG752H_rota!$B$89</c:f>
              <c:strCache>
                <c:ptCount val="1"/>
                <c:pt idx="0">
                  <c:v>Intensitätsgewichtet</c:v>
                </c:pt>
              </c:strCache>
            </c:strRef>
          </c:tx>
          <c:spPr>
            <a:ln w="15875">
              <a:solidFill>
                <a:srgbClr val="0000FF"/>
              </a:solidFill>
            </a:ln>
          </c:spPr>
          <c:marker>
            <c:symbol val="none"/>
          </c:marker>
          <c:xVal>
            <c:numRef>
              <c:f>RG752H_rota!$A$90:$A$124</c:f>
              <c:numCache>
                <c:formatCode>0.00</c:formatCode>
                <c:ptCount val="35"/>
                <c:pt idx="0">
                  <c:v>8.0</c:v>
                </c:pt>
                <c:pt idx="1">
                  <c:v>9.360000000000004</c:v>
                </c:pt>
                <c:pt idx="2">
                  <c:v>10.95000000000002</c:v>
                </c:pt>
                <c:pt idx="3">
                  <c:v>12.81</c:v>
                </c:pt>
                <c:pt idx="4">
                  <c:v>14.99</c:v>
                </c:pt>
                <c:pt idx="5">
                  <c:v>17.54</c:v>
                </c:pt>
                <c:pt idx="6">
                  <c:v>20.52</c:v>
                </c:pt>
                <c:pt idx="7">
                  <c:v>24.01</c:v>
                </c:pt>
                <c:pt idx="8">
                  <c:v>28.09</c:v>
                </c:pt>
                <c:pt idx="9">
                  <c:v>32.86</c:v>
                </c:pt>
                <c:pt idx="10">
                  <c:v>38.45</c:v>
                </c:pt>
                <c:pt idx="11">
                  <c:v>44.99</c:v>
                </c:pt>
                <c:pt idx="12">
                  <c:v>52.63</c:v>
                </c:pt>
                <c:pt idx="13">
                  <c:v>61.58</c:v>
                </c:pt>
                <c:pt idx="14">
                  <c:v>72.05</c:v>
                </c:pt>
                <c:pt idx="15">
                  <c:v>84.3</c:v>
                </c:pt>
                <c:pt idx="16">
                  <c:v>98.63</c:v>
                </c:pt>
                <c:pt idx="17">
                  <c:v>115.39</c:v>
                </c:pt>
                <c:pt idx="18">
                  <c:v>135.01</c:v>
                </c:pt>
                <c:pt idx="19">
                  <c:v>157.96</c:v>
                </c:pt>
                <c:pt idx="20">
                  <c:v>184.81</c:v>
                </c:pt>
                <c:pt idx="21">
                  <c:v>216.23</c:v>
                </c:pt>
                <c:pt idx="22">
                  <c:v>252.9800000000004</c:v>
                </c:pt>
                <c:pt idx="23">
                  <c:v>295.9899999999988</c:v>
                </c:pt>
                <c:pt idx="24">
                  <c:v>346.3</c:v>
                </c:pt>
                <c:pt idx="25">
                  <c:v>405.17</c:v>
                </c:pt>
                <c:pt idx="26">
                  <c:v>474.04</c:v>
                </c:pt>
                <c:pt idx="27">
                  <c:v>554.62</c:v>
                </c:pt>
                <c:pt idx="28">
                  <c:v>648.9</c:v>
                </c:pt>
                <c:pt idx="29">
                  <c:v>759.21</c:v>
                </c:pt>
                <c:pt idx="30">
                  <c:v>888.2700000000005</c:v>
                </c:pt>
                <c:pt idx="31">
                  <c:v>1039.26</c:v>
                </c:pt>
                <c:pt idx="32">
                  <c:v>1215.93</c:v>
                </c:pt>
                <c:pt idx="33">
                  <c:v>1422.62</c:v>
                </c:pt>
                <c:pt idx="34">
                  <c:v>1664.45</c:v>
                </c:pt>
              </c:numCache>
            </c:numRef>
          </c:xVal>
          <c:yVal>
            <c:numRef>
              <c:f>RG752H_rota!$B$90:$B$124</c:f>
              <c:numCache>
                <c:formatCode>0.00</c:formatCode>
                <c:ptCount val="35"/>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0.19</c:v>
                </c:pt>
                <c:pt idx="22">
                  <c:v>0.53</c:v>
                </c:pt>
                <c:pt idx="23">
                  <c:v>0.98</c:v>
                </c:pt>
                <c:pt idx="24">
                  <c:v>1.0</c:v>
                </c:pt>
                <c:pt idx="25">
                  <c:v>0.670000000000002</c:v>
                </c:pt>
                <c:pt idx="26">
                  <c:v>0.21</c:v>
                </c:pt>
                <c:pt idx="27">
                  <c:v>0.0</c:v>
                </c:pt>
                <c:pt idx="28">
                  <c:v>0.0</c:v>
                </c:pt>
                <c:pt idx="29">
                  <c:v>0.0</c:v>
                </c:pt>
                <c:pt idx="30">
                  <c:v>0.0</c:v>
                </c:pt>
                <c:pt idx="31">
                  <c:v>0.0</c:v>
                </c:pt>
                <c:pt idx="32">
                  <c:v>0.0</c:v>
                </c:pt>
                <c:pt idx="33">
                  <c:v>0.0</c:v>
                </c:pt>
                <c:pt idx="34">
                  <c:v>0.0</c:v>
                </c:pt>
              </c:numCache>
            </c:numRef>
          </c:yVal>
          <c:smooth val="1"/>
        </c:ser>
        <c:ser>
          <c:idx val="1"/>
          <c:order val="1"/>
          <c:tx>
            <c:strRef>
              <c:f>RG752H_rota!$C$89</c:f>
              <c:strCache>
                <c:ptCount val="1"/>
                <c:pt idx="0">
                  <c:v>Volumengewichtet</c:v>
                </c:pt>
              </c:strCache>
            </c:strRef>
          </c:tx>
          <c:spPr>
            <a:ln w="15875">
              <a:solidFill>
                <a:srgbClr val="FF0000"/>
              </a:solidFill>
            </a:ln>
          </c:spPr>
          <c:marker>
            <c:symbol val="none"/>
          </c:marker>
          <c:xVal>
            <c:numRef>
              <c:f>RG752H_rota!$A$90:$A$124</c:f>
              <c:numCache>
                <c:formatCode>0.00</c:formatCode>
                <c:ptCount val="35"/>
                <c:pt idx="0">
                  <c:v>8.0</c:v>
                </c:pt>
                <c:pt idx="1">
                  <c:v>9.360000000000004</c:v>
                </c:pt>
                <c:pt idx="2">
                  <c:v>10.95000000000002</c:v>
                </c:pt>
                <c:pt idx="3">
                  <c:v>12.81</c:v>
                </c:pt>
                <c:pt idx="4">
                  <c:v>14.99</c:v>
                </c:pt>
                <c:pt idx="5">
                  <c:v>17.54</c:v>
                </c:pt>
                <c:pt idx="6">
                  <c:v>20.52</c:v>
                </c:pt>
                <c:pt idx="7">
                  <c:v>24.01</c:v>
                </c:pt>
                <c:pt idx="8">
                  <c:v>28.09</c:v>
                </c:pt>
                <c:pt idx="9">
                  <c:v>32.86</c:v>
                </c:pt>
                <c:pt idx="10">
                  <c:v>38.45</c:v>
                </c:pt>
                <c:pt idx="11">
                  <c:v>44.99</c:v>
                </c:pt>
                <c:pt idx="12">
                  <c:v>52.63</c:v>
                </c:pt>
                <c:pt idx="13">
                  <c:v>61.58</c:v>
                </c:pt>
                <c:pt idx="14">
                  <c:v>72.05</c:v>
                </c:pt>
                <c:pt idx="15">
                  <c:v>84.3</c:v>
                </c:pt>
                <c:pt idx="16">
                  <c:v>98.63</c:v>
                </c:pt>
                <c:pt idx="17">
                  <c:v>115.39</c:v>
                </c:pt>
                <c:pt idx="18">
                  <c:v>135.01</c:v>
                </c:pt>
                <c:pt idx="19">
                  <c:v>157.96</c:v>
                </c:pt>
                <c:pt idx="20">
                  <c:v>184.81</c:v>
                </c:pt>
                <c:pt idx="21">
                  <c:v>216.23</c:v>
                </c:pt>
                <c:pt idx="22">
                  <c:v>252.9800000000004</c:v>
                </c:pt>
                <c:pt idx="23">
                  <c:v>295.9899999999988</c:v>
                </c:pt>
                <c:pt idx="24">
                  <c:v>346.3</c:v>
                </c:pt>
                <c:pt idx="25">
                  <c:v>405.17</c:v>
                </c:pt>
                <c:pt idx="26">
                  <c:v>474.04</c:v>
                </c:pt>
                <c:pt idx="27">
                  <c:v>554.62</c:v>
                </c:pt>
                <c:pt idx="28">
                  <c:v>648.9</c:v>
                </c:pt>
                <c:pt idx="29">
                  <c:v>759.21</c:v>
                </c:pt>
                <c:pt idx="30">
                  <c:v>888.2700000000005</c:v>
                </c:pt>
                <c:pt idx="31">
                  <c:v>1039.26</c:v>
                </c:pt>
                <c:pt idx="32">
                  <c:v>1215.93</c:v>
                </c:pt>
                <c:pt idx="33">
                  <c:v>1422.62</c:v>
                </c:pt>
                <c:pt idx="34">
                  <c:v>1664.45</c:v>
                </c:pt>
              </c:numCache>
            </c:numRef>
          </c:xVal>
          <c:yVal>
            <c:numRef>
              <c:f>RG752H_rota!$C$90:$C$124</c:f>
              <c:numCache>
                <c:formatCode>0.00</c:formatCode>
                <c:ptCount val="35"/>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0.28</c:v>
                </c:pt>
                <c:pt idx="22">
                  <c:v>0.620000000000002</c:v>
                </c:pt>
                <c:pt idx="23">
                  <c:v>0.97</c:v>
                </c:pt>
                <c:pt idx="24">
                  <c:v>1.0</c:v>
                </c:pt>
                <c:pt idx="25">
                  <c:v>0.88</c:v>
                </c:pt>
                <c:pt idx="26">
                  <c:v>0.320000000000001</c:v>
                </c:pt>
                <c:pt idx="27">
                  <c:v>0.0</c:v>
                </c:pt>
                <c:pt idx="28">
                  <c:v>0.0</c:v>
                </c:pt>
                <c:pt idx="29">
                  <c:v>0.0</c:v>
                </c:pt>
                <c:pt idx="30">
                  <c:v>0.0</c:v>
                </c:pt>
                <c:pt idx="31">
                  <c:v>0.0</c:v>
                </c:pt>
                <c:pt idx="32">
                  <c:v>0.0</c:v>
                </c:pt>
                <c:pt idx="33">
                  <c:v>0.0</c:v>
                </c:pt>
                <c:pt idx="34">
                  <c:v>0.0</c:v>
                </c:pt>
              </c:numCache>
            </c:numRef>
          </c:yVal>
          <c:smooth val="1"/>
        </c:ser>
        <c:ser>
          <c:idx val="2"/>
          <c:order val="2"/>
          <c:tx>
            <c:strRef>
              <c:f>RG752H_rota!$D$89</c:f>
              <c:strCache>
                <c:ptCount val="1"/>
                <c:pt idx="0">
                  <c:v>Anzahlgewichtet</c:v>
                </c:pt>
              </c:strCache>
            </c:strRef>
          </c:tx>
          <c:spPr>
            <a:ln w="15875">
              <a:solidFill>
                <a:srgbClr val="008000"/>
              </a:solidFill>
            </a:ln>
          </c:spPr>
          <c:marker>
            <c:symbol val="none"/>
          </c:marker>
          <c:xVal>
            <c:numRef>
              <c:f>RG752H_rota!$A$90:$A$124</c:f>
              <c:numCache>
                <c:formatCode>0.00</c:formatCode>
                <c:ptCount val="35"/>
                <c:pt idx="0">
                  <c:v>8.0</c:v>
                </c:pt>
                <c:pt idx="1">
                  <c:v>9.360000000000004</c:v>
                </c:pt>
                <c:pt idx="2">
                  <c:v>10.95000000000002</c:v>
                </c:pt>
                <c:pt idx="3">
                  <c:v>12.81</c:v>
                </c:pt>
                <c:pt idx="4">
                  <c:v>14.99</c:v>
                </c:pt>
                <c:pt idx="5">
                  <c:v>17.54</c:v>
                </c:pt>
                <c:pt idx="6">
                  <c:v>20.52</c:v>
                </c:pt>
                <c:pt idx="7">
                  <c:v>24.01</c:v>
                </c:pt>
                <c:pt idx="8">
                  <c:v>28.09</c:v>
                </c:pt>
                <c:pt idx="9">
                  <c:v>32.86</c:v>
                </c:pt>
                <c:pt idx="10">
                  <c:v>38.45</c:v>
                </c:pt>
                <c:pt idx="11">
                  <c:v>44.99</c:v>
                </c:pt>
                <c:pt idx="12">
                  <c:v>52.63</c:v>
                </c:pt>
                <c:pt idx="13">
                  <c:v>61.58</c:v>
                </c:pt>
                <c:pt idx="14">
                  <c:v>72.05</c:v>
                </c:pt>
                <c:pt idx="15">
                  <c:v>84.3</c:v>
                </c:pt>
                <c:pt idx="16">
                  <c:v>98.63</c:v>
                </c:pt>
                <c:pt idx="17">
                  <c:v>115.39</c:v>
                </c:pt>
                <c:pt idx="18">
                  <c:v>135.01</c:v>
                </c:pt>
                <c:pt idx="19">
                  <c:v>157.96</c:v>
                </c:pt>
                <c:pt idx="20">
                  <c:v>184.81</c:v>
                </c:pt>
                <c:pt idx="21">
                  <c:v>216.23</c:v>
                </c:pt>
                <c:pt idx="22">
                  <c:v>252.9800000000004</c:v>
                </c:pt>
                <c:pt idx="23">
                  <c:v>295.9899999999988</c:v>
                </c:pt>
                <c:pt idx="24">
                  <c:v>346.3</c:v>
                </c:pt>
                <c:pt idx="25">
                  <c:v>405.17</c:v>
                </c:pt>
                <c:pt idx="26">
                  <c:v>474.04</c:v>
                </c:pt>
                <c:pt idx="27">
                  <c:v>554.62</c:v>
                </c:pt>
                <c:pt idx="28">
                  <c:v>648.9</c:v>
                </c:pt>
                <c:pt idx="29">
                  <c:v>759.21</c:v>
                </c:pt>
                <c:pt idx="30">
                  <c:v>888.2700000000005</c:v>
                </c:pt>
                <c:pt idx="31">
                  <c:v>1039.26</c:v>
                </c:pt>
                <c:pt idx="32">
                  <c:v>1215.93</c:v>
                </c:pt>
                <c:pt idx="33">
                  <c:v>1422.62</c:v>
                </c:pt>
                <c:pt idx="34">
                  <c:v>1664.45</c:v>
                </c:pt>
              </c:numCache>
            </c:numRef>
          </c:xVal>
          <c:yVal>
            <c:numRef>
              <c:f>RG752H_rota!$D$90:$D$124</c:f>
              <c:numCache>
                <c:formatCode>0.00</c:formatCode>
                <c:ptCount val="35"/>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0.720000000000002</c:v>
                </c:pt>
                <c:pt idx="22">
                  <c:v>1.0</c:v>
                </c:pt>
                <c:pt idx="23">
                  <c:v>0.98</c:v>
                </c:pt>
                <c:pt idx="24">
                  <c:v>0.630000000000002</c:v>
                </c:pt>
                <c:pt idx="25">
                  <c:v>0.34</c:v>
                </c:pt>
                <c:pt idx="26">
                  <c:v>0.08</c:v>
                </c:pt>
                <c:pt idx="27">
                  <c:v>0.0</c:v>
                </c:pt>
                <c:pt idx="28">
                  <c:v>0.0</c:v>
                </c:pt>
                <c:pt idx="29">
                  <c:v>0.0</c:v>
                </c:pt>
                <c:pt idx="30">
                  <c:v>0.0</c:v>
                </c:pt>
                <c:pt idx="31">
                  <c:v>0.0</c:v>
                </c:pt>
                <c:pt idx="32">
                  <c:v>0.0</c:v>
                </c:pt>
                <c:pt idx="33">
                  <c:v>0.0</c:v>
                </c:pt>
                <c:pt idx="34">
                  <c:v>0.0</c:v>
                </c:pt>
              </c:numCache>
            </c:numRef>
          </c:yVal>
          <c:smooth val="1"/>
        </c:ser>
        <c:dLbls>
          <c:showLegendKey val="0"/>
          <c:showVal val="0"/>
          <c:showCatName val="0"/>
          <c:showSerName val="0"/>
          <c:showPercent val="0"/>
          <c:showBubbleSize val="0"/>
        </c:dLbls>
        <c:axId val="2106923816"/>
        <c:axId val="2106929432"/>
      </c:scatterChart>
      <c:valAx>
        <c:axId val="2106923816"/>
        <c:scaling>
          <c:orientation val="minMax"/>
          <c:max val="1200.0"/>
        </c:scaling>
        <c:delete val="0"/>
        <c:axPos val="b"/>
        <c:title>
          <c:tx>
            <c:rich>
              <a:bodyPr/>
              <a:lstStyle/>
              <a:p>
                <a:pPr>
                  <a:defRPr sz="1100" b="1" i="0" u="none" strike="noStrike" baseline="0">
                    <a:solidFill>
                      <a:srgbClr val="000000"/>
                    </a:solidFill>
                    <a:latin typeface="Calibri"/>
                    <a:ea typeface="Calibri"/>
                    <a:cs typeface="Calibri"/>
                  </a:defRPr>
                </a:pPr>
                <a:r>
                  <a:rPr lang="de-DE" sz="1100"/>
                  <a:t>Partikeldurchmesser [nm]</a:t>
                </a:r>
              </a:p>
            </c:rich>
          </c:tx>
          <c:overlay val="0"/>
        </c:title>
        <c:numFmt formatCode="0" sourceLinked="0"/>
        <c:majorTickMark val="out"/>
        <c:minorTickMark val="none"/>
        <c:tickLblPos val="nextTo"/>
        <c:txPr>
          <a:bodyPr rot="0" vert="horz"/>
          <a:lstStyle/>
          <a:p>
            <a:pPr>
              <a:defRPr sz="900" b="0" i="0" u="none" strike="noStrike" baseline="0">
                <a:solidFill>
                  <a:srgbClr val="000000"/>
                </a:solidFill>
                <a:latin typeface="Calibri"/>
                <a:ea typeface="Calibri"/>
                <a:cs typeface="Calibri"/>
              </a:defRPr>
            </a:pPr>
            <a:endParaRPr lang="de-DE"/>
          </a:p>
        </c:txPr>
        <c:crossAx val="2106929432"/>
        <c:crosses val="autoZero"/>
        <c:crossBetween val="midCat"/>
      </c:valAx>
      <c:valAx>
        <c:axId val="2106929432"/>
        <c:scaling>
          <c:orientation val="minMax"/>
          <c:max val="1.1"/>
          <c:min val="0.0"/>
        </c:scaling>
        <c:delete val="0"/>
        <c:axPos val="l"/>
        <c:majorGridlines/>
        <c:title>
          <c:tx>
            <c:rich>
              <a:bodyPr/>
              <a:lstStyle/>
              <a:p>
                <a:pPr>
                  <a:defRPr sz="1100" b="1" i="0" u="none" strike="noStrike" baseline="0">
                    <a:solidFill>
                      <a:srgbClr val="000000"/>
                    </a:solidFill>
                    <a:latin typeface="Calibri"/>
                    <a:ea typeface="Calibri"/>
                    <a:cs typeface="Calibri"/>
                  </a:defRPr>
                </a:pPr>
                <a:r>
                  <a:rPr lang="de-DE" sz="1100"/>
                  <a:t>rel. Häufigkeit [%*100]</a:t>
                </a:r>
              </a:p>
            </c:rich>
          </c:tx>
          <c:overlay val="0"/>
        </c:title>
        <c:numFmt formatCode="0.00" sourceLinked="1"/>
        <c:majorTickMark val="out"/>
        <c:minorTickMark val="none"/>
        <c:tickLblPos val="nextTo"/>
        <c:txPr>
          <a:bodyPr/>
          <a:lstStyle/>
          <a:p>
            <a:pPr>
              <a:defRPr sz="900" baseline="0"/>
            </a:pPr>
            <a:endParaRPr lang="de-DE"/>
          </a:p>
        </c:txPr>
        <c:crossAx val="2106923816"/>
        <c:crosses val="autoZero"/>
        <c:crossBetween val="midCat"/>
        <c:majorUnit val="0.3"/>
        <c:minorUnit val="0.0400000000000001"/>
      </c:valAx>
    </c:plotArea>
    <c:legend>
      <c:legendPos val="r"/>
      <c:layout>
        <c:manualLayout>
          <c:xMode val="edge"/>
          <c:yMode val="edge"/>
          <c:x val="0.688787220109512"/>
          <c:y val="0.349422305520955"/>
          <c:w val="0.311212870602897"/>
          <c:h val="0.29147914928631"/>
        </c:manualLayout>
      </c:layout>
      <c:overlay val="0"/>
    </c:legend>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'RG753H RESS'!$C$4</c:f>
              <c:strCache>
                <c:ptCount val="1"/>
                <c:pt idx="0">
                  <c:v>Intensitätsgewichtet</c:v>
                </c:pt>
              </c:strCache>
            </c:strRef>
          </c:tx>
          <c:spPr>
            <a:ln w="15875">
              <a:solidFill>
                <a:srgbClr val="0000FF"/>
              </a:solidFill>
            </a:ln>
          </c:spPr>
          <c:marker>
            <c:symbol val="none"/>
          </c:marker>
          <c:xVal>
            <c:numRef>
              <c:f>'RG753H RESS'!$B$5:$B$64</c:f>
              <c:numCache>
                <c:formatCode>General</c:formatCode>
                <c:ptCount val="60"/>
                <c:pt idx="0">
                  <c:v>0.0</c:v>
                </c:pt>
                <c:pt idx="1">
                  <c:v>2.25</c:v>
                </c:pt>
                <c:pt idx="2">
                  <c:v>2.53</c:v>
                </c:pt>
                <c:pt idx="3">
                  <c:v>2.84</c:v>
                </c:pt>
                <c:pt idx="4">
                  <c:v>3.19</c:v>
                </c:pt>
                <c:pt idx="5">
                  <c:v>3.59</c:v>
                </c:pt>
                <c:pt idx="6">
                  <c:v>4.04</c:v>
                </c:pt>
                <c:pt idx="7">
                  <c:v>4.54</c:v>
                </c:pt>
                <c:pt idx="8">
                  <c:v>5.1</c:v>
                </c:pt>
                <c:pt idx="9">
                  <c:v>5.74</c:v>
                </c:pt>
                <c:pt idx="10">
                  <c:v>6.45</c:v>
                </c:pt>
                <c:pt idx="11">
                  <c:v>7.25</c:v>
                </c:pt>
                <c:pt idx="12">
                  <c:v>8.15</c:v>
                </c:pt>
                <c:pt idx="13">
                  <c:v>9.16</c:v>
                </c:pt>
                <c:pt idx="14">
                  <c:v>10.3</c:v>
                </c:pt>
                <c:pt idx="15">
                  <c:v>11.58</c:v>
                </c:pt>
                <c:pt idx="16">
                  <c:v>13.02</c:v>
                </c:pt>
                <c:pt idx="17">
                  <c:v>14.64</c:v>
                </c:pt>
                <c:pt idx="18">
                  <c:v>16.45</c:v>
                </c:pt>
                <c:pt idx="19">
                  <c:v>18.5</c:v>
                </c:pt>
                <c:pt idx="20">
                  <c:v>20.8</c:v>
                </c:pt>
                <c:pt idx="21">
                  <c:v>23.38</c:v>
                </c:pt>
                <c:pt idx="22">
                  <c:v>26.27999999999999</c:v>
                </c:pt>
                <c:pt idx="23">
                  <c:v>29.55</c:v>
                </c:pt>
                <c:pt idx="24">
                  <c:v>33.22000000000001</c:v>
                </c:pt>
                <c:pt idx="25">
                  <c:v>37.34</c:v>
                </c:pt>
                <c:pt idx="26">
                  <c:v>41.98</c:v>
                </c:pt>
                <c:pt idx="27">
                  <c:v>47.2</c:v>
                </c:pt>
                <c:pt idx="28">
                  <c:v>53.06</c:v>
                </c:pt>
                <c:pt idx="29">
                  <c:v>59.65</c:v>
                </c:pt>
                <c:pt idx="30">
                  <c:v>67.06</c:v>
                </c:pt>
                <c:pt idx="31">
                  <c:v>75.39</c:v>
                </c:pt>
                <c:pt idx="32">
                  <c:v>84.75</c:v>
                </c:pt>
                <c:pt idx="33">
                  <c:v>95.28</c:v>
                </c:pt>
                <c:pt idx="34">
                  <c:v>107.11</c:v>
                </c:pt>
                <c:pt idx="35">
                  <c:v>120.42</c:v>
                </c:pt>
                <c:pt idx="36">
                  <c:v>135.3800000000006</c:v>
                </c:pt>
                <c:pt idx="37">
                  <c:v>152.19</c:v>
                </c:pt>
                <c:pt idx="38">
                  <c:v>171.09</c:v>
                </c:pt>
                <c:pt idx="39">
                  <c:v>192.3500000000006</c:v>
                </c:pt>
                <c:pt idx="40">
                  <c:v>216.24</c:v>
                </c:pt>
                <c:pt idx="41">
                  <c:v>243.1</c:v>
                </c:pt>
                <c:pt idx="42">
                  <c:v>273.2899999999988</c:v>
                </c:pt>
                <c:pt idx="43">
                  <c:v>307.2299999999988</c:v>
                </c:pt>
                <c:pt idx="44">
                  <c:v>345.4</c:v>
                </c:pt>
                <c:pt idx="45">
                  <c:v>388.3</c:v>
                </c:pt>
                <c:pt idx="46">
                  <c:v>436.53</c:v>
                </c:pt>
                <c:pt idx="47">
                  <c:v>490.75</c:v>
                </c:pt>
                <c:pt idx="48">
                  <c:v>551.71</c:v>
                </c:pt>
                <c:pt idx="49">
                  <c:v>620.23</c:v>
                </c:pt>
                <c:pt idx="50">
                  <c:v>697.2700000000005</c:v>
                </c:pt>
                <c:pt idx="51">
                  <c:v>783.88</c:v>
                </c:pt>
                <c:pt idx="52">
                  <c:v>881.25</c:v>
                </c:pt>
                <c:pt idx="53">
                  <c:v>990.71</c:v>
                </c:pt>
                <c:pt idx="54">
                  <c:v>1113.76</c:v>
                </c:pt>
                <c:pt idx="55">
                  <c:v>1252.1</c:v>
                </c:pt>
                <c:pt idx="56">
                  <c:v>1407.63</c:v>
                </c:pt>
                <c:pt idx="57">
                  <c:v>1582.47</c:v>
                </c:pt>
                <c:pt idx="58">
                  <c:v>1779.03</c:v>
                </c:pt>
                <c:pt idx="59">
                  <c:v>2000.0</c:v>
                </c:pt>
              </c:numCache>
            </c:numRef>
          </c:xVal>
          <c:yVal>
            <c:numRef>
              <c:f>'RG753H RESS'!$C$5:$C$64</c:f>
              <c:numCache>
                <c:formatCode>General</c:formatCode>
                <c:ptCount val="60"/>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0.13</c:v>
                </c:pt>
                <c:pt idx="43">
                  <c:v>0.47</c:v>
                </c:pt>
                <c:pt idx="44">
                  <c:v>0.870000000000002</c:v>
                </c:pt>
                <c:pt idx="45">
                  <c:v>1.0</c:v>
                </c:pt>
                <c:pt idx="46">
                  <c:v>0.68</c:v>
                </c:pt>
                <c:pt idx="47">
                  <c:v>0.26</c:v>
                </c:pt>
                <c:pt idx="48">
                  <c:v>0.0</c:v>
                </c:pt>
                <c:pt idx="49">
                  <c:v>0.0</c:v>
                </c:pt>
                <c:pt idx="50">
                  <c:v>0.0</c:v>
                </c:pt>
                <c:pt idx="51">
                  <c:v>0.0</c:v>
                </c:pt>
                <c:pt idx="52">
                  <c:v>0.0</c:v>
                </c:pt>
                <c:pt idx="53">
                  <c:v>0.0</c:v>
                </c:pt>
                <c:pt idx="54">
                  <c:v>0.0</c:v>
                </c:pt>
                <c:pt idx="55">
                  <c:v>0.0</c:v>
                </c:pt>
                <c:pt idx="56">
                  <c:v>0.0</c:v>
                </c:pt>
                <c:pt idx="57">
                  <c:v>0.0</c:v>
                </c:pt>
                <c:pt idx="58">
                  <c:v>0.0</c:v>
                </c:pt>
                <c:pt idx="59">
                  <c:v>0.0</c:v>
                </c:pt>
              </c:numCache>
            </c:numRef>
          </c:yVal>
          <c:smooth val="1"/>
        </c:ser>
        <c:ser>
          <c:idx val="1"/>
          <c:order val="1"/>
          <c:tx>
            <c:strRef>
              <c:f>'RG753H RESS'!$D$4</c:f>
              <c:strCache>
                <c:ptCount val="1"/>
                <c:pt idx="0">
                  <c:v>Volumengewichtet</c:v>
                </c:pt>
              </c:strCache>
            </c:strRef>
          </c:tx>
          <c:spPr>
            <a:ln w="15875">
              <a:solidFill>
                <a:srgbClr val="FF0000"/>
              </a:solidFill>
            </a:ln>
          </c:spPr>
          <c:marker>
            <c:symbol val="none"/>
          </c:marker>
          <c:xVal>
            <c:numRef>
              <c:f>'RG753H RESS'!$B$5:$B$64</c:f>
              <c:numCache>
                <c:formatCode>General</c:formatCode>
                <c:ptCount val="60"/>
                <c:pt idx="0">
                  <c:v>0.0</c:v>
                </c:pt>
                <c:pt idx="1">
                  <c:v>2.25</c:v>
                </c:pt>
                <c:pt idx="2">
                  <c:v>2.53</c:v>
                </c:pt>
                <c:pt idx="3">
                  <c:v>2.84</c:v>
                </c:pt>
                <c:pt idx="4">
                  <c:v>3.19</c:v>
                </c:pt>
                <c:pt idx="5">
                  <c:v>3.59</c:v>
                </c:pt>
                <c:pt idx="6">
                  <c:v>4.04</c:v>
                </c:pt>
                <c:pt idx="7">
                  <c:v>4.54</c:v>
                </c:pt>
                <c:pt idx="8">
                  <c:v>5.1</c:v>
                </c:pt>
                <c:pt idx="9">
                  <c:v>5.74</c:v>
                </c:pt>
                <c:pt idx="10">
                  <c:v>6.45</c:v>
                </c:pt>
                <c:pt idx="11">
                  <c:v>7.25</c:v>
                </c:pt>
                <c:pt idx="12">
                  <c:v>8.15</c:v>
                </c:pt>
                <c:pt idx="13">
                  <c:v>9.16</c:v>
                </c:pt>
                <c:pt idx="14">
                  <c:v>10.3</c:v>
                </c:pt>
                <c:pt idx="15">
                  <c:v>11.58</c:v>
                </c:pt>
                <c:pt idx="16">
                  <c:v>13.02</c:v>
                </c:pt>
                <c:pt idx="17">
                  <c:v>14.64</c:v>
                </c:pt>
                <c:pt idx="18">
                  <c:v>16.45</c:v>
                </c:pt>
                <c:pt idx="19">
                  <c:v>18.5</c:v>
                </c:pt>
                <c:pt idx="20">
                  <c:v>20.8</c:v>
                </c:pt>
                <c:pt idx="21">
                  <c:v>23.38</c:v>
                </c:pt>
                <c:pt idx="22">
                  <c:v>26.27999999999999</c:v>
                </c:pt>
                <c:pt idx="23">
                  <c:v>29.55</c:v>
                </c:pt>
                <c:pt idx="24">
                  <c:v>33.22000000000001</c:v>
                </c:pt>
                <c:pt idx="25">
                  <c:v>37.34</c:v>
                </c:pt>
                <c:pt idx="26">
                  <c:v>41.98</c:v>
                </c:pt>
                <c:pt idx="27">
                  <c:v>47.2</c:v>
                </c:pt>
                <c:pt idx="28">
                  <c:v>53.06</c:v>
                </c:pt>
                <c:pt idx="29">
                  <c:v>59.65</c:v>
                </c:pt>
                <c:pt idx="30">
                  <c:v>67.06</c:v>
                </c:pt>
                <c:pt idx="31">
                  <c:v>75.39</c:v>
                </c:pt>
                <c:pt idx="32">
                  <c:v>84.75</c:v>
                </c:pt>
                <c:pt idx="33">
                  <c:v>95.28</c:v>
                </c:pt>
                <c:pt idx="34">
                  <c:v>107.11</c:v>
                </c:pt>
                <c:pt idx="35">
                  <c:v>120.42</c:v>
                </c:pt>
                <c:pt idx="36">
                  <c:v>135.3800000000006</c:v>
                </c:pt>
                <c:pt idx="37">
                  <c:v>152.19</c:v>
                </c:pt>
                <c:pt idx="38">
                  <c:v>171.09</c:v>
                </c:pt>
                <c:pt idx="39">
                  <c:v>192.3500000000006</c:v>
                </c:pt>
                <c:pt idx="40">
                  <c:v>216.24</c:v>
                </c:pt>
                <c:pt idx="41">
                  <c:v>243.1</c:v>
                </c:pt>
                <c:pt idx="42">
                  <c:v>273.2899999999988</c:v>
                </c:pt>
                <c:pt idx="43">
                  <c:v>307.2299999999988</c:v>
                </c:pt>
                <c:pt idx="44">
                  <c:v>345.4</c:v>
                </c:pt>
                <c:pt idx="45">
                  <c:v>388.3</c:v>
                </c:pt>
                <c:pt idx="46">
                  <c:v>436.53</c:v>
                </c:pt>
                <c:pt idx="47">
                  <c:v>490.75</c:v>
                </c:pt>
                <c:pt idx="48">
                  <c:v>551.71</c:v>
                </c:pt>
                <c:pt idx="49">
                  <c:v>620.23</c:v>
                </c:pt>
                <c:pt idx="50">
                  <c:v>697.2700000000005</c:v>
                </c:pt>
                <c:pt idx="51">
                  <c:v>783.88</c:v>
                </c:pt>
                <c:pt idx="52">
                  <c:v>881.25</c:v>
                </c:pt>
                <c:pt idx="53">
                  <c:v>990.71</c:v>
                </c:pt>
                <c:pt idx="54">
                  <c:v>1113.76</c:v>
                </c:pt>
                <c:pt idx="55">
                  <c:v>1252.1</c:v>
                </c:pt>
                <c:pt idx="56">
                  <c:v>1407.63</c:v>
                </c:pt>
                <c:pt idx="57">
                  <c:v>1582.47</c:v>
                </c:pt>
                <c:pt idx="58">
                  <c:v>1779.03</c:v>
                </c:pt>
                <c:pt idx="59">
                  <c:v>2000.0</c:v>
                </c:pt>
              </c:numCache>
            </c:numRef>
          </c:xVal>
          <c:yVal>
            <c:numRef>
              <c:f>'RG753H RESS'!$D$5:$D$64</c:f>
              <c:numCache>
                <c:formatCode>General</c:formatCode>
                <c:ptCount val="60"/>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0.1</c:v>
                </c:pt>
                <c:pt idx="43">
                  <c:v>0.34</c:v>
                </c:pt>
                <c:pt idx="44">
                  <c:v>0.690000000000002</c:v>
                </c:pt>
                <c:pt idx="45">
                  <c:v>1.0</c:v>
                </c:pt>
                <c:pt idx="46">
                  <c:v>0.760000000000002</c:v>
                </c:pt>
                <c:pt idx="47">
                  <c:v>0.34</c:v>
                </c:pt>
                <c:pt idx="48">
                  <c:v>0.0</c:v>
                </c:pt>
                <c:pt idx="49">
                  <c:v>0.0</c:v>
                </c:pt>
                <c:pt idx="50">
                  <c:v>0.0</c:v>
                </c:pt>
                <c:pt idx="51">
                  <c:v>0.0</c:v>
                </c:pt>
                <c:pt idx="52">
                  <c:v>0.0</c:v>
                </c:pt>
                <c:pt idx="53">
                  <c:v>0.0</c:v>
                </c:pt>
                <c:pt idx="54">
                  <c:v>0.0</c:v>
                </c:pt>
                <c:pt idx="55">
                  <c:v>0.0</c:v>
                </c:pt>
                <c:pt idx="56">
                  <c:v>0.0</c:v>
                </c:pt>
                <c:pt idx="57">
                  <c:v>0.0</c:v>
                </c:pt>
                <c:pt idx="58">
                  <c:v>0.0</c:v>
                </c:pt>
                <c:pt idx="59">
                  <c:v>0.0</c:v>
                </c:pt>
              </c:numCache>
            </c:numRef>
          </c:yVal>
          <c:smooth val="1"/>
        </c:ser>
        <c:ser>
          <c:idx val="2"/>
          <c:order val="2"/>
          <c:tx>
            <c:strRef>
              <c:f>'RG753H RESS'!$E$4</c:f>
              <c:strCache>
                <c:ptCount val="1"/>
                <c:pt idx="0">
                  <c:v>Anzahlgewichtet</c:v>
                </c:pt>
              </c:strCache>
            </c:strRef>
          </c:tx>
          <c:spPr>
            <a:ln w="15875">
              <a:solidFill>
                <a:srgbClr val="00B050"/>
              </a:solidFill>
            </a:ln>
          </c:spPr>
          <c:marker>
            <c:symbol val="none"/>
          </c:marker>
          <c:xVal>
            <c:numRef>
              <c:f>'RG753H RESS'!$B$5:$B$64</c:f>
              <c:numCache>
                <c:formatCode>General</c:formatCode>
                <c:ptCount val="60"/>
                <c:pt idx="0">
                  <c:v>0.0</c:v>
                </c:pt>
                <c:pt idx="1">
                  <c:v>2.25</c:v>
                </c:pt>
                <c:pt idx="2">
                  <c:v>2.53</c:v>
                </c:pt>
                <c:pt idx="3">
                  <c:v>2.84</c:v>
                </c:pt>
                <c:pt idx="4">
                  <c:v>3.19</c:v>
                </c:pt>
                <c:pt idx="5">
                  <c:v>3.59</c:v>
                </c:pt>
                <c:pt idx="6">
                  <c:v>4.04</c:v>
                </c:pt>
                <c:pt idx="7">
                  <c:v>4.54</c:v>
                </c:pt>
                <c:pt idx="8">
                  <c:v>5.1</c:v>
                </c:pt>
                <c:pt idx="9">
                  <c:v>5.74</c:v>
                </c:pt>
                <c:pt idx="10">
                  <c:v>6.45</c:v>
                </c:pt>
                <c:pt idx="11">
                  <c:v>7.25</c:v>
                </c:pt>
                <c:pt idx="12">
                  <c:v>8.15</c:v>
                </c:pt>
                <c:pt idx="13">
                  <c:v>9.16</c:v>
                </c:pt>
                <c:pt idx="14">
                  <c:v>10.3</c:v>
                </c:pt>
                <c:pt idx="15">
                  <c:v>11.58</c:v>
                </c:pt>
                <c:pt idx="16">
                  <c:v>13.02</c:v>
                </c:pt>
                <c:pt idx="17">
                  <c:v>14.64</c:v>
                </c:pt>
                <c:pt idx="18">
                  <c:v>16.45</c:v>
                </c:pt>
                <c:pt idx="19">
                  <c:v>18.5</c:v>
                </c:pt>
                <c:pt idx="20">
                  <c:v>20.8</c:v>
                </c:pt>
                <c:pt idx="21">
                  <c:v>23.38</c:v>
                </c:pt>
                <c:pt idx="22">
                  <c:v>26.27999999999999</c:v>
                </c:pt>
                <c:pt idx="23">
                  <c:v>29.55</c:v>
                </c:pt>
                <c:pt idx="24">
                  <c:v>33.22000000000001</c:v>
                </c:pt>
                <c:pt idx="25">
                  <c:v>37.34</c:v>
                </c:pt>
                <c:pt idx="26">
                  <c:v>41.98</c:v>
                </c:pt>
                <c:pt idx="27">
                  <c:v>47.2</c:v>
                </c:pt>
                <c:pt idx="28">
                  <c:v>53.06</c:v>
                </c:pt>
                <c:pt idx="29">
                  <c:v>59.65</c:v>
                </c:pt>
                <c:pt idx="30">
                  <c:v>67.06</c:v>
                </c:pt>
                <c:pt idx="31">
                  <c:v>75.39</c:v>
                </c:pt>
                <c:pt idx="32">
                  <c:v>84.75</c:v>
                </c:pt>
                <c:pt idx="33">
                  <c:v>95.28</c:v>
                </c:pt>
                <c:pt idx="34">
                  <c:v>107.11</c:v>
                </c:pt>
                <c:pt idx="35">
                  <c:v>120.42</c:v>
                </c:pt>
                <c:pt idx="36">
                  <c:v>135.3800000000006</c:v>
                </c:pt>
                <c:pt idx="37">
                  <c:v>152.19</c:v>
                </c:pt>
                <c:pt idx="38">
                  <c:v>171.09</c:v>
                </c:pt>
                <c:pt idx="39">
                  <c:v>192.3500000000006</c:v>
                </c:pt>
                <c:pt idx="40">
                  <c:v>216.24</c:v>
                </c:pt>
                <c:pt idx="41">
                  <c:v>243.1</c:v>
                </c:pt>
                <c:pt idx="42">
                  <c:v>273.2899999999988</c:v>
                </c:pt>
                <c:pt idx="43">
                  <c:v>307.2299999999988</c:v>
                </c:pt>
                <c:pt idx="44">
                  <c:v>345.4</c:v>
                </c:pt>
                <c:pt idx="45">
                  <c:v>388.3</c:v>
                </c:pt>
                <c:pt idx="46">
                  <c:v>436.53</c:v>
                </c:pt>
                <c:pt idx="47">
                  <c:v>490.75</c:v>
                </c:pt>
                <c:pt idx="48">
                  <c:v>551.71</c:v>
                </c:pt>
                <c:pt idx="49">
                  <c:v>620.23</c:v>
                </c:pt>
                <c:pt idx="50">
                  <c:v>697.2700000000005</c:v>
                </c:pt>
                <c:pt idx="51">
                  <c:v>783.88</c:v>
                </c:pt>
                <c:pt idx="52">
                  <c:v>881.25</c:v>
                </c:pt>
                <c:pt idx="53">
                  <c:v>990.71</c:v>
                </c:pt>
                <c:pt idx="54">
                  <c:v>1113.76</c:v>
                </c:pt>
                <c:pt idx="55">
                  <c:v>1252.1</c:v>
                </c:pt>
                <c:pt idx="56">
                  <c:v>1407.63</c:v>
                </c:pt>
                <c:pt idx="57">
                  <c:v>1582.47</c:v>
                </c:pt>
                <c:pt idx="58">
                  <c:v>1779.03</c:v>
                </c:pt>
                <c:pt idx="59">
                  <c:v>2000.0</c:v>
                </c:pt>
              </c:numCache>
            </c:numRef>
          </c:xVal>
          <c:yVal>
            <c:numRef>
              <c:f>'RG753H RESS'!$E$5:$E$64</c:f>
              <c:numCache>
                <c:formatCode>General</c:formatCode>
                <c:ptCount val="60"/>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0.28</c:v>
                </c:pt>
                <c:pt idx="43">
                  <c:v>0.68</c:v>
                </c:pt>
                <c:pt idx="44">
                  <c:v>0.98</c:v>
                </c:pt>
                <c:pt idx="45">
                  <c:v>1.0</c:v>
                </c:pt>
                <c:pt idx="46">
                  <c:v>0.54</c:v>
                </c:pt>
                <c:pt idx="47">
                  <c:v>0.17</c:v>
                </c:pt>
                <c:pt idx="48">
                  <c:v>0.0</c:v>
                </c:pt>
                <c:pt idx="49">
                  <c:v>0.0</c:v>
                </c:pt>
                <c:pt idx="50">
                  <c:v>0.0</c:v>
                </c:pt>
                <c:pt idx="51">
                  <c:v>0.0</c:v>
                </c:pt>
                <c:pt idx="52">
                  <c:v>0.0</c:v>
                </c:pt>
                <c:pt idx="53">
                  <c:v>0.0</c:v>
                </c:pt>
                <c:pt idx="54">
                  <c:v>0.0</c:v>
                </c:pt>
                <c:pt idx="55">
                  <c:v>0.0</c:v>
                </c:pt>
                <c:pt idx="56">
                  <c:v>0.0</c:v>
                </c:pt>
                <c:pt idx="57">
                  <c:v>0.0</c:v>
                </c:pt>
                <c:pt idx="58">
                  <c:v>0.0</c:v>
                </c:pt>
                <c:pt idx="59">
                  <c:v>0.0</c:v>
                </c:pt>
              </c:numCache>
            </c:numRef>
          </c:yVal>
          <c:smooth val="1"/>
        </c:ser>
        <c:dLbls>
          <c:showLegendKey val="0"/>
          <c:showVal val="0"/>
          <c:showCatName val="0"/>
          <c:showSerName val="0"/>
          <c:showPercent val="0"/>
          <c:showBubbleSize val="0"/>
        </c:dLbls>
        <c:axId val="2106978392"/>
        <c:axId val="2106983944"/>
      </c:scatterChart>
      <c:valAx>
        <c:axId val="2106978392"/>
        <c:scaling>
          <c:orientation val="minMax"/>
          <c:max val="1200.0"/>
          <c:min val="0.0"/>
        </c:scaling>
        <c:delete val="0"/>
        <c:axPos val="b"/>
        <c:title>
          <c:tx>
            <c:rich>
              <a:bodyPr/>
              <a:lstStyle/>
              <a:p>
                <a:pPr>
                  <a:defRPr sz="1000" baseline="0"/>
                </a:pPr>
                <a:r>
                  <a:rPr lang="de-DE" sz="1000" baseline="0"/>
                  <a:t>Partikeldurchmesser [nm]</a:t>
                </a:r>
              </a:p>
            </c:rich>
          </c:tx>
          <c:overlay val="0"/>
        </c:title>
        <c:numFmt formatCode="General" sourceLinked="1"/>
        <c:majorTickMark val="out"/>
        <c:minorTickMark val="none"/>
        <c:tickLblPos val="nextTo"/>
        <c:txPr>
          <a:bodyPr/>
          <a:lstStyle/>
          <a:p>
            <a:pPr>
              <a:defRPr sz="900" baseline="0"/>
            </a:pPr>
            <a:endParaRPr lang="de-DE"/>
          </a:p>
        </c:txPr>
        <c:crossAx val="2106983944"/>
        <c:crosses val="autoZero"/>
        <c:crossBetween val="midCat"/>
        <c:majorUnit val="200.0"/>
      </c:valAx>
      <c:valAx>
        <c:axId val="2106983944"/>
        <c:scaling>
          <c:orientation val="minMax"/>
          <c:max val="1.1"/>
          <c:min val="0.0"/>
        </c:scaling>
        <c:delete val="0"/>
        <c:axPos val="l"/>
        <c:majorGridlines/>
        <c:title>
          <c:tx>
            <c:rich>
              <a:bodyPr rot="-5400000" vert="horz"/>
              <a:lstStyle/>
              <a:p>
                <a:pPr>
                  <a:defRPr sz="1000" baseline="0"/>
                </a:pPr>
                <a:r>
                  <a:rPr lang="de-DE" sz="1000" baseline="0"/>
                  <a:t>rel. Häufigkeit [%]</a:t>
                </a:r>
              </a:p>
            </c:rich>
          </c:tx>
          <c:overlay val="0"/>
        </c:title>
        <c:numFmt formatCode="General" sourceLinked="1"/>
        <c:majorTickMark val="out"/>
        <c:minorTickMark val="none"/>
        <c:tickLblPos val="nextTo"/>
        <c:txPr>
          <a:bodyPr/>
          <a:lstStyle/>
          <a:p>
            <a:pPr>
              <a:defRPr sz="900" baseline="0"/>
            </a:pPr>
            <a:endParaRPr lang="de-DE"/>
          </a:p>
        </c:txPr>
        <c:crossAx val="2106978392"/>
        <c:crosses val="autoZero"/>
        <c:crossBetween val="midCat"/>
        <c:majorUnit val="0.3"/>
      </c:valAx>
    </c:plotArea>
    <c:legend>
      <c:legendPos val="r"/>
      <c:overlay val="0"/>
    </c:legend>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1"/>
          <c:order val="0"/>
          <c:tx>
            <c:strRef>
              <c:f>'in EtOH_07-05-2014'!$G$89</c:f>
              <c:strCache>
                <c:ptCount val="1"/>
                <c:pt idx="0">
                  <c:v>1 Tag nach Herstellung</c:v>
                </c:pt>
              </c:strCache>
            </c:strRef>
          </c:tx>
          <c:spPr>
            <a:ln w="19050">
              <a:solidFill>
                <a:srgbClr val="FF0000"/>
              </a:solidFill>
            </a:ln>
          </c:spPr>
          <c:marker>
            <c:symbol val="none"/>
          </c:marker>
          <c:xVal>
            <c:numRef>
              <c:f>'in EtOH_07-05-2014'!$A$121:$A$146</c:f>
              <c:numCache>
                <c:formatCode>General</c:formatCode>
                <c:ptCount val="26"/>
                <c:pt idx="0">
                  <c:v>75.39</c:v>
                </c:pt>
                <c:pt idx="1">
                  <c:v>84.75</c:v>
                </c:pt>
                <c:pt idx="2">
                  <c:v>95.28</c:v>
                </c:pt>
                <c:pt idx="3">
                  <c:v>107.11</c:v>
                </c:pt>
                <c:pt idx="4">
                  <c:v>120.42</c:v>
                </c:pt>
                <c:pt idx="5">
                  <c:v>135.3800000000006</c:v>
                </c:pt>
                <c:pt idx="6">
                  <c:v>152.19</c:v>
                </c:pt>
                <c:pt idx="7">
                  <c:v>171.09</c:v>
                </c:pt>
                <c:pt idx="8">
                  <c:v>192.3500000000006</c:v>
                </c:pt>
                <c:pt idx="9">
                  <c:v>216.24</c:v>
                </c:pt>
                <c:pt idx="10">
                  <c:v>243.1</c:v>
                </c:pt>
                <c:pt idx="11">
                  <c:v>273.2899999999988</c:v>
                </c:pt>
                <c:pt idx="12">
                  <c:v>307.2299999999988</c:v>
                </c:pt>
                <c:pt idx="13">
                  <c:v>345.4</c:v>
                </c:pt>
                <c:pt idx="14">
                  <c:v>388.3</c:v>
                </c:pt>
                <c:pt idx="15">
                  <c:v>436.53</c:v>
                </c:pt>
                <c:pt idx="16">
                  <c:v>490.75</c:v>
                </c:pt>
                <c:pt idx="17">
                  <c:v>551.71</c:v>
                </c:pt>
                <c:pt idx="18">
                  <c:v>620.23</c:v>
                </c:pt>
                <c:pt idx="19">
                  <c:v>697.2700000000005</c:v>
                </c:pt>
                <c:pt idx="20">
                  <c:v>783.88</c:v>
                </c:pt>
                <c:pt idx="21">
                  <c:v>881.25</c:v>
                </c:pt>
                <c:pt idx="22">
                  <c:v>990.71</c:v>
                </c:pt>
                <c:pt idx="23">
                  <c:v>1113.76</c:v>
                </c:pt>
                <c:pt idx="24">
                  <c:v>1252.1</c:v>
                </c:pt>
                <c:pt idx="25">
                  <c:v>1407.63</c:v>
                </c:pt>
              </c:numCache>
            </c:numRef>
          </c:xVal>
          <c:yVal>
            <c:numRef>
              <c:f>'in EtOH_07-05-2014'!$G$121:$G$146</c:f>
              <c:numCache>
                <c:formatCode>General</c:formatCode>
                <c:ptCount val="26"/>
                <c:pt idx="0">
                  <c:v>0.0</c:v>
                </c:pt>
                <c:pt idx="1">
                  <c:v>0.0</c:v>
                </c:pt>
                <c:pt idx="2">
                  <c:v>0.0</c:v>
                </c:pt>
                <c:pt idx="3">
                  <c:v>0.0</c:v>
                </c:pt>
                <c:pt idx="4">
                  <c:v>0.0</c:v>
                </c:pt>
                <c:pt idx="5">
                  <c:v>0.0</c:v>
                </c:pt>
                <c:pt idx="6">
                  <c:v>0.0</c:v>
                </c:pt>
                <c:pt idx="7">
                  <c:v>0.0</c:v>
                </c:pt>
                <c:pt idx="8">
                  <c:v>0.0</c:v>
                </c:pt>
                <c:pt idx="9">
                  <c:v>0.0</c:v>
                </c:pt>
                <c:pt idx="10">
                  <c:v>0.22</c:v>
                </c:pt>
                <c:pt idx="11">
                  <c:v>0.570000000000002</c:v>
                </c:pt>
                <c:pt idx="12">
                  <c:v>1.0</c:v>
                </c:pt>
                <c:pt idx="13">
                  <c:v>0.9</c:v>
                </c:pt>
                <c:pt idx="14">
                  <c:v>0.56</c:v>
                </c:pt>
                <c:pt idx="15">
                  <c:v>0.12</c:v>
                </c:pt>
                <c:pt idx="16">
                  <c:v>0.0</c:v>
                </c:pt>
                <c:pt idx="17">
                  <c:v>0.0</c:v>
                </c:pt>
                <c:pt idx="18">
                  <c:v>0.0</c:v>
                </c:pt>
                <c:pt idx="19">
                  <c:v>0.0</c:v>
                </c:pt>
                <c:pt idx="20">
                  <c:v>0.0</c:v>
                </c:pt>
                <c:pt idx="21">
                  <c:v>0.0</c:v>
                </c:pt>
                <c:pt idx="22">
                  <c:v>0.0</c:v>
                </c:pt>
                <c:pt idx="23">
                  <c:v>0.0</c:v>
                </c:pt>
                <c:pt idx="24">
                  <c:v>0.0</c:v>
                </c:pt>
                <c:pt idx="25">
                  <c:v>0.0</c:v>
                </c:pt>
              </c:numCache>
            </c:numRef>
          </c:yVal>
          <c:smooth val="1"/>
        </c:ser>
        <c:ser>
          <c:idx val="0"/>
          <c:order val="1"/>
          <c:tx>
            <c:strRef>
              <c:f>'in EtOH_07-05-2014'!$B$89</c:f>
              <c:strCache>
                <c:ptCount val="1"/>
                <c:pt idx="0">
                  <c:v>2 Monate nach Herstellung</c:v>
                </c:pt>
              </c:strCache>
            </c:strRef>
          </c:tx>
          <c:spPr>
            <a:ln w="19050">
              <a:solidFill>
                <a:srgbClr val="0000FF"/>
              </a:solidFill>
            </a:ln>
          </c:spPr>
          <c:marker>
            <c:symbol val="none"/>
          </c:marker>
          <c:xVal>
            <c:numRef>
              <c:f>'in EtOH_07-05-2014'!$A$121:$A$146</c:f>
              <c:numCache>
                <c:formatCode>General</c:formatCode>
                <c:ptCount val="26"/>
                <c:pt idx="0">
                  <c:v>75.39</c:v>
                </c:pt>
                <c:pt idx="1">
                  <c:v>84.75</c:v>
                </c:pt>
                <c:pt idx="2">
                  <c:v>95.28</c:v>
                </c:pt>
                <c:pt idx="3">
                  <c:v>107.11</c:v>
                </c:pt>
                <c:pt idx="4">
                  <c:v>120.42</c:v>
                </c:pt>
                <c:pt idx="5">
                  <c:v>135.3800000000006</c:v>
                </c:pt>
                <c:pt idx="6">
                  <c:v>152.19</c:v>
                </c:pt>
                <c:pt idx="7">
                  <c:v>171.09</c:v>
                </c:pt>
                <c:pt idx="8">
                  <c:v>192.3500000000006</c:v>
                </c:pt>
                <c:pt idx="9">
                  <c:v>216.24</c:v>
                </c:pt>
                <c:pt idx="10">
                  <c:v>243.1</c:v>
                </c:pt>
                <c:pt idx="11">
                  <c:v>273.2899999999988</c:v>
                </c:pt>
                <c:pt idx="12">
                  <c:v>307.2299999999988</c:v>
                </c:pt>
                <c:pt idx="13">
                  <c:v>345.4</c:v>
                </c:pt>
                <c:pt idx="14">
                  <c:v>388.3</c:v>
                </c:pt>
                <c:pt idx="15">
                  <c:v>436.53</c:v>
                </c:pt>
                <c:pt idx="16">
                  <c:v>490.75</c:v>
                </c:pt>
                <c:pt idx="17">
                  <c:v>551.71</c:v>
                </c:pt>
                <c:pt idx="18">
                  <c:v>620.23</c:v>
                </c:pt>
                <c:pt idx="19">
                  <c:v>697.2700000000005</c:v>
                </c:pt>
                <c:pt idx="20">
                  <c:v>783.88</c:v>
                </c:pt>
                <c:pt idx="21">
                  <c:v>881.25</c:v>
                </c:pt>
                <c:pt idx="22">
                  <c:v>990.71</c:v>
                </c:pt>
                <c:pt idx="23">
                  <c:v>1113.76</c:v>
                </c:pt>
                <c:pt idx="24">
                  <c:v>1252.1</c:v>
                </c:pt>
                <c:pt idx="25">
                  <c:v>1407.63</c:v>
                </c:pt>
              </c:numCache>
            </c:numRef>
          </c:xVal>
          <c:yVal>
            <c:numRef>
              <c:f>'in EtOH_07-05-2014'!$B$121:$B$146</c:f>
              <c:numCache>
                <c:formatCode>General</c:formatCode>
                <c:ptCount val="26"/>
                <c:pt idx="0">
                  <c:v>0.0</c:v>
                </c:pt>
                <c:pt idx="1">
                  <c:v>0.0</c:v>
                </c:pt>
                <c:pt idx="2">
                  <c:v>0.0</c:v>
                </c:pt>
                <c:pt idx="3">
                  <c:v>0.0</c:v>
                </c:pt>
                <c:pt idx="4">
                  <c:v>0.0</c:v>
                </c:pt>
                <c:pt idx="5">
                  <c:v>0.0</c:v>
                </c:pt>
                <c:pt idx="6">
                  <c:v>0.0</c:v>
                </c:pt>
                <c:pt idx="7">
                  <c:v>0.0</c:v>
                </c:pt>
                <c:pt idx="8">
                  <c:v>0.0</c:v>
                </c:pt>
                <c:pt idx="9">
                  <c:v>0.01</c:v>
                </c:pt>
                <c:pt idx="10">
                  <c:v>0.26</c:v>
                </c:pt>
                <c:pt idx="11">
                  <c:v>0.600000000000002</c:v>
                </c:pt>
                <c:pt idx="12">
                  <c:v>1.0</c:v>
                </c:pt>
                <c:pt idx="13">
                  <c:v>0.79</c:v>
                </c:pt>
                <c:pt idx="14">
                  <c:v>0.46</c:v>
                </c:pt>
                <c:pt idx="15">
                  <c:v>0.0</c:v>
                </c:pt>
                <c:pt idx="16">
                  <c:v>0.0</c:v>
                </c:pt>
                <c:pt idx="17">
                  <c:v>0.0</c:v>
                </c:pt>
                <c:pt idx="18">
                  <c:v>0.0</c:v>
                </c:pt>
                <c:pt idx="19">
                  <c:v>0.0</c:v>
                </c:pt>
                <c:pt idx="20">
                  <c:v>0.0</c:v>
                </c:pt>
                <c:pt idx="21">
                  <c:v>0.0</c:v>
                </c:pt>
                <c:pt idx="22">
                  <c:v>0.0</c:v>
                </c:pt>
                <c:pt idx="23">
                  <c:v>0.0</c:v>
                </c:pt>
                <c:pt idx="24">
                  <c:v>0.0</c:v>
                </c:pt>
                <c:pt idx="25">
                  <c:v>0.0</c:v>
                </c:pt>
              </c:numCache>
            </c:numRef>
          </c:yVal>
          <c:smooth val="1"/>
        </c:ser>
        <c:ser>
          <c:idx val="3"/>
          <c:order val="2"/>
          <c:tx>
            <c:strRef>
              <c:f>EtOH_H2O_Probe4.asc!$I$89</c:f>
              <c:strCache>
                <c:ptCount val="1"/>
                <c:pt idx="0">
                  <c:v>direkt nach Herstellung</c:v>
                </c:pt>
              </c:strCache>
            </c:strRef>
          </c:tx>
          <c:spPr>
            <a:ln w="19050">
              <a:solidFill>
                <a:srgbClr val="008000"/>
              </a:solidFill>
            </a:ln>
          </c:spPr>
          <c:marker>
            <c:symbol val="none"/>
          </c:marker>
          <c:xVal>
            <c:numRef>
              <c:f>EtOH_H2O_Probe4.asc!$A$90:$A$124</c:f>
              <c:numCache>
                <c:formatCode>0.00</c:formatCode>
                <c:ptCount val="35"/>
                <c:pt idx="0">
                  <c:v>0.0</c:v>
                </c:pt>
                <c:pt idx="1">
                  <c:v>9.360000000000004</c:v>
                </c:pt>
                <c:pt idx="2">
                  <c:v>10.95000000000002</c:v>
                </c:pt>
                <c:pt idx="3">
                  <c:v>12.81</c:v>
                </c:pt>
                <c:pt idx="4">
                  <c:v>14.99</c:v>
                </c:pt>
                <c:pt idx="5">
                  <c:v>17.54</c:v>
                </c:pt>
                <c:pt idx="6">
                  <c:v>20.52</c:v>
                </c:pt>
                <c:pt idx="7">
                  <c:v>24.01</c:v>
                </c:pt>
                <c:pt idx="8">
                  <c:v>28.09</c:v>
                </c:pt>
                <c:pt idx="9">
                  <c:v>32.86</c:v>
                </c:pt>
                <c:pt idx="10">
                  <c:v>38.45</c:v>
                </c:pt>
                <c:pt idx="11">
                  <c:v>44.99</c:v>
                </c:pt>
                <c:pt idx="12">
                  <c:v>52.63</c:v>
                </c:pt>
                <c:pt idx="13">
                  <c:v>61.58</c:v>
                </c:pt>
                <c:pt idx="14">
                  <c:v>72.05</c:v>
                </c:pt>
                <c:pt idx="15">
                  <c:v>84.3</c:v>
                </c:pt>
                <c:pt idx="16">
                  <c:v>98.63</c:v>
                </c:pt>
                <c:pt idx="17">
                  <c:v>115.39</c:v>
                </c:pt>
                <c:pt idx="18">
                  <c:v>135.01</c:v>
                </c:pt>
                <c:pt idx="19">
                  <c:v>157.96</c:v>
                </c:pt>
                <c:pt idx="20">
                  <c:v>184.81</c:v>
                </c:pt>
                <c:pt idx="21">
                  <c:v>216.23</c:v>
                </c:pt>
                <c:pt idx="22">
                  <c:v>252.9800000000004</c:v>
                </c:pt>
                <c:pt idx="23">
                  <c:v>295.9899999999988</c:v>
                </c:pt>
                <c:pt idx="24">
                  <c:v>346.3</c:v>
                </c:pt>
                <c:pt idx="25">
                  <c:v>405.17</c:v>
                </c:pt>
                <c:pt idx="26">
                  <c:v>474.04</c:v>
                </c:pt>
                <c:pt idx="27">
                  <c:v>554.62</c:v>
                </c:pt>
                <c:pt idx="28">
                  <c:v>648.9</c:v>
                </c:pt>
                <c:pt idx="29">
                  <c:v>759.21</c:v>
                </c:pt>
                <c:pt idx="30">
                  <c:v>888.2700000000005</c:v>
                </c:pt>
                <c:pt idx="31" formatCode="General">
                  <c:v>1039.26</c:v>
                </c:pt>
                <c:pt idx="32" formatCode="General">
                  <c:v>1215.93</c:v>
                </c:pt>
                <c:pt idx="33" formatCode="General">
                  <c:v>1422.62</c:v>
                </c:pt>
                <c:pt idx="34" formatCode="General">
                  <c:v>1664.45</c:v>
                </c:pt>
              </c:numCache>
            </c:numRef>
          </c:xVal>
          <c:yVal>
            <c:numRef>
              <c:f>EtOH_H2O_Probe4.asc!$H$90:$H$124</c:f>
              <c:numCache>
                <c:formatCode>General</c:formatCode>
                <c:ptCount val="35"/>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0.770000000000002</c:v>
                </c:pt>
                <c:pt idx="23">
                  <c:v>0.93</c:v>
                </c:pt>
                <c:pt idx="24">
                  <c:v>1.0</c:v>
                </c:pt>
                <c:pt idx="25">
                  <c:v>0.630000000000002</c:v>
                </c:pt>
                <c:pt idx="26">
                  <c:v>0.27</c:v>
                </c:pt>
                <c:pt idx="27">
                  <c:v>0.0</c:v>
                </c:pt>
                <c:pt idx="28">
                  <c:v>0.0</c:v>
                </c:pt>
                <c:pt idx="29">
                  <c:v>0.0</c:v>
                </c:pt>
                <c:pt idx="30">
                  <c:v>0.0</c:v>
                </c:pt>
                <c:pt idx="31">
                  <c:v>0.0</c:v>
                </c:pt>
                <c:pt idx="32">
                  <c:v>0.0</c:v>
                </c:pt>
                <c:pt idx="33">
                  <c:v>0.0</c:v>
                </c:pt>
                <c:pt idx="34">
                  <c:v>0.0</c:v>
                </c:pt>
              </c:numCache>
            </c:numRef>
          </c:yVal>
          <c:smooth val="1"/>
        </c:ser>
        <c:dLbls>
          <c:showLegendKey val="0"/>
          <c:showVal val="0"/>
          <c:showCatName val="0"/>
          <c:showSerName val="0"/>
          <c:showPercent val="0"/>
          <c:showBubbleSize val="0"/>
        </c:dLbls>
        <c:axId val="2107054664"/>
        <c:axId val="2107060184"/>
      </c:scatterChart>
      <c:valAx>
        <c:axId val="2107054664"/>
        <c:scaling>
          <c:orientation val="minMax"/>
          <c:max val="1200.0"/>
          <c:min val="0.0"/>
        </c:scaling>
        <c:delete val="0"/>
        <c:axPos val="b"/>
        <c:title>
          <c:tx>
            <c:rich>
              <a:bodyPr/>
              <a:lstStyle/>
              <a:p>
                <a:pPr>
                  <a:defRPr sz="1100" baseline="0"/>
                </a:pPr>
                <a:r>
                  <a:rPr lang="de-DE" sz="1100" baseline="0"/>
                  <a:t>Partikeldurchmesser [nm]</a:t>
                </a:r>
              </a:p>
            </c:rich>
          </c:tx>
          <c:overlay val="0"/>
        </c:title>
        <c:numFmt formatCode="General" sourceLinked="1"/>
        <c:majorTickMark val="out"/>
        <c:minorTickMark val="none"/>
        <c:tickLblPos val="nextTo"/>
        <c:txPr>
          <a:bodyPr/>
          <a:lstStyle/>
          <a:p>
            <a:pPr>
              <a:defRPr sz="900" baseline="0"/>
            </a:pPr>
            <a:endParaRPr lang="de-DE"/>
          </a:p>
        </c:txPr>
        <c:crossAx val="2107060184"/>
        <c:crosses val="autoZero"/>
        <c:crossBetween val="midCat"/>
        <c:majorUnit val="200.0"/>
      </c:valAx>
      <c:valAx>
        <c:axId val="2107060184"/>
        <c:scaling>
          <c:orientation val="minMax"/>
          <c:max val="1.1"/>
          <c:min val="0.0"/>
        </c:scaling>
        <c:delete val="0"/>
        <c:axPos val="l"/>
        <c:majorGridlines/>
        <c:title>
          <c:tx>
            <c:rich>
              <a:bodyPr rot="-5400000" vert="horz"/>
              <a:lstStyle/>
              <a:p>
                <a:pPr>
                  <a:defRPr sz="1100" baseline="0"/>
                </a:pPr>
                <a:r>
                  <a:rPr lang="de-DE" sz="1100" baseline="0"/>
                  <a:t>rel. Häufigkeit [%]</a:t>
                </a:r>
              </a:p>
            </c:rich>
          </c:tx>
          <c:overlay val="0"/>
        </c:title>
        <c:numFmt formatCode="General" sourceLinked="1"/>
        <c:majorTickMark val="out"/>
        <c:minorTickMark val="none"/>
        <c:tickLblPos val="nextTo"/>
        <c:txPr>
          <a:bodyPr/>
          <a:lstStyle/>
          <a:p>
            <a:pPr>
              <a:defRPr sz="900" baseline="0"/>
            </a:pPr>
            <a:endParaRPr lang="de-DE"/>
          </a:p>
        </c:txPr>
        <c:crossAx val="2107054664"/>
        <c:crosses val="autoZero"/>
        <c:crossBetween val="midCat"/>
        <c:majorUnit val="0.3"/>
      </c:valAx>
    </c:plotArea>
    <c:legend>
      <c:legendPos val="r"/>
      <c:overlay val="0"/>
    </c:legend>
    <c:plotVisOnly val="1"/>
    <c:dispBlanksAs val="gap"/>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de-DE" sz="1198"/>
              <a:t>ohne</a:t>
            </a:r>
            <a:r>
              <a:rPr lang="de-DE" sz="1198" baseline="0"/>
              <a:t> Stabilisatorzusatz</a:t>
            </a:r>
            <a:endParaRPr lang="de-DE" sz="1200"/>
          </a:p>
        </c:rich>
      </c:tx>
      <c:layout>
        <c:manualLayout>
          <c:xMode val="edge"/>
          <c:yMode val="edge"/>
          <c:x val="0.245683283205931"/>
          <c:y val="0.0350569675723052"/>
        </c:manualLayout>
      </c:layout>
      <c:overlay val="0"/>
    </c:title>
    <c:autoTitleDeleted val="0"/>
    <c:plotArea>
      <c:layout>
        <c:manualLayout>
          <c:layoutTarget val="inner"/>
          <c:xMode val="edge"/>
          <c:yMode val="edge"/>
          <c:x val="0.229007580346163"/>
          <c:y val="0.224224272579424"/>
          <c:w val="0.6937198759246"/>
          <c:h val="0.511217079460157"/>
        </c:manualLayout>
      </c:layout>
      <c:scatterChart>
        <c:scatterStyle val="smoothMarker"/>
        <c:varyColors val="0"/>
        <c:ser>
          <c:idx val="0"/>
          <c:order val="0"/>
          <c:tx>
            <c:strRef>
              <c:f>EtOH_H2O_Probe4.asc!$B$89</c:f>
              <c:strCache>
                <c:ptCount val="1"/>
                <c:pt idx="0">
                  <c:v>1:1 Verdünnung mit Wasser</c:v>
                </c:pt>
              </c:strCache>
            </c:strRef>
          </c:tx>
          <c:spPr>
            <a:ln w="19050">
              <a:solidFill>
                <a:srgbClr val="0000FF"/>
              </a:solidFill>
            </a:ln>
          </c:spPr>
          <c:marker>
            <c:symbol val="none"/>
          </c:marker>
          <c:xVal>
            <c:numRef>
              <c:f>EtOH_H2O_Probe4.asc!$A$90:$A$124</c:f>
              <c:numCache>
                <c:formatCode>0.00</c:formatCode>
                <c:ptCount val="35"/>
                <c:pt idx="0">
                  <c:v>0.0</c:v>
                </c:pt>
                <c:pt idx="1">
                  <c:v>9.360000000000004</c:v>
                </c:pt>
                <c:pt idx="2">
                  <c:v>10.95000000000002</c:v>
                </c:pt>
                <c:pt idx="3">
                  <c:v>12.81</c:v>
                </c:pt>
                <c:pt idx="4">
                  <c:v>14.99</c:v>
                </c:pt>
                <c:pt idx="5">
                  <c:v>17.54</c:v>
                </c:pt>
                <c:pt idx="6">
                  <c:v>20.52</c:v>
                </c:pt>
                <c:pt idx="7">
                  <c:v>24.01</c:v>
                </c:pt>
                <c:pt idx="8">
                  <c:v>28.09</c:v>
                </c:pt>
                <c:pt idx="9">
                  <c:v>32.86</c:v>
                </c:pt>
                <c:pt idx="10">
                  <c:v>38.45</c:v>
                </c:pt>
                <c:pt idx="11">
                  <c:v>44.99</c:v>
                </c:pt>
                <c:pt idx="12">
                  <c:v>52.63</c:v>
                </c:pt>
                <c:pt idx="13">
                  <c:v>61.58</c:v>
                </c:pt>
                <c:pt idx="14">
                  <c:v>72.05</c:v>
                </c:pt>
                <c:pt idx="15">
                  <c:v>84.3</c:v>
                </c:pt>
                <c:pt idx="16">
                  <c:v>98.63</c:v>
                </c:pt>
                <c:pt idx="17">
                  <c:v>115.39</c:v>
                </c:pt>
                <c:pt idx="18">
                  <c:v>135.01</c:v>
                </c:pt>
                <c:pt idx="19">
                  <c:v>157.96</c:v>
                </c:pt>
                <c:pt idx="20">
                  <c:v>184.81</c:v>
                </c:pt>
                <c:pt idx="21">
                  <c:v>216.23</c:v>
                </c:pt>
                <c:pt idx="22">
                  <c:v>252.9800000000004</c:v>
                </c:pt>
                <c:pt idx="23">
                  <c:v>295.9899999999988</c:v>
                </c:pt>
                <c:pt idx="24">
                  <c:v>346.3</c:v>
                </c:pt>
                <c:pt idx="25">
                  <c:v>405.17</c:v>
                </c:pt>
                <c:pt idx="26">
                  <c:v>474.04</c:v>
                </c:pt>
                <c:pt idx="27">
                  <c:v>554.62</c:v>
                </c:pt>
                <c:pt idx="28">
                  <c:v>648.9</c:v>
                </c:pt>
                <c:pt idx="29">
                  <c:v>759.21</c:v>
                </c:pt>
                <c:pt idx="30">
                  <c:v>888.2700000000005</c:v>
                </c:pt>
                <c:pt idx="31" formatCode="General">
                  <c:v>1039.26</c:v>
                </c:pt>
                <c:pt idx="32" formatCode="General">
                  <c:v>1215.93</c:v>
                </c:pt>
                <c:pt idx="33" formatCode="General">
                  <c:v>1422.62</c:v>
                </c:pt>
                <c:pt idx="34" formatCode="General">
                  <c:v>1664.45</c:v>
                </c:pt>
              </c:numCache>
            </c:numRef>
          </c:xVal>
          <c:yVal>
            <c:numRef>
              <c:f>EtOH_H2O_Probe4.asc!$B$90:$B$124</c:f>
              <c:numCache>
                <c:formatCode>0.00</c:formatCode>
                <c:ptCount val="35"/>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0.23</c:v>
                </c:pt>
                <c:pt idx="21">
                  <c:v>0.570000000000002</c:v>
                </c:pt>
                <c:pt idx="22">
                  <c:v>1.0</c:v>
                </c:pt>
                <c:pt idx="23">
                  <c:v>0.860000000000002</c:v>
                </c:pt>
                <c:pt idx="24">
                  <c:v>0.54</c:v>
                </c:pt>
                <c:pt idx="25">
                  <c:v>0.08</c:v>
                </c:pt>
                <c:pt idx="26">
                  <c:v>0.0</c:v>
                </c:pt>
                <c:pt idx="27">
                  <c:v>0.0</c:v>
                </c:pt>
                <c:pt idx="28">
                  <c:v>0.0</c:v>
                </c:pt>
                <c:pt idx="29">
                  <c:v>0.0</c:v>
                </c:pt>
                <c:pt idx="30">
                  <c:v>0.0</c:v>
                </c:pt>
                <c:pt idx="31">
                  <c:v>0.0</c:v>
                </c:pt>
                <c:pt idx="32">
                  <c:v>0.0</c:v>
                </c:pt>
                <c:pt idx="33">
                  <c:v>0.0</c:v>
                </c:pt>
                <c:pt idx="34">
                  <c:v>0.0</c:v>
                </c:pt>
              </c:numCache>
            </c:numRef>
          </c:yVal>
          <c:smooth val="1"/>
        </c:ser>
        <c:ser>
          <c:idx val="2"/>
          <c:order val="1"/>
          <c:tx>
            <c:strRef>
              <c:f>EtOH_H2O_Probe4.asc!$E$89</c:f>
              <c:strCache>
                <c:ptCount val="1"/>
                <c:pt idx="0">
                  <c:v>Getrocknet und redispergiert</c:v>
                </c:pt>
              </c:strCache>
            </c:strRef>
          </c:tx>
          <c:spPr>
            <a:ln w="19050">
              <a:solidFill>
                <a:srgbClr val="008000"/>
              </a:solidFill>
            </a:ln>
          </c:spPr>
          <c:marker>
            <c:symbol val="none"/>
          </c:marker>
          <c:xVal>
            <c:numRef>
              <c:f>EtOH_H2O_Probe4.asc!$A$90:$A$124</c:f>
              <c:numCache>
                <c:formatCode>0.00</c:formatCode>
                <c:ptCount val="35"/>
                <c:pt idx="0">
                  <c:v>0.0</c:v>
                </c:pt>
                <c:pt idx="1">
                  <c:v>9.360000000000004</c:v>
                </c:pt>
                <c:pt idx="2">
                  <c:v>10.95000000000002</c:v>
                </c:pt>
                <c:pt idx="3">
                  <c:v>12.81</c:v>
                </c:pt>
                <c:pt idx="4">
                  <c:v>14.99</c:v>
                </c:pt>
                <c:pt idx="5">
                  <c:v>17.54</c:v>
                </c:pt>
                <c:pt idx="6">
                  <c:v>20.52</c:v>
                </c:pt>
                <c:pt idx="7">
                  <c:v>24.01</c:v>
                </c:pt>
                <c:pt idx="8">
                  <c:v>28.09</c:v>
                </c:pt>
                <c:pt idx="9">
                  <c:v>32.86</c:v>
                </c:pt>
                <c:pt idx="10">
                  <c:v>38.45</c:v>
                </c:pt>
                <c:pt idx="11">
                  <c:v>44.99</c:v>
                </c:pt>
                <c:pt idx="12">
                  <c:v>52.63</c:v>
                </c:pt>
                <c:pt idx="13">
                  <c:v>61.58</c:v>
                </c:pt>
                <c:pt idx="14">
                  <c:v>72.05</c:v>
                </c:pt>
                <c:pt idx="15">
                  <c:v>84.3</c:v>
                </c:pt>
                <c:pt idx="16">
                  <c:v>98.63</c:v>
                </c:pt>
                <c:pt idx="17">
                  <c:v>115.39</c:v>
                </c:pt>
                <c:pt idx="18">
                  <c:v>135.01</c:v>
                </c:pt>
                <c:pt idx="19">
                  <c:v>157.96</c:v>
                </c:pt>
                <c:pt idx="20">
                  <c:v>184.81</c:v>
                </c:pt>
                <c:pt idx="21">
                  <c:v>216.23</c:v>
                </c:pt>
                <c:pt idx="22">
                  <c:v>252.9800000000004</c:v>
                </c:pt>
                <c:pt idx="23">
                  <c:v>295.9899999999988</c:v>
                </c:pt>
                <c:pt idx="24">
                  <c:v>346.3</c:v>
                </c:pt>
                <c:pt idx="25">
                  <c:v>405.17</c:v>
                </c:pt>
                <c:pt idx="26">
                  <c:v>474.04</c:v>
                </c:pt>
                <c:pt idx="27">
                  <c:v>554.62</c:v>
                </c:pt>
                <c:pt idx="28">
                  <c:v>648.9</c:v>
                </c:pt>
                <c:pt idx="29">
                  <c:v>759.21</c:v>
                </c:pt>
                <c:pt idx="30">
                  <c:v>888.2700000000005</c:v>
                </c:pt>
                <c:pt idx="31" formatCode="General">
                  <c:v>1039.26</c:v>
                </c:pt>
                <c:pt idx="32" formatCode="General">
                  <c:v>1215.93</c:v>
                </c:pt>
                <c:pt idx="33" formatCode="General">
                  <c:v>1422.62</c:v>
                </c:pt>
                <c:pt idx="34" formatCode="General">
                  <c:v>1664.45</c:v>
                </c:pt>
              </c:numCache>
            </c:numRef>
          </c:xVal>
          <c:yVal>
            <c:numRef>
              <c:f>EtOH_H2O_Probe4.asc!$E$90:$E$124</c:f>
              <c:numCache>
                <c:formatCode>General</c:formatCode>
                <c:ptCount val="35"/>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0.12</c:v>
                </c:pt>
                <c:pt idx="20">
                  <c:v>0.41</c:v>
                </c:pt>
                <c:pt idx="21">
                  <c:v>0.860000000000002</c:v>
                </c:pt>
                <c:pt idx="22">
                  <c:v>1.0</c:v>
                </c:pt>
                <c:pt idx="23">
                  <c:v>0.78</c:v>
                </c:pt>
                <c:pt idx="24">
                  <c:v>0.22</c:v>
                </c:pt>
                <c:pt idx="25">
                  <c:v>0.0</c:v>
                </c:pt>
                <c:pt idx="26">
                  <c:v>0.0</c:v>
                </c:pt>
                <c:pt idx="27">
                  <c:v>0.09</c:v>
                </c:pt>
                <c:pt idx="28">
                  <c:v>0.05</c:v>
                </c:pt>
                <c:pt idx="29">
                  <c:v>0.02</c:v>
                </c:pt>
                <c:pt idx="30">
                  <c:v>0.21</c:v>
                </c:pt>
                <c:pt idx="31">
                  <c:v>0.2</c:v>
                </c:pt>
                <c:pt idx="32">
                  <c:v>0.17</c:v>
                </c:pt>
                <c:pt idx="33">
                  <c:v>0.0</c:v>
                </c:pt>
                <c:pt idx="34">
                  <c:v>0.0</c:v>
                </c:pt>
              </c:numCache>
            </c:numRef>
          </c:yVal>
          <c:smooth val="1"/>
        </c:ser>
        <c:dLbls>
          <c:showLegendKey val="0"/>
          <c:showVal val="0"/>
          <c:showCatName val="0"/>
          <c:showSerName val="0"/>
          <c:showPercent val="0"/>
          <c:showBubbleSize val="0"/>
        </c:dLbls>
        <c:axId val="2107106008"/>
        <c:axId val="2107111560"/>
      </c:scatterChart>
      <c:valAx>
        <c:axId val="2107106008"/>
        <c:scaling>
          <c:orientation val="minMax"/>
          <c:max val="1600.0"/>
          <c:min val="0.0"/>
        </c:scaling>
        <c:delete val="0"/>
        <c:axPos val="b"/>
        <c:title>
          <c:tx>
            <c:rich>
              <a:bodyPr/>
              <a:lstStyle/>
              <a:p>
                <a:pPr>
                  <a:defRPr sz="899" b="1" i="0" u="none" strike="noStrike" baseline="0">
                    <a:solidFill>
                      <a:srgbClr val="000000"/>
                    </a:solidFill>
                    <a:latin typeface="Calibri"/>
                    <a:ea typeface="Calibri"/>
                    <a:cs typeface="Calibri"/>
                  </a:defRPr>
                </a:pPr>
                <a:r>
                  <a:rPr lang="de-DE"/>
                  <a:t>Partikeldurchmesser [nm]</a:t>
                </a:r>
              </a:p>
            </c:rich>
          </c:tx>
          <c:overlay val="0"/>
        </c:title>
        <c:numFmt formatCode="0" sourceLinked="0"/>
        <c:majorTickMark val="out"/>
        <c:minorTickMark val="none"/>
        <c:tickLblPos val="nextTo"/>
        <c:txPr>
          <a:bodyPr rot="0" vert="horz"/>
          <a:lstStyle/>
          <a:p>
            <a:pPr>
              <a:defRPr sz="899" b="0" i="0" u="none" strike="noStrike" baseline="0">
                <a:solidFill>
                  <a:srgbClr val="000000"/>
                </a:solidFill>
                <a:latin typeface="Calibri"/>
                <a:ea typeface="Calibri"/>
                <a:cs typeface="Calibri"/>
              </a:defRPr>
            </a:pPr>
            <a:endParaRPr lang="de-DE"/>
          </a:p>
        </c:txPr>
        <c:crossAx val="2107111560"/>
        <c:crosses val="autoZero"/>
        <c:crossBetween val="midCat"/>
        <c:majorUnit val="300.0"/>
      </c:valAx>
      <c:valAx>
        <c:axId val="2107111560"/>
        <c:scaling>
          <c:orientation val="minMax"/>
          <c:max val="1.1"/>
          <c:min val="0.0"/>
        </c:scaling>
        <c:delete val="0"/>
        <c:axPos val="l"/>
        <c:majorGridlines/>
        <c:title>
          <c:tx>
            <c:rich>
              <a:bodyPr/>
              <a:lstStyle/>
              <a:p>
                <a:pPr>
                  <a:defRPr sz="899" b="1" i="0" u="none" strike="noStrike" baseline="0">
                    <a:solidFill>
                      <a:srgbClr val="000000"/>
                    </a:solidFill>
                    <a:latin typeface="Calibri"/>
                    <a:ea typeface="Calibri"/>
                    <a:cs typeface="Calibri"/>
                  </a:defRPr>
                </a:pPr>
                <a:r>
                  <a:rPr lang="de-DE"/>
                  <a:t>rel. Häufigkeit [%]</a:t>
                </a:r>
              </a:p>
            </c:rich>
          </c:tx>
          <c:overlay val="0"/>
        </c:title>
        <c:numFmt formatCode="0.0" sourceLinked="0"/>
        <c:majorTickMark val="out"/>
        <c:minorTickMark val="none"/>
        <c:tickLblPos val="nextTo"/>
        <c:txPr>
          <a:bodyPr/>
          <a:lstStyle/>
          <a:p>
            <a:pPr>
              <a:defRPr sz="899" baseline="0"/>
            </a:pPr>
            <a:endParaRPr lang="de-DE"/>
          </a:p>
        </c:txPr>
        <c:crossAx val="2107106008"/>
        <c:crosses val="autoZero"/>
        <c:crossBetween val="midCat"/>
        <c:majorUnit val="0.3"/>
      </c:valAx>
    </c:plotArea>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de-DE" sz="1199"/>
              <a:t>0,5%</a:t>
            </a:r>
            <a:r>
              <a:rPr lang="de-DE" sz="1199" baseline="0"/>
              <a:t> PVA in Sprühlösung</a:t>
            </a:r>
            <a:endParaRPr lang="de-DE" sz="1200"/>
          </a:p>
        </c:rich>
      </c:tx>
      <c:overlay val="0"/>
    </c:title>
    <c:autoTitleDeleted val="0"/>
    <c:plotArea>
      <c:layout>
        <c:manualLayout>
          <c:layoutTarget val="inner"/>
          <c:xMode val="edge"/>
          <c:yMode val="edge"/>
          <c:x val="0.197206115060036"/>
          <c:y val="0.205941455348022"/>
          <c:w val="0.708428810326139"/>
          <c:h val="0.53728871646923"/>
        </c:manualLayout>
      </c:layout>
      <c:scatterChart>
        <c:scatterStyle val="smoothMarker"/>
        <c:varyColors val="0"/>
        <c:ser>
          <c:idx val="0"/>
          <c:order val="0"/>
          <c:tx>
            <c:strRef>
              <c:f>EtOH_H2O_Probe4.asc!$F$89</c:f>
              <c:strCache>
                <c:ptCount val="1"/>
                <c:pt idx="0">
                  <c:v>1:1 Verdünnung mit PVA Lösung</c:v>
                </c:pt>
              </c:strCache>
            </c:strRef>
          </c:tx>
          <c:spPr>
            <a:ln w="19050">
              <a:solidFill>
                <a:srgbClr val="0000FF"/>
              </a:solidFill>
            </a:ln>
          </c:spPr>
          <c:marker>
            <c:symbol val="none"/>
          </c:marker>
          <c:xVal>
            <c:numRef>
              <c:f>EtOH_H2O_Probe4.asc!$A$90:$A$124</c:f>
              <c:numCache>
                <c:formatCode>0.00</c:formatCode>
                <c:ptCount val="35"/>
                <c:pt idx="0">
                  <c:v>0.0</c:v>
                </c:pt>
                <c:pt idx="1">
                  <c:v>9.360000000000004</c:v>
                </c:pt>
                <c:pt idx="2">
                  <c:v>10.95000000000002</c:v>
                </c:pt>
                <c:pt idx="3">
                  <c:v>12.81</c:v>
                </c:pt>
                <c:pt idx="4">
                  <c:v>14.99</c:v>
                </c:pt>
                <c:pt idx="5">
                  <c:v>17.54</c:v>
                </c:pt>
                <c:pt idx="6">
                  <c:v>20.52</c:v>
                </c:pt>
                <c:pt idx="7">
                  <c:v>24.01</c:v>
                </c:pt>
                <c:pt idx="8">
                  <c:v>28.09</c:v>
                </c:pt>
                <c:pt idx="9">
                  <c:v>32.86</c:v>
                </c:pt>
                <c:pt idx="10">
                  <c:v>38.45</c:v>
                </c:pt>
                <c:pt idx="11">
                  <c:v>44.99</c:v>
                </c:pt>
                <c:pt idx="12">
                  <c:v>52.63</c:v>
                </c:pt>
                <c:pt idx="13">
                  <c:v>61.58</c:v>
                </c:pt>
                <c:pt idx="14">
                  <c:v>72.05</c:v>
                </c:pt>
                <c:pt idx="15">
                  <c:v>84.3</c:v>
                </c:pt>
                <c:pt idx="16">
                  <c:v>98.63</c:v>
                </c:pt>
                <c:pt idx="17">
                  <c:v>115.39</c:v>
                </c:pt>
                <c:pt idx="18">
                  <c:v>135.01</c:v>
                </c:pt>
                <c:pt idx="19">
                  <c:v>157.96</c:v>
                </c:pt>
                <c:pt idx="20">
                  <c:v>184.81</c:v>
                </c:pt>
                <c:pt idx="21">
                  <c:v>216.23</c:v>
                </c:pt>
                <c:pt idx="22">
                  <c:v>252.9800000000004</c:v>
                </c:pt>
                <c:pt idx="23">
                  <c:v>295.9899999999988</c:v>
                </c:pt>
                <c:pt idx="24">
                  <c:v>346.3</c:v>
                </c:pt>
                <c:pt idx="25">
                  <c:v>405.17</c:v>
                </c:pt>
                <c:pt idx="26">
                  <c:v>474.04</c:v>
                </c:pt>
                <c:pt idx="27">
                  <c:v>554.62</c:v>
                </c:pt>
                <c:pt idx="28">
                  <c:v>648.9</c:v>
                </c:pt>
                <c:pt idx="29">
                  <c:v>759.21</c:v>
                </c:pt>
                <c:pt idx="30">
                  <c:v>888.2700000000005</c:v>
                </c:pt>
                <c:pt idx="31" formatCode="General">
                  <c:v>1039.26</c:v>
                </c:pt>
                <c:pt idx="32" formatCode="General">
                  <c:v>1215.93</c:v>
                </c:pt>
                <c:pt idx="33" formatCode="General">
                  <c:v>1422.62</c:v>
                </c:pt>
                <c:pt idx="34" formatCode="General">
                  <c:v>1664.45</c:v>
                </c:pt>
              </c:numCache>
            </c:numRef>
          </c:xVal>
          <c:yVal>
            <c:numRef>
              <c:f>EtOH_H2O_Probe4.asc!$F$90:$F$124</c:f>
              <c:numCache>
                <c:formatCode>General</c:formatCode>
                <c:ptCount val="35"/>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0.05</c:v>
                </c:pt>
                <c:pt idx="17">
                  <c:v>0.07</c:v>
                </c:pt>
                <c:pt idx="18">
                  <c:v>0.12</c:v>
                </c:pt>
                <c:pt idx="19">
                  <c:v>0.21</c:v>
                </c:pt>
                <c:pt idx="20">
                  <c:v>0.29</c:v>
                </c:pt>
                <c:pt idx="21">
                  <c:v>0.38</c:v>
                </c:pt>
                <c:pt idx="22">
                  <c:v>0.46</c:v>
                </c:pt>
                <c:pt idx="23">
                  <c:v>0.770000000000002</c:v>
                </c:pt>
                <c:pt idx="24">
                  <c:v>1.0</c:v>
                </c:pt>
                <c:pt idx="25">
                  <c:v>0.660000000000002</c:v>
                </c:pt>
                <c:pt idx="26">
                  <c:v>0.330000000000001</c:v>
                </c:pt>
                <c:pt idx="27">
                  <c:v>0.04</c:v>
                </c:pt>
                <c:pt idx="28">
                  <c:v>0.0</c:v>
                </c:pt>
                <c:pt idx="29">
                  <c:v>0.0</c:v>
                </c:pt>
                <c:pt idx="30">
                  <c:v>0.0</c:v>
                </c:pt>
                <c:pt idx="31">
                  <c:v>0.0</c:v>
                </c:pt>
                <c:pt idx="32">
                  <c:v>0.0</c:v>
                </c:pt>
                <c:pt idx="33">
                  <c:v>0.0</c:v>
                </c:pt>
                <c:pt idx="34">
                  <c:v>0.0</c:v>
                </c:pt>
              </c:numCache>
            </c:numRef>
          </c:yVal>
          <c:smooth val="1"/>
        </c:ser>
        <c:ser>
          <c:idx val="2"/>
          <c:order val="1"/>
          <c:tx>
            <c:strRef>
              <c:f>EtOH_H2O_Probe4.asc!$G$89</c:f>
              <c:strCache>
                <c:ptCount val="1"/>
                <c:pt idx="0">
                  <c:v>Getrocknet und redispergiert</c:v>
                </c:pt>
              </c:strCache>
            </c:strRef>
          </c:tx>
          <c:spPr>
            <a:ln w="19050">
              <a:solidFill>
                <a:srgbClr val="008000"/>
              </a:solidFill>
            </a:ln>
          </c:spPr>
          <c:marker>
            <c:symbol val="none"/>
          </c:marker>
          <c:xVal>
            <c:numRef>
              <c:f>EtOH_H2O_Probe4.asc!$A$90:$A$124</c:f>
              <c:numCache>
                <c:formatCode>0.00</c:formatCode>
                <c:ptCount val="35"/>
                <c:pt idx="0">
                  <c:v>0.0</c:v>
                </c:pt>
                <c:pt idx="1">
                  <c:v>9.360000000000004</c:v>
                </c:pt>
                <c:pt idx="2">
                  <c:v>10.95000000000002</c:v>
                </c:pt>
                <c:pt idx="3">
                  <c:v>12.81</c:v>
                </c:pt>
                <c:pt idx="4">
                  <c:v>14.99</c:v>
                </c:pt>
                <c:pt idx="5">
                  <c:v>17.54</c:v>
                </c:pt>
                <c:pt idx="6">
                  <c:v>20.52</c:v>
                </c:pt>
                <c:pt idx="7">
                  <c:v>24.01</c:v>
                </c:pt>
                <c:pt idx="8">
                  <c:v>28.09</c:v>
                </c:pt>
                <c:pt idx="9">
                  <c:v>32.86</c:v>
                </c:pt>
                <c:pt idx="10">
                  <c:v>38.45</c:v>
                </c:pt>
                <c:pt idx="11">
                  <c:v>44.99</c:v>
                </c:pt>
                <c:pt idx="12">
                  <c:v>52.63</c:v>
                </c:pt>
                <c:pt idx="13">
                  <c:v>61.58</c:v>
                </c:pt>
                <c:pt idx="14">
                  <c:v>72.05</c:v>
                </c:pt>
                <c:pt idx="15">
                  <c:v>84.3</c:v>
                </c:pt>
                <c:pt idx="16">
                  <c:v>98.63</c:v>
                </c:pt>
                <c:pt idx="17">
                  <c:v>115.39</c:v>
                </c:pt>
                <c:pt idx="18">
                  <c:v>135.01</c:v>
                </c:pt>
                <c:pt idx="19">
                  <c:v>157.96</c:v>
                </c:pt>
                <c:pt idx="20">
                  <c:v>184.81</c:v>
                </c:pt>
                <c:pt idx="21">
                  <c:v>216.23</c:v>
                </c:pt>
                <c:pt idx="22">
                  <c:v>252.9800000000004</c:v>
                </c:pt>
                <c:pt idx="23">
                  <c:v>295.9899999999988</c:v>
                </c:pt>
                <c:pt idx="24">
                  <c:v>346.3</c:v>
                </c:pt>
                <c:pt idx="25">
                  <c:v>405.17</c:v>
                </c:pt>
                <c:pt idx="26">
                  <c:v>474.04</c:v>
                </c:pt>
                <c:pt idx="27">
                  <c:v>554.62</c:v>
                </c:pt>
                <c:pt idx="28">
                  <c:v>648.9</c:v>
                </c:pt>
                <c:pt idx="29">
                  <c:v>759.21</c:v>
                </c:pt>
                <c:pt idx="30">
                  <c:v>888.2700000000005</c:v>
                </c:pt>
                <c:pt idx="31" formatCode="General">
                  <c:v>1039.26</c:v>
                </c:pt>
                <c:pt idx="32" formatCode="General">
                  <c:v>1215.93</c:v>
                </c:pt>
                <c:pt idx="33" formatCode="General">
                  <c:v>1422.62</c:v>
                </c:pt>
                <c:pt idx="34" formatCode="General">
                  <c:v>1664.45</c:v>
                </c:pt>
              </c:numCache>
            </c:numRef>
          </c:xVal>
          <c:yVal>
            <c:numRef>
              <c:f>EtOH_H2O_Probe4.asc!$G$90:$G$124</c:f>
              <c:numCache>
                <c:formatCode>General</c:formatCode>
                <c:ptCount val="35"/>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0.2</c:v>
                </c:pt>
                <c:pt idx="21">
                  <c:v>0.55</c:v>
                </c:pt>
                <c:pt idx="22">
                  <c:v>1.0</c:v>
                </c:pt>
                <c:pt idx="23">
                  <c:v>0.99</c:v>
                </c:pt>
                <c:pt idx="24">
                  <c:v>0.650000000000002</c:v>
                </c:pt>
                <c:pt idx="25">
                  <c:v>0.18</c:v>
                </c:pt>
                <c:pt idx="26">
                  <c:v>0.0</c:v>
                </c:pt>
                <c:pt idx="27">
                  <c:v>0.0</c:v>
                </c:pt>
                <c:pt idx="28">
                  <c:v>0.0</c:v>
                </c:pt>
                <c:pt idx="29">
                  <c:v>0.0</c:v>
                </c:pt>
                <c:pt idx="30">
                  <c:v>0.0</c:v>
                </c:pt>
                <c:pt idx="31">
                  <c:v>0.0</c:v>
                </c:pt>
                <c:pt idx="32">
                  <c:v>0.0</c:v>
                </c:pt>
                <c:pt idx="33">
                  <c:v>0.0</c:v>
                </c:pt>
                <c:pt idx="34">
                  <c:v>0.0</c:v>
                </c:pt>
              </c:numCache>
            </c:numRef>
          </c:yVal>
          <c:smooth val="1"/>
        </c:ser>
        <c:dLbls>
          <c:showLegendKey val="0"/>
          <c:showVal val="0"/>
          <c:showCatName val="0"/>
          <c:showSerName val="0"/>
          <c:showPercent val="0"/>
          <c:showBubbleSize val="0"/>
        </c:dLbls>
        <c:axId val="2107156424"/>
        <c:axId val="2107161992"/>
      </c:scatterChart>
      <c:valAx>
        <c:axId val="2107156424"/>
        <c:scaling>
          <c:orientation val="minMax"/>
          <c:max val="1600.0"/>
          <c:min val="0.0"/>
        </c:scaling>
        <c:delete val="0"/>
        <c:axPos val="b"/>
        <c:title>
          <c:tx>
            <c:rich>
              <a:bodyPr/>
              <a:lstStyle/>
              <a:p>
                <a:pPr>
                  <a:defRPr sz="900" b="1" i="0" u="none" strike="noStrike" baseline="0">
                    <a:solidFill>
                      <a:srgbClr val="000000"/>
                    </a:solidFill>
                    <a:latin typeface="Calibri"/>
                    <a:ea typeface="Calibri"/>
                    <a:cs typeface="Calibri"/>
                  </a:defRPr>
                </a:pPr>
                <a:r>
                  <a:rPr lang="de-DE"/>
                  <a:t>Partikeldurchmesser [nm]</a:t>
                </a:r>
              </a:p>
            </c:rich>
          </c:tx>
          <c:overlay val="0"/>
        </c:title>
        <c:numFmt formatCode="0" sourceLinked="0"/>
        <c:majorTickMark val="out"/>
        <c:minorTickMark val="none"/>
        <c:tickLblPos val="nextTo"/>
        <c:txPr>
          <a:bodyPr rot="0" vert="horz"/>
          <a:lstStyle/>
          <a:p>
            <a:pPr>
              <a:defRPr sz="900" b="0" i="0" u="none" strike="noStrike" baseline="0">
                <a:solidFill>
                  <a:srgbClr val="000000"/>
                </a:solidFill>
                <a:latin typeface="Calibri"/>
                <a:ea typeface="Calibri"/>
                <a:cs typeface="Calibri"/>
              </a:defRPr>
            </a:pPr>
            <a:endParaRPr lang="de-DE"/>
          </a:p>
        </c:txPr>
        <c:crossAx val="2107161992"/>
        <c:crosses val="autoZero"/>
        <c:crossBetween val="midCat"/>
        <c:majorUnit val="300.0"/>
      </c:valAx>
      <c:valAx>
        <c:axId val="2107161992"/>
        <c:scaling>
          <c:orientation val="minMax"/>
          <c:max val="1.1"/>
          <c:min val="0.0"/>
        </c:scaling>
        <c:delete val="0"/>
        <c:axPos val="l"/>
        <c:majorGridlines/>
        <c:title>
          <c:tx>
            <c:rich>
              <a:bodyPr/>
              <a:lstStyle/>
              <a:p>
                <a:pPr>
                  <a:defRPr sz="900" b="1" i="0" u="none" strike="noStrike" baseline="0">
                    <a:solidFill>
                      <a:srgbClr val="000000"/>
                    </a:solidFill>
                    <a:latin typeface="Calibri"/>
                    <a:ea typeface="Calibri"/>
                    <a:cs typeface="Calibri"/>
                  </a:defRPr>
                </a:pPr>
                <a:r>
                  <a:rPr lang="de-DE"/>
                  <a:t>rel. Häufigkeit [%]</a:t>
                </a:r>
              </a:p>
            </c:rich>
          </c:tx>
          <c:overlay val="0"/>
        </c:title>
        <c:numFmt formatCode="General" sourceLinked="1"/>
        <c:majorTickMark val="out"/>
        <c:minorTickMark val="none"/>
        <c:tickLblPos val="nextTo"/>
        <c:txPr>
          <a:bodyPr/>
          <a:lstStyle/>
          <a:p>
            <a:pPr>
              <a:defRPr sz="900" baseline="0"/>
            </a:pPr>
            <a:endParaRPr lang="de-DE"/>
          </a:p>
        </c:txPr>
        <c:crossAx val="2107156424"/>
        <c:crosses val="autoZero"/>
        <c:crossBetween val="midCat"/>
        <c:majorUnit val="0.3"/>
      </c:valAx>
    </c:plotArea>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scatterChart>
        <c:scatterStyle val="lineMarker"/>
        <c:varyColors val="0"/>
        <c:ser>
          <c:idx val="0"/>
          <c:order val="0"/>
          <c:tx>
            <c:v>Plasmakonzentration Desmopressin</c:v>
          </c:tx>
          <c:spPr>
            <a:ln w="19050">
              <a:solidFill>
                <a:srgbClr val="0000FF"/>
              </a:solidFill>
            </a:ln>
          </c:spPr>
          <c:marker>
            <c:symbol val="diamond"/>
            <c:size val="5"/>
            <c:spPr>
              <a:solidFill>
                <a:srgbClr val="0000FF"/>
              </a:solidFill>
              <a:ln>
                <a:solidFill>
                  <a:srgbClr val="0000FF"/>
                </a:solidFill>
              </a:ln>
            </c:spPr>
          </c:marker>
          <c:errBars>
            <c:errDir val="y"/>
            <c:errBarType val="both"/>
            <c:errValType val="cust"/>
            <c:noEndCap val="0"/>
            <c:plus>
              <c:numRef>
                <c:f>Tabelle1!$K$28:$K$32</c:f>
                <c:numCache>
                  <c:formatCode>General</c:formatCode>
                  <c:ptCount val="5"/>
                  <c:pt idx="0">
                    <c:v>3399.653766998532</c:v>
                  </c:pt>
                  <c:pt idx="1">
                    <c:v>1768.336442473822</c:v>
                  </c:pt>
                  <c:pt idx="2">
                    <c:v>417.9807172475523</c:v>
                  </c:pt>
                  <c:pt idx="3">
                    <c:v>551.2622087886774</c:v>
                  </c:pt>
                  <c:pt idx="4">
                    <c:v>29.5513575842523</c:v>
                  </c:pt>
                </c:numCache>
              </c:numRef>
            </c:plus>
            <c:minus>
              <c:numRef>
                <c:f>Tabelle1!$K$28:$K$32</c:f>
                <c:numCache>
                  <c:formatCode>General</c:formatCode>
                  <c:ptCount val="5"/>
                  <c:pt idx="0">
                    <c:v>3399.653766998532</c:v>
                  </c:pt>
                  <c:pt idx="1">
                    <c:v>1768.336442473822</c:v>
                  </c:pt>
                  <c:pt idx="2">
                    <c:v>417.9807172475523</c:v>
                  </c:pt>
                  <c:pt idx="3">
                    <c:v>551.2622087886774</c:v>
                  </c:pt>
                  <c:pt idx="4">
                    <c:v>29.5513575842523</c:v>
                  </c:pt>
                </c:numCache>
              </c:numRef>
            </c:minus>
            <c:spPr>
              <a:ln w="12700">
                <a:solidFill>
                  <a:srgbClr val="0000FF"/>
                </a:solidFill>
              </a:ln>
            </c:spPr>
          </c:errBars>
          <c:xVal>
            <c:numRef>
              <c:f>Tabelle1!$I$28:$I$32</c:f>
              <c:numCache>
                <c:formatCode>General</c:formatCode>
                <c:ptCount val="5"/>
                <c:pt idx="0">
                  <c:v>0.5</c:v>
                </c:pt>
                <c:pt idx="1">
                  <c:v>1.0</c:v>
                </c:pt>
                <c:pt idx="2">
                  <c:v>2.0</c:v>
                </c:pt>
                <c:pt idx="3">
                  <c:v>4.0</c:v>
                </c:pt>
                <c:pt idx="4">
                  <c:v>8.0</c:v>
                </c:pt>
              </c:numCache>
            </c:numRef>
          </c:xVal>
          <c:yVal>
            <c:numRef>
              <c:f>Tabelle1!$J$28:$J$32</c:f>
              <c:numCache>
                <c:formatCode>0</c:formatCode>
                <c:ptCount val="5"/>
                <c:pt idx="0">
                  <c:v>22195.25618236816</c:v>
                </c:pt>
                <c:pt idx="1">
                  <c:v>12656.5608938104</c:v>
                </c:pt>
                <c:pt idx="2">
                  <c:v>1862.808041118454</c:v>
                </c:pt>
                <c:pt idx="3">
                  <c:v>1707.482685400178</c:v>
                </c:pt>
                <c:pt idx="4">
                  <c:v>160.4401579647158</c:v>
                </c:pt>
              </c:numCache>
            </c:numRef>
          </c:yVal>
          <c:smooth val="0"/>
        </c:ser>
        <c:dLbls>
          <c:showLegendKey val="0"/>
          <c:showVal val="0"/>
          <c:showCatName val="0"/>
          <c:showSerName val="0"/>
          <c:showPercent val="0"/>
          <c:showBubbleSize val="0"/>
        </c:dLbls>
        <c:axId val="2107258520"/>
        <c:axId val="2107264472"/>
      </c:scatterChart>
      <c:scatterChart>
        <c:scatterStyle val="lineMarker"/>
        <c:varyColors val="0"/>
        <c:ser>
          <c:idx val="1"/>
          <c:order val="1"/>
          <c:tx>
            <c:v>Logarithmus Plasmakonzentration Desmopressin</c:v>
          </c:tx>
          <c:spPr>
            <a:ln w="19050">
              <a:solidFill>
                <a:srgbClr val="FF0000"/>
              </a:solidFill>
            </a:ln>
          </c:spPr>
          <c:marker>
            <c:symbol val="square"/>
            <c:size val="4"/>
            <c:spPr>
              <a:solidFill>
                <a:srgbClr val="FF0000"/>
              </a:solidFill>
              <a:ln>
                <a:solidFill>
                  <a:srgbClr val="FF0000"/>
                </a:solidFill>
              </a:ln>
            </c:spPr>
          </c:marker>
          <c:trendline>
            <c:name>lineare Regression Logarithmus</c:name>
            <c:spPr>
              <a:ln w="12700"/>
            </c:spPr>
            <c:trendlineType val="linear"/>
            <c:dispRSqr val="1"/>
            <c:dispEq val="1"/>
            <c:trendlineLbl>
              <c:layout>
                <c:manualLayout>
                  <c:x val="0.0474016316757805"/>
                  <c:y val="-0.194184235707629"/>
                </c:manualLayout>
              </c:layout>
              <c:numFmt formatCode="General" sourceLinked="0"/>
            </c:trendlineLbl>
          </c:trendline>
          <c:xVal>
            <c:numRef>
              <c:f>Tabelle1!$I$28:$I$32</c:f>
              <c:numCache>
                <c:formatCode>General</c:formatCode>
                <c:ptCount val="5"/>
                <c:pt idx="0">
                  <c:v>0.5</c:v>
                </c:pt>
                <c:pt idx="1">
                  <c:v>1.0</c:v>
                </c:pt>
                <c:pt idx="2">
                  <c:v>2.0</c:v>
                </c:pt>
                <c:pt idx="3">
                  <c:v>4.0</c:v>
                </c:pt>
                <c:pt idx="4">
                  <c:v>8.0</c:v>
                </c:pt>
              </c:numCache>
            </c:numRef>
          </c:xVal>
          <c:yVal>
            <c:numRef>
              <c:f>Tabelle1!$L$28:$L$32</c:f>
              <c:numCache>
                <c:formatCode>General</c:formatCode>
                <c:ptCount val="5"/>
                <c:pt idx="0">
                  <c:v>10.00763385954752</c:v>
                </c:pt>
                <c:pt idx="1">
                  <c:v>9.445931007436465</c:v>
                </c:pt>
                <c:pt idx="2">
                  <c:v>7.52984032778264</c:v>
                </c:pt>
                <c:pt idx="3">
                  <c:v>7.442775451071523</c:v>
                </c:pt>
                <c:pt idx="4">
                  <c:v>5.077921025473271</c:v>
                </c:pt>
              </c:numCache>
            </c:numRef>
          </c:yVal>
          <c:smooth val="0"/>
        </c:ser>
        <c:dLbls>
          <c:showLegendKey val="0"/>
          <c:showVal val="0"/>
          <c:showCatName val="0"/>
          <c:showSerName val="0"/>
          <c:showPercent val="0"/>
          <c:showBubbleSize val="0"/>
        </c:dLbls>
        <c:axId val="2107275960"/>
        <c:axId val="2107270264"/>
      </c:scatterChart>
      <c:valAx>
        <c:axId val="2107258520"/>
        <c:scaling>
          <c:orientation val="minMax"/>
        </c:scaling>
        <c:delete val="0"/>
        <c:axPos val="b"/>
        <c:title>
          <c:tx>
            <c:rich>
              <a:bodyPr/>
              <a:lstStyle/>
              <a:p>
                <a:pPr>
                  <a:defRPr sz="1100" b="1"/>
                </a:pPr>
                <a:r>
                  <a:rPr lang="de-DE" sz="1100" b="1"/>
                  <a:t>Zeit</a:t>
                </a:r>
                <a:r>
                  <a:rPr lang="de-DE" sz="1100" b="1" baseline="0"/>
                  <a:t> nach Injektion [h]</a:t>
                </a:r>
                <a:endParaRPr lang="de-DE" sz="1100" b="1"/>
              </a:p>
            </c:rich>
          </c:tx>
          <c:overlay val="0"/>
        </c:title>
        <c:numFmt formatCode="General" sourceLinked="1"/>
        <c:majorTickMark val="out"/>
        <c:minorTickMark val="none"/>
        <c:tickLblPos val="nextTo"/>
        <c:txPr>
          <a:bodyPr/>
          <a:lstStyle/>
          <a:p>
            <a:pPr>
              <a:defRPr sz="1100"/>
            </a:pPr>
            <a:endParaRPr lang="de-DE"/>
          </a:p>
        </c:txPr>
        <c:crossAx val="2107264472"/>
        <c:crosses val="autoZero"/>
        <c:crossBetween val="midCat"/>
      </c:valAx>
      <c:valAx>
        <c:axId val="2107264472"/>
        <c:scaling>
          <c:orientation val="minMax"/>
        </c:scaling>
        <c:delete val="0"/>
        <c:axPos val="l"/>
        <c:majorGridlines/>
        <c:title>
          <c:tx>
            <c:rich>
              <a:bodyPr rot="-5400000" vert="horz"/>
              <a:lstStyle/>
              <a:p>
                <a:pPr>
                  <a:defRPr sz="1100" b="0"/>
                </a:pPr>
                <a:r>
                  <a:rPr lang="de-DE" sz="1100" b="1"/>
                  <a:t>Plasmakonzentration</a:t>
                </a:r>
                <a:r>
                  <a:rPr lang="de-DE" sz="1100" b="1" baseline="0"/>
                  <a:t> [ng/ml]</a:t>
                </a:r>
                <a:endParaRPr lang="de-DE" sz="1100" b="1"/>
              </a:p>
            </c:rich>
          </c:tx>
          <c:layout>
            <c:manualLayout>
              <c:xMode val="edge"/>
              <c:yMode val="edge"/>
              <c:x val="0.0153846153846154"/>
              <c:y val="0.216845327812975"/>
            </c:manualLayout>
          </c:layout>
          <c:overlay val="0"/>
        </c:title>
        <c:numFmt formatCode="0" sourceLinked="1"/>
        <c:majorTickMark val="out"/>
        <c:minorTickMark val="none"/>
        <c:tickLblPos val="nextTo"/>
        <c:txPr>
          <a:bodyPr/>
          <a:lstStyle/>
          <a:p>
            <a:pPr>
              <a:defRPr sz="1100"/>
            </a:pPr>
            <a:endParaRPr lang="de-DE"/>
          </a:p>
        </c:txPr>
        <c:crossAx val="2107258520"/>
        <c:crosses val="autoZero"/>
        <c:crossBetween val="midCat"/>
      </c:valAx>
      <c:valAx>
        <c:axId val="2107270264"/>
        <c:scaling>
          <c:orientation val="minMax"/>
        </c:scaling>
        <c:delete val="0"/>
        <c:axPos val="r"/>
        <c:title>
          <c:tx>
            <c:rich>
              <a:bodyPr rot="-5400000" vert="horz"/>
              <a:lstStyle/>
              <a:p>
                <a:pPr>
                  <a:defRPr sz="1100"/>
                </a:pPr>
                <a:r>
                  <a:rPr lang="de-DE" sz="1100"/>
                  <a:t>ln</a:t>
                </a:r>
                <a:r>
                  <a:rPr lang="de-DE" sz="1100" baseline="0"/>
                  <a:t> c(t) [ng/ml]</a:t>
                </a:r>
                <a:endParaRPr lang="de-DE" sz="1100"/>
              </a:p>
            </c:rich>
          </c:tx>
          <c:overlay val="0"/>
        </c:title>
        <c:numFmt formatCode="General" sourceLinked="1"/>
        <c:majorTickMark val="out"/>
        <c:minorTickMark val="none"/>
        <c:tickLblPos val="nextTo"/>
        <c:crossAx val="2107275960"/>
        <c:crosses val="max"/>
        <c:crossBetween val="midCat"/>
      </c:valAx>
      <c:valAx>
        <c:axId val="2107275960"/>
        <c:scaling>
          <c:orientation val="minMax"/>
        </c:scaling>
        <c:delete val="1"/>
        <c:axPos val="b"/>
        <c:numFmt formatCode="General" sourceLinked="1"/>
        <c:majorTickMark val="out"/>
        <c:minorTickMark val="none"/>
        <c:tickLblPos val="none"/>
        <c:crossAx val="2107270264"/>
        <c:crosses val="autoZero"/>
        <c:crossBetween val="midCat"/>
      </c:valAx>
    </c:plotArea>
    <c:legend>
      <c:legendPos val="t"/>
      <c:legendEntry>
        <c:idx val="2"/>
        <c:delete val="1"/>
      </c:legendEntry>
      <c:overlay val="0"/>
    </c:legend>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scatterChart>
        <c:scatterStyle val="lineMarker"/>
        <c:varyColors val="0"/>
        <c:ser>
          <c:idx val="0"/>
          <c:order val="0"/>
          <c:tx>
            <c:strRef>
              <c:f>Tabelle1!$B$60</c:f>
              <c:strCache>
                <c:ptCount val="1"/>
                <c:pt idx="0">
                  <c:v>PEA Cystein</c:v>
                </c:pt>
              </c:strCache>
            </c:strRef>
          </c:tx>
          <c:spPr>
            <a:ln w="19050">
              <a:solidFill>
                <a:srgbClr val="0000FF"/>
              </a:solidFill>
            </a:ln>
          </c:spPr>
          <c:marker>
            <c:symbol val="diamond"/>
            <c:size val="4"/>
            <c:spPr>
              <a:solidFill>
                <a:srgbClr val="0000FF"/>
              </a:solidFill>
              <a:ln>
                <a:solidFill>
                  <a:srgbClr val="0000FF"/>
                </a:solidFill>
              </a:ln>
            </c:spPr>
          </c:marker>
          <c:errBars>
            <c:errDir val="y"/>
            <c:errBarType val="both"/>
            <c:errValType val="cust"/>
            <c:noEndCap val="0"/>
            <c:plus>
              <c:numRef>
                <c:f>Tabelle1!$K$59:$K$64</c:f>
                <c:numCache>
                  <c:formatCode>General</c:formatCode>
                  <c:ptCount val="6"/>
                  <c:pt idx="0">
                    <c:v>0.0</c:v>
                  </c:pt>
                  <c:pt idx="1">
                    <c:v>27.04795818275756</c:v>
                  </c:pt>
                  <c:pt idx="2">
                    <c:v>32.35210240240921</c:v>
                  </c:pt>
                  <c:pt idx="3">
                    <c:v>69.5</c:v>
                  </c:pt>
                  <c:pt idx="4">
                    <c:v>66.69902475130766</c:v>
                  </c:pt>
                  <c:pt idx="5">
                    <c:v>50.02999100539596</c:v>
                  </c:pt>
                </c:numCache>
              </c:numRef>
            </c:plus>
            <c:minus>
              <c:numRef>
                <c:f>Tabelle1!$K$59:$K$64</c:f>
                <c:numCache>
                  <c:formatCode>General</c:formatCode>
                  <c:ptCount val="6"/>
                  <c:pt idx="0">
                    <c:v>0.0</c:v>
                  </c:pt>
                  <c:pt idx="1">
                    <c:v>27.04795818275756</c:v>
                  </c:pt>
                  <c:pt idx="2">
                    <c:v>32.35210240240921</c:v>
                  </c:pt>
                  <c:pt idx="3">
                    <c:v>69.5</c:v>
                  </c:pt>
                  <c:pt idx="4">
                    <c:v>66.69902475130766</c:v>
                  </c:pt>
                  <c:pt idx="5">
                    <c:v>50.02999100539596</c:v>
                  </c:pt>
                </c:numCache>
              </c:numRef>
            </c:minus>
            <c:spPr>
              <a:ln w="12700">
                <a:solidFill>
                  <a:srgbClr val="0000FF"/>
                </a:solidFill>
              </a:ln>
            </c:spPr>
          </c:errBars>
          <c:xVal>
            <c:numRef>
              <c:f>Tabelle1!$I$59:$I$64</c:f>
              <c:numCache>
                <c:formatCode>General</c:formatCode>
                <c:ptCount val="6"/>
                <c:pt idx="0">
                  <c:v>0.0</c:v>
                </c:pt>
                <c:pt idx="1">
                  <c:v>0.5</c:v>
                </c:pt>
                <c:pt idx="2">
                  <c:v>1.0</c:v>
                </c:pt>
                <c:pt idx="3">
                  <c:v>2.0</c:v>
                </c:pt>
                <c:pt idx="4">
                  <c:v>4.0</c:v>
                </c:pt>
                <c:pt idx="5">
                  <c:v>8.0</c:v>
                </c:pt>
              </c:numCache>
            </c:numRef>
          </c:xVal>
          <c:yVal>
            <c:numRef>
              <c:f>Tabelle1!$J$59:$J$64</c:f>
              <c:numCache>
                <c:formatCode>0</c:formatCode>
                <c:ptCount val="6"/>
                <c:pt idx="0">
                  <c:v>0.0</c:v>
                </c:pt>
                <c:pt idx="1">
                  <c:v>156.3922128951598</c:v>
                </c:pt>
                <c:pt idx="2">
                  <c:v>20.1805878033775</c:v>
                </c:pt>
                <c:pt idx="3">
                  <c:v>155.5</c:v>
                </c:pt>
                <c:pt idx="4">
                  <c:v>348.1526463058893</c:v>
                </c:pt>
                <c:pt idx="5">
                  <c:v>49.0</c:v>
                </c:pt>
              </c:numCache>
            </c:numRef>
          </c:yVal>
          <c:smooth val="0"/>
        </c:ser>
        <c:ser>
          <c:idx val="1"/>
          <c:order val="1"/>
          <c:tx>
            <c:strRef>
              <c:f>Tabelle1!$B$131</c:f>
              <c:strCache>
                <c:ptCount val="1"/>
                <c:pt idx="0">
                  <c:v>PLGA 50:50</c:v>
                </c:pt>
              </c:strCache>
            </c:strRef>
          </c:tx>
          <c:spPr>
            <a:ln w="19050"/>
          </c:spPr>
          <c:marker>
            <c:symbol val="square"/>
            <c:size val="4"/>
          </c:marker>
          <c:errBars>
            <c:errDir val="y"/>
            <c:errBarType val="both"/>
            <c:errValType val="cust"/>
            <c:noEndCap val="0"/>
            <c:plus>
              <c:numRef>
                <c:f>Tabelle1!$K$130:$K$134</c:f>
                <c:numCache>
                  <c:formatCode>General</c:formatCode>
                  <c:ptCount val="5"/>
                  <c:pt idx="0">
                    <c:v>0.0</c:v>
                  </c:pt>
                  <c:pt idx="1">
                    <c:v>101.7931773530986</c:v>
                  </c:pt>
                  <c:pt idx="2">
                    <c:v>7.817042158888896</c:v>
                  </c:pt>
                  <c:pt idx="3">
                    <c:v>13.0</c:v>
                  </c:pt>
                  <c:pt idx="4">
                    <c:v>38.72432188026153</c:v>
                  </c:pt>
                </c:numCache>
              </c:numRef>
            </c:plus>
            <c:minus>
              <c:numRef>
                <c:f>Tabelle1!$K$130:$K$134</c:f>
                <c:numCache>
                  <c:formatCode>General</c:formatCode>
                  <c:ptCount val="5"/>
                  <c:pt idx="0">
                    <c:v>0.0</c:v>
                  </c:pt>
                  <c:pt idx="1">
                    <c:v>101.7931773530986</c:v>
                  </c:pt>
                  <c:pt idx="2">
                    <c:v>7.817042158888896</c:v>
                  </c:pt>
                  <c:pt idx="3">
                    <c:v>13.0</c:v>
                  </c:pt>
                  <c:pt idx="4">
                    <c:v>38.72432188026153</c:v>
                  </c:pt>
                </c:numCache>
              </c:numRef>
            </c:minus>
            <c:spPr>
              <a:ln w="15875">
                <a:solidFill>
                  <a:schemeClr val="accent2"/>
                </a:solidFill>
              </a:ln>
            </c:spPr>
          </c:errBars>
          <c:xVal>
            <c:numRef>
              <c:f>Tabelle1!$I$130:$I$134</c:f>
              <c:numCache>
                <c:formatCode>General</c:formatCode>
                <c:ptCount val="5"/>
                <c:pt idx="0">
                  <c:v>0.0</c:v>
                </c:pt>
                <c:pt idx="1">
                  <c:v>0.5</c:v>
                </c:pt>
                <c:pt idx="2">
                  <c:v>1.0</c:v>
                </c:pt>
                <c:pt idx="3">
                  <c:v>2.0</c:v>
                </c:pt>
                <c:pt idx="4">
                  <c:v>4.0</c:v>
                </c:pt>
              </c:numCache>
            </c:numRef>
          </c:xVal>
          <c:yVal>
            <c:numRef>
              <c:f>Tabelle1!$J$130:$J$134</c:f>
              <c:numCache>
                <c:formatCode>0</c:formatCode>
                <c:ptCount val="5"/>
                <c:pt idx="0">
                  <c:v>0.0</c:v>
                </c:pt>
                <c:pt idx="1">
                  <c:v>220.32148597964</c:v>
                </c:pt>
                <c:pt idx="2">
                  <c:v>145.4198453805522</c:v>
                </c:pt>
                <c:pt idx="3">
                  <c:v>107.0</c:v>
                </c:pt>
                <c:pt idx="4">
                  <c:v>24.94334305729187</c:v>
                </c:pt>
              </c:numCache>
            </c:numRef>
          </c:yVal>
          <c:smooth val="0"/>
        </c:ser>
        <c:ser>
          <c:idx val="2"/>
          <c:order val="2"/>
          <c:tx>
            <c:strRef>
              <c:f>Tabelle1!$B$105</c:f>
              <c:strCache>
                <c:ptCount val="1"/>
                <c:pt idx="0">
                  <c:v>PLGA 50:50 + hlF</c:v>
                </c:pt>
              </c:strCache>
            </c:strRef>
          </c:tx>
          <c:spPr>
            <a:ln w="19050">
              <a:solidFill>
                <a:srgbClr val="008000"/>
              </a:solidFill>
            </a:ln>
          </c:spPr>
          <c:marker>
            <c:symbol val="triangle"/>
            <c:size val="4"/>
            <c:spPr>
              <a:solidFill>
                <a:srgbClr val="008000"/>
              </a:solidFill>
              <a:ln>
                <a:solidFill>
                  <a:srgbClr val="008000"/>
                </a:solidFill>
              </a:ln>
            </c:spPr>
          </c:marker>
          <c:errBars>
            <c:errDir val="y"/>
            <c:errBarType val="both"/>
            <c:errValType val="cust"/>
            <c:noEndCap val="0"/>
            <c:plus>
              <c:numRef>
                <c:f>Tabelle1!$K$104:$K$108</c:f>
                <c:numCache>
                  <c:formatCode>General</c:formatCode>
                  <c:ptCount val="5"/>
                  <c:pt idx="0">
                    <c:v>0.0</c:v>
                  </c:pt>
                  <c:pt idx="1">
                    <c:v>0.0</c:v>
                  </c:pt>
                  <c:pt idx="2">
                    <c:v>51.87044310986621</c:v>
                  </c:pt>
                  <c:pt idx="3">
                    <c:v>0.0</c:v>
                  </c:pt>
                  <c:pt idx="4">
                    <c:v>0.0</c:v>
                  </c:pt>
                </c:numCache>
              </c:numRef>
            </c:plus>
            <c:minus>
              <c:numRef>
                <c:f>Tabelle1!$K$104:$K$108</c:f>
                <c:numCache>
                  <c:formatCode>General</c:formatCode>
                  <c:ptCount val="5"/>
                  <c:pt idx="0">
                    <c:v>0.0</c:v>
                  </c:pt>
                  <c:pt idx="1">
                    <c:v>0.0</c:v>
                  </c:pt>
                  <c:pt idx="2">
                    <c:v>51.87044310986621</c:v>
                  </c:pt>
                  <c:pt idx="3">
                    <c:v>0.0</c:v>
                  </c:pt>
                  <c:pt idx="4">
                    <c:v>0.0</c:v>
                  </c:pt>
                </c:numCache>
              </c:numRef>
            </c:minus>
            <c:spPr>
              <a:ln w="12700">
                <a:solidFill>
                  <a:srgbClr val="008000"/>
                </a:solidFill>
              </a:ln>
            </c:spPr>
          </c:errBars>
          <c:xVal>
            <c:numRef>
              <c:f>Tabelle1!$I$104:$I$108</c:f>
              <c:numCache>
                <c:formatCode>General</c:formatCode>
                <c:ptCount val="5"/>
                <c:pt idx="0">
                  <c:v>0.0</c:v>
                </c:pt>
                <c:pt idx="1">
                  <c:v>0.5</c:v>
                </c:pt>
                <c:pt idx="2">
                  <c:v>1.0</c:v>
                </c:pt>
                <c:pt idx="3">
                  <c:v>2.0</c:v>
                </c:pt>
                <c:pt idx="4">
                  <c:v>4.0</c:v>
                </c:pt>
              </c:numCache>
            </c:numRef>
          </c:xVal>
          <c:yVal>
            <c:numRef>
              <c:f>Tabelle1!$J$104:$J$108</c:f>
              <c:numCache>
                <c:formatCode>0</c:formatCode>
                <c:ptCount val="5"/>
                <c:pt idx="0">
                  <c:v>0.0</c:v>
                </c:pt>
                <c:pt idx="1">
                  <c:v>0.0</c:v>
                </c:pt>
                <c:pt idx="2">
                  <c:v>33.425721965342</c:v>
                </c:pt>
                <c:pt idx="3">
                  <c:v>0.0</c:v>
                </c:pt>
                <c:pt idx="4">
                  <c:v>0.0</c:v>
                </c:pt>
              </c:numCache>
            </c:numRef>
          </c:yVal>
          <c:smooth val="0"/>
        </c:ser>
        <c:ser>
          <c:idx val="3"/>
          <c:order val="3"/>
          <c:tx>
            <c:strRef>
              <c:f>Tabelle1!$B$15</c:f>
              <c:strCache>
                <c:ptCount val="1"/>
                <c:pt idx="0">
                  <c:v>Minirin</c:v>
                </c:pt>
              </c:strCache>
            </c:strRef>
          </c:tx>
          <c:spPr>
            <a:ln w="19050">
              <a:solidFill>
                <a:srgbClr val="660066"/>
              </a:solidFill>
            </a:ln>
          </c:spPr>
          <c:marker>
            <c:symbol val="circle"/>
            <c:size val="4"/>
            <c:spPr>
              <a:solidFill>
                <a:srgbClr val="660066"/>
              </a:solidFill>
              <a:ln>
                <a:solidFill>
                  <a:srgbClr val="660066"/>
                </a:solidFill>
              </a:ln>
            </c:spPr>
          </c:marker>
          <c:errBars>
            <c:errDir val="y"/>
            <c:errBarType val="both"/>
            <c:errValType val="cust"/>
            <c:noEndCap val="0"/>
            <c:plus>
              <c:numRef>
                <c:f>Tabelle1!$K$14:$K$18</c:f>
                <c:numCache>
                  <c:formatCode>General</c:formatCode>
                  <c:ptCount val="5"/>
                  <c:pt idx="0">
                    <c:v>0.0</c:v>
                  </c:pt>
                  <c:pt idx="1">
                    <c:v>28.49432189344749</c:v>
                  </c:pt>
                  <c:pt idx="2">
                    <c:v>23.8452077719019</c:v>
                  </c:pt>
                  <c:pt idx="3">
                    <c:v>10.63852303042362</c:v>
                  </c:pt>
                  <c:pt idx="4">
                    <c:v>0.0</c:v>
                  </c:pt>
                </c:numCache>
              </c:numRef>
            </c:plus>
            <c:minus>
              <c:numRef>
                <c:f>Tabelle1!$K$14:$K$18</c:f>
                <c:numCache>
                  <c:formatCode>General</c:formatCode>
                  <c:ptCount val="5"/>
                  <c:pt idx="0">
                    <c:v>0.0</c:v>
                  </c:pt>
                  <c:pt idx="1">
                    <c:v>28.49432189344749</c:v>
                  </c:pt>
                  <c:pt idx="2">
                    <c:v>23.8452077719019</c:v>
                  </c:pt>
                  <c:pt idx="3">
                    <c:v>10.63852303042362</c:v>
                  </c:pt>
                  <c:pt idx="4">
                    <c:v>0.0</c:v>
                  </c:pt>
                </c:numCache>
              </c:numRef>
            </c:minus>
            <c:spPr>
              <a:ln w="12700">
                <a:solidFill>
                  <a:srgbClr val="660066"/>
                </a:solidFill>
              </a:ln>
            </c:spPr>
          </c:errBars>
          <c:xVal>
            <c:numRef>
              <c:f>Tabelle1!$I$14:$I$18</c:f>
              <c:numCache>
                <c:formatCode>General</c:formatCode>
                <c:ptCount val="5"/>
                <c:pt idx="0">
                  <c:v>0.0</c:v>
                </c:pt>
                <c:pt idx="1">
                  <c:v>0.5</c:v>
                </c:pt>
                <c:pt idx="2">
                  <c:v>1.0</c:v>
                </c:pt>
                <c:pt idx="3">
                  <c:v>2.0</c:v>
                </c:pt>
                <c:pt idx="4">
                  <c:v>4.0</c:v>
                </c:pt>
              </c:numCache>
            </c:numRef>
          </c:xVal>
          <c:yVal>
            <c:numRef>
              <c:f>Tabelle1!$J$14:$J$18</c:f>
              <c:numCache>
                <c:formatCode>0</c:formatCode>
                <c:ptCount val="5"/>
                <c:pt idx="0">
                  <c:v>0.0</c:v>
                </c:pt>
                <c:pt idx="1">
                  <c:v>234.2434164831022</c:v>
                </c:pt>
                <c:pt idx="2">
                  <c:v>129.6212792433756</c:v>
                </c:pt>
                <c:pt idx="3">
                  <c:v>99.35821872953504</c:v>
                </c:pt>
                <c:pt idx="4">
                  <c:v>0.0</c:v>
                </c:pt>
              </c:numCache>
            </c:numRef>
          </c:yVal>
          <c:smooth val="0"/>
        </c:ser>
        <c:dLbls>
          <c:showLegendKey val="0"/>
          <c:showVal val="0"/>
          <c:showCatName val="0"/>
          <c:showSerName val="0"/>
          <c:showPercent val="0"/>
          <c:showBubbleSize val="0"/>
        </c:dLbls>
        <c:axId val="2107330776"/>
        <c:axId val="2107336504"/>
      </c:scatterChart>
      <c:valAx>
        <c:axId val="2107330776"/>
        <c:scaling>
          <c:orientation val="minMax"/>
        </c:scaling>
        <c:delete val="0"/>
        <c:axPos val="b"/>
        <c:title>
          <c:tx>
            <c:rich>
              <a:bodyPr/>
              <a:lstStyle/>
              <a:p>
                <a:pPr>
                  <a:defRPr sz="1100"/>
                </a:pPr>
                <a:r>
                  <a:rPr lang="de-DE" sz="1100"/>
                  <a:t>Zeit</a:t>
                </a:r>
                <a:r>
                  <a:rPr lang="de-DE" sz="1100" baseline="0"/>
                  <a:t> nach Gabe [h]</a:t>
                </a:r>
                <a:endParaRPr lang="de-DE" sz="1100"/>
              </a:p>
            </c:rich>
          </c:tx>
          <c:overlay val="0"/>
        </c:title>
        <c:numFmt formatCode="General" sourceLinked="1"/>
        <c:majorTickMark val="out"/>
        <c:minorTickMark val="none"/>
        <c:tickLblPos val="nextTo"/>
        <c:txPr>
          <a:bodyPr/>
          <a:lstStyle/>
          <a:p>
            <a:pPr>
              <a:defRPr sz="1100"/>
            </a:pPr>
            <a:endParaRPr lang="de-DE"/>
          </a:p>
        </c:txPr>
        <c:crossAx val="2107336504"/>
        <c:crosses val="autoZero"/>
        <c:crossBetween val="midCat"/>
      </c:valAx>
      <c:valAx>
        <c:axId val="2107336504"/>
        <c:scaling>
          <c:orientation val="minMax"/>
          <c:min val="0.0"/>
        </c:scaling>
        <c:delete val="0"/>
        <c:axPos val="l"/>
        <c:majorGridlines/>
        <c:title>
          <c:tx>
            <c:rich>
              <a:bodyPr rot="-5400000" vert="horz"/>
              <a:lstStyle/>
              <a:p>
                <a:pPr>
                  <a:defRPr sz="1100"/>
                </a:pPr>
                <a:r>
                  <a:rPr lang="de-DE" sz="1100"/>
                  <a:t>Plasmakonzentration</a:t>
                </a:r>
                <a:r>
                  <a:rPr lang="de-DE" sz="1100" baseline="0"/>
                  <a:t> [ng/ml]</a:t>
                </a:r>
                <a:endParaRPr lang="de-DE" sz="1100"/>
              </a:p>
            </c:rich>
          </c:tx>
          <c:layout>
            <c:manualLayout>
              <c:xMode val="edge"/>
              <c:yMode val="edge"/>
              <c:x val="0.0"/>
              <c:y val="0.191715235963152"/>
            </c:manualLayout>
          </c:layout>
          <c:overlay val="0"/>
        </c:title>
        <c:numFmt formatCode="0" sourceLinked="1"/>
        <c:majorTickMark val="out"/>
        <c:minorTickMark val="none"/>
        <c:tickLblPos val="nextTo"/>
        <c:txPr>
          <a:bodyPr/>
          <a:lstStyle/>
          <a:p>
            <a:pPr>
              <a:defRPr sz="1100"/>
            </a:pPr>
            <a:endParaRPr lang="de-DE"/>
          </a:p>
        </c:txPr>
        <c:crossAx val="2107330776"/>
        <c:crosses val="autoZero"/>
        <c:crossBetween val="midCat"/>
        <c:majorUnit val="100.0"/>
      </c:valAx>
    </c:plotArea>
    <c:legend>
      <c:legendPos val="t"/>
      <c:overlay val="0"/>
    </c:legend>
    <c:plotVisOnly val="1"/>
    <c:dispBlanksAs val="gap"/>
    <c:showDLblsOverMax val="0"/>
  </c:chart>
  <c:spPr>
    <a:ln>
      <a:no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scatterChart>
        <c:scatterStyle val="lineMarker"/>
        <c:varyColors val="0"/>
        <c:ser>
          <c:idx val="0"/>
          <c:order val="0"/>
          <c:tx>
            <c:strRef>
              <c:f>Tabelle1!$B$157</c:f>
              <c:strCache>
                <c:ptCount val="1"/>
                <c:pt idx="0">
                  <c:v>PEA Cystein</c:v>
                </c:pt>
              </c:strCache>
            </c:strRef>
          </c:tx>
          <c:spPr>
            <a:ln w="19050"/>
          </c:spPr>
          <c:marker>
            <c:symbol val="diamond"/>
            <c:size val="5"/>
          </c:marker>
          <c:errBars>
            <c:errDir val="y"/>
            <c:errBarType val="both"/>
            <c:errValType val="cust"/>
            <c:noEndCap val="0"/>
            <c:plus>
              <c:numRef>
                <c:f>Tabelle1!$K$157:$K$160</c:f>
                <c:numCache>
                  <c:formatCode>General</c:formatCode>
                  <c:ptCount val="4"/>
                  <c:pt idx="0">
                    <c:v>12.69045648282554</c:v>
                  </c:pt>
                  <c:pt idx="1">
                    <c:v>34.85154993169246</c:v>
                  </c:pt>
                  <c:pt idx="2">
                    <c:v>47.9394689857796</c:v>
                  </c:pt>
                  <c:pt idx="3">
                    <c:v>197.8051164586491</c:v>
                  </c:pt>
                </c:numCache>
              </c:numRef>
            </c:plus>
            <c:minus>
              <c:numRef>
                <c:f>Tabelle1!$K$157:$K$160</c:f>
                <c:numCache>
                  <c:formatCode>General</c:formatCode>
                  <c:ptCount val="4"/>
                  <c:pt idx="0">
                    <c:v>12.69045648282554</c:v>
                  </c:pt>
                  <c:pt idx="1">
                    <c:v>34.85154993169246</c:v>
                  </c:pt>
                  <c:pt idx="2">
                    <c:v>47.9394689857796</c:v>
                  </c:pt>
                  <c:pt idx="3">
                    <c:v>197.8051164586491</c:v>
                  </c:pt>
                </c:numCache>
              </c:numRef>
            </c:minus>
            <c:spPr>
              <a:ln>
                <a:solidFill>
                  <a:srgbClr val="3366FF"/>
                </a:solidFill>
              </a:ln>
            </c:spPr>
          </c:errBars>
          <c:xVal>
            <c:numRef>
              <c:f>Tabelle1!$I$157:$I$160</c:f>
              <c:numCache>
                <c:formatCode>General</c:formatCode>
                <c:ptCount val="4"/>
                <c:pt idx="0">
                  <c:v>0.5</c:v>
                </c:pt>
                <c:pt idx="1">
                  <c:v>1.0</c:v>
                </c:pt>
                <c:pt idx="2">
                  <c:v>2.0</c:v>
                </c:pt>
                <c:pt idx="3">
                  <c:v>4.0</c:v>
                </c:pt>
              </c:numCache>
            </c:numRef>
          </c:xVal>
          <c:yVal>
            <c:numRef>
              <c:f>Tabelle1!$J$157:$J$160</c:f>
              <c:numCache>
                <c:formatCode>0</c:formatCode>
                <c:ptCount val="4"/>
                <c:pt idx="0">
                  <c:v>89.73348415391638</c:v>
                </c:pt>
                <c:pt idx="1">
                  <c:v>43.31805282689371</c:v>
                </c:pt>
                <c:pt idx="2">
                  <c:v>30.69119485622432</c:v>
                </c:pt>
                <c:pt idx="3">
                  <c:v>126.9655295588498</c:v>
                </c:pt>
              </c:numCache>
            </c:numRef>
          </c:yVal>
          <c:smooth val="0"/>
        </c:ser>
        <c:ser>
          <c:idx val="1"/>
          <c:order val="1"/>
          <c:tx>
            <c:strRef>
              <c:f>Tabelle1!$B$170</c:f>
              <c:strCache>
                <c:ptCount val="1"/>
                <c:pt idx="0">
                  <c:v>PLGA 50:50 + hlF</c:v>
                </c:pt>
              </c:strCache>
            </c:strRef>
          </c:tx>
          <c:spPr>
            <a:ln w="19050"/>
          </c:spPr>
          <c:errBars>
            <c:errDir val="y"/>
            <c:errBarType val="both"/>
            <c:errValType val="cust"/>
            <c:noEndCap val="0"/>
            <c:plus>
              <c:numRef>
                <c:f>Tabelle1!$K$170:$K$173</c:f>
                <c:numCache>
                  <c:formatCode>General</c:formatCode>
                  <c:ptCount val="4"/>
                  <c:pt idx="0">
                    <c:v>94.00391876209085</c:v>
                  </c:pt>
                  <c:pt idx="1">
                    <c:v>29.95138994721265</c:v>
                  </c:pt>
                  <c:pt idx="2">
                    <c:v>38.26307109785842</c:v>
                  </c:pt>
                  <c:pt idx="3">
                    <c:v>34.35622571562875</c:v>
                  </c:pt>
                </c:numCache>
              </c:numRef>
            </c:plus>
            <c:minus>
              <c:numRef>
                <c:f>Tabelle1!$K$170:$K$173</c:f>
                <c:numCache>
                  <c:formatCode>General</c:formatCode>
                  <c:ptCount val="4"/>
                  <c:pt idx="0">
                    <c:v>94.00391876209085</c:v>
                  </c:pt>
                  <c:pt idx="1">
                    <c:v>29.95138994721265</c:v>
                  </c:pt>
                  <c:pt idx="2">
                    <c:v>38.26307109785842</c:v>
                  </c:pt>
                  <c:pt idx="3">
                    <c:v>34.35622571562875</c:v>
                  </c:pt>
                </c:numCache>
              </c:numRef>
            </c:minus>
            <c:spPr>
              <a:ln w="15875">
                <a:solidFill>
                  <a:schemeClr val="accent2"/>
                </a:solidFill>
              </a:ln>
            </c:spPr>
          </c:errBars>
          <c:xVal>
            <c:numRef>
              <c:f>Tabelle1!$I$170:$I$173</c:f>
              <c:numCache>
                <c:formatCode>General</c:formatCode>
                <c:ptCount val="4"/>
                <c:pt idx="0">
                  <c:v>0.5</c:v>
                </c:pt>
                <c:pt idx="1">
                  <c:v>1.0</c:v>
                </c:pt>
                <c:pt idx="2">
                  <c:v>2.0</c:v>
                </c:pt>
                <c:pt idx="3">
                  <c:v>4.0</c:v>
                </c:pt>
              </c:numCache>
            </c:numRef>
          </c:xVal>
          <c:yVal>
            <c:numRef>
              <c:f>Tabelle1!$J$170:$J$173</c:f>
              <c:numCache>
                <c:formatCode>0</c:formatCode>
                <c:ptCount val="4"/>
                <c:pt idx="0">
                  <c:v>242.7825074583425</c:v>
                </c:pt>
                <c:pt idx="1">
                  <c:v>151.7088368954778</c:v>
                </c:pt>
                <c:pt idx="2">
                  <c:v>110.0347284237264</c:v>
                </c:pt>
                <c:pt idx="3">
                  <c:v>30.99521739993249</c:v>
                </c:pt>
              </c:numCache>
            </c:numRef>
          </c:yVal>
          <c:smooth val="0"/>
        </c:ser>
        <c:ser>
          <c:idx val="2"/>
          <c:order val="2"/>
          <c:tx>
            <c:strRef>
              <c:f>Tabelle1!$B$183</c:f>
              <c:strCache>
                <c:ptCount val="1"/>
                <c:pt idx="0">
                  <c:v>PLGA 50:50</c:v>
                </c:pt>
              </c:strCache>
            </c:strRef>
          </c:tx>
          <c:spPr>
            <a:ln w="19050"/>
          </c:spPr>
          <c:marker>
            <c:symbol val="triangle"/>
            <c:size val="6"/>
          </c:marker>
          <c:errBars>
            <c:errDir val="y"/>
            <c:errBarType val="both"/>
            <c:errValType val="cust"/>
            <c:noEndCap val="0"/>
            <c:plus>
              <c:numRef>
                <c:f>Tabelle1!$K$183:$K$186</c:f>
                <c:numCache>
                  <c:formatCode>General</c:formatCode>
                  <c:ptCount val="4"/>
                  <c:pt idx="0">
                    <c:v>43.41353224782861</c:v>
                  </c:pt>
                  <c:pt idx="1">
                    <c:v>160.6089239329764</c:v>
                  </c:pt>
                  <c:pt idx="2">
                    <c:v>132.080110857154</c:v>
                  </c:pt>
                  <c:pt idx="3">
                    <c:v>137.1830215373024</c:v>
                  </c:pt>
                </c:numCache>
              </c:numRef>
            </c:plus>
            <c:minus>
              <c:numRef>
                <c:f>Tabelle1!$K$183:$K$186</c:f>
                <c:numCache>
                  <c:formatCode>General</c:formatCode>
                  <c:ptCount val="4"/>
                  <c:pt idx="0">
                    <c:v>43.41353224782861</c:v>
                  </c:pt>
                  <c:pt idx="1">
                    <c:v>160.6089239329764</c:v>
                  </c:pt>
                  <c:pt idx="2">
                    <c:v>132.080110857154</c:v>
                  </c:pt>
                  <c:pt idx="3">
                    <c:v>137.1830215373024</c:v>
                  </c:pt>
                </c:numCache>
              </c:numRef>
            </c:minus>
            <c:spPr>
              <a:ln>
                <a:solidFill>
                  <a:schemeClr val="accent3"/>
                </a:solidFill>
              </a:ln>
            </c:spPr>
          </c:errBars>
          <c:xVal>
            <c:numRef>
              <c:f>Tabelle1!$I$183:$I$186</c:f>
              <c:numCache>
                <c:formatCode>General</c:formatCode>
                <c:ptCount val="4"/>
                <c:pt idx="0">
                  <c:v>0.5</c:v>
                </c:pt>
                <c:pt idx="1">
                  <c:v>1.0</c:v>
                </c:pt>
                <c:pt idx="2">
                  <c:v>2.0</c:v>
                </c:pt>
                <c:pt idx="3">
                  <c:v>4.0</c:v>
                </c:pt>
              </c:numCache>
            </c:numRef>
          </c:xVal>
          <c:yVal>
            <c:numRef>
              <c:f>Tabelle1!$J$183:$J$186</c:f>
              <c:numCache>
                <c:formatCode>0</c:formatCode>
                <c:ptCount val="4"/>
                <c:pt idx="0">
                  <c:v>330.113181586659</c:v>
                </c:pt>
                <c:pt idx="1">
                  <c:v>183.7002639360202</c:v>
                </c:pt>
                <c:pt idx="2">
                  <c:v>168.8425843239203</c:v>
                </c:pt>
                <c:pt idx="3">
                  <c:v>88.50600072141736</c:v>
                </c:pt>
              </c:numCache>
            </c:numRef>
          </c:yVal>
          <c:smooth val="0"/>
        </c:ser>
        <c:dLbls>
          <c:showLegendKey val="0"/>
          <c:showVal val="0"/>
          <c:showCatName val="0"/>
          <c:showSerName val="0"/>
          <c:showPercent val="0"/>
          <c:showBubbleSize val="0"/>
        </c:dLbls>
        <c:axId val="2106096984"/>
        <c:axId val="2106102600"/>
      </c:scatterChart>
      <c:valAx>
        <c:axId val="2106096984"/>
        <c:scaling>
          <c:orientation val="minMax"/>
        </c:scaling>
        <c:delete val="0"/>
        <c:axPos val="b"/>
        <c:title>
          <c:tx>
            <c:rich>
              <a:bodyPr/>
              <a:lstStyle/>
              <a:p>
                <a:pPr>
                  <a:defRPr sz="1100"/>
                </a:pPr>
                <a:r>
                  <a:rPr lang="de-DE" sz="1100"/>
                  <a:t>Zeit</a:t>
                </a:r>
                <a:r>
                  <a:rPr lang="de-DE" sz="1100" baseline="0"/>
                  <a:t> nach Gabe [h]</a:t>
                </a:r>
                <a:endParaRPr lang="de-DE" sz="1100"/>
              </a:p>
            </c:rich>
          </c:tx>
          <c:overlay val="0"/>
        </c:title>
        <c:numFmt formatCode="General" sourceLinked="1"/>
        <c:majorTickMark val="out"/>
        <c:minorTickMark val="none"/>
        <c:tickLblPos val="nextTo"/>
        <c:txPr>
          <a:bodyPr/>
          <a:lstStyle/>
          <a:p>
            <a:pPr>
              <a:defRPr sz="1100"/>
            </a:pPr>
            <a:endParaRPr lang="de-DE"/>
          </a:p>
        </c:txPr>
        <c:crossAx val="2106102600"/>
        <c:crosses val="autoZero"/>
        <c:crossBetween val="midCat"/>
      </c:valAx>
      <c:valAx>
        <c:axId val="2106102600"/>
        <c:scaling>
          <c:orientation val="minMax"/>
          <c:min val="0.0"/>
        </c:scaling>
        <c:delete val="0"/>
        <c:axPos val="l"/>
        <c:majorGridlines/>
        <c:title>
          <c:tx>
            <c:rich>
              <a:bodyPr rot="-5400000" vert="horz"/>
              <a:lstStyle/>
              <a:p>
                <a:pPr>
                  <a:defRPr sz="1100"/>
                </a:pPr>
                <a:r>
                  <a:rPr lang="de-DE" sz="1100"/>
                  <a:t>Plasmakonzentration</a:t>
                </a:r>
                <a:r>
                  <a:rPr lang="de-DE" sz="1100" baseline="0"/>
                  <a:t> [ng/ml]</a:t>
                </a:r>
                <a:endParaRPr lang="de-DE" sz="1100"/>
              </a:p>
            </c:rich>
          </c:tx>
          <c:layout>
            <c:manualLayout>
              <c:xMode val="edge"/>
              <c:yMode val="edge"/>
              <c:x val="0.0164368342846033"/>
              <c:y val="0.240296706526615"/>
            </c:manualLayout>
          </c:layout>
          <c:overlay val="0"/>
        </c:title>
        <c:numFmt formatCode="0" sourceLinked="1"/>
        <c:majorTickMark val="out"/>
        <c:minorTickMark val="none"/>
        <c:tickLblPos val="nextTo"/>
        <c:txPr>
          <a:bodyPr/>
          <a:lstStyle/>
          <a:p>
            <a:pPr>
              <a:defRPr sz="1100"/>
            </a:pPr>
            <a:endParaRPr lang="de-DE"/>
          </a:p>
        </c:txPr>
        <c:crossAx val="2106096984"/>
        <c:crosses val="autoZero"/>
        <c:crossBetween val="midCat"/>
      </c:valAx>
    </c:plotArea>
    <c:legend>
      <c:legendPos val="t"/>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4265825957322"/>
          <c:y val="0.0855716168295255"/>
          <c:w val="0.811189365158821"/>
          <c:h val="0.713178520121477"/>
        </c:manualLayout>
      </c:layout>
      <c:scatterChart>
        <c:scatterStyle val="smoothMarker"/>
        <c:varyColors val="0"/>
        <c:ser>
          <c:idx val="0"/>
          <c:order val="0"/>
          <c:spPr>
            <a:ln w="15875">
              <a:noFill/>
              <a:prstDash val="solid"/>
            </a:ln>
          </c:spPr>
          <c:marker>
            <c:symbol val="diamond"/>
            <c:size val="5"/>
            <c:spPr>
              <a:solidFill>
                <a:schemeClr val="tx1"/>
              </a:solidFill>
              <a:ln>
                <a:solidFill>
                  <a:schemeClr val="tx1"/>
                </a:solidFill>
                <a:prstDash val="solid"/>
              </a:ln>
            </c:spPr>
          </c:marker>
          <c:trendline>
            <c:spPr>
              <a:ln>
                <a:prstDash val="lgDash"/>
              </a:ln>
            </c:spPr>
            <c:trendlineType val="linear"/>
            <c:dispRSqr val="1"/>
            <c:dispEq val="1"/>
            <c:trendlineLbl>
              <c:layout>
                <c:manualLayout>
                  <c:x val="0.0925101891207157"/>
                  <c:y val="-0.39486579889159"/>
                </c:manualLayout>
              </c:layout>
              <c:numFmt formatCode="General" sourceLinked="0"/>
            </c:trendlineLbl>
          </c:trendline>
          <c:errBars>
            <c:errDir val="x"/>
            <c:errBarType val="both"/>
            <c:errValType val="fixedVal"/>
            <c:noEndCap val="0"/>
            <c:val val="1.0"/>
            <c:spPr>
              <a:ln w="3175">
                <a:solidFill>
                  <a:srgbClr val="000000"/>
                </a:solidFill>
                <a:prstDash val="solid"/>
              </a:ln>
            </c:spPr>
          </c:errBars>
          <c:errBars>
            <c:errDir val="y"/>
            <c:errBarType val="both"/>
            <c:errValType val="cust"/>
            <c:noEndCap val="0"/>
            <c:plus>
              <c:numRef>
                <c:f>Tabelle1!$C$1:$C$6</c:f>
                <c:numCache>
                  <c:formatCode>General</c:formatCode>
                  <c:ptCount val="6"/>
                  <c:pt idx="0">
                    <c:v>8.4</c:v>
                  </c:pt>
                  <c:pt idx="1">
                    <c:v>10.6</c:v>
                  </c:pt>
                  <c:pt idx="2">
                    <c:v>11.3</c:v>
                  </c:pt>
                  <c:pt idx="3">
                    <c:v>10.8</c:v>
                  </c:pt>
                  <c:pt idx="4">
                    <c:v>12.8</c:v>
                  </c:pt>
                  <c:pt idx="5">
                    <c:v>16.8</c:v>
                  </c:pt>
                </c:numCache>
              </c:numRef>
            </c:plus>
            <c:minus>
              <c:numRef>
                <c:f>Tabelle1!$C$1:$C$6</c:f>
                <c:numCache>
                  <c:formatCode>General</c:formatCode>
                  <c:ptCount val="6"/>
                  <c:pt idx="0">
                    <c:v>8.4</c:v>
                  </c:pt>
                  <c:pt idx="1">
                    <c:v>10.6</c:v>
                  </c:pt>
                  <c:pt idx="2">
                    <c:v>11.3</c:v>
                  </c:pt>
                  <c:pt idx="3">
                    <c:v>10.8</c:v>
                  </c:pt>
                  <c:pt idx="4">
                    <c:v>12.8</c:v>
                  </c:pt>
                  <c:pt idx="5">
                    <c:v>16.8</c:v>
                  </c:pt>
                </c:numCache>
              </c:numRef>
            </c:minus>
            <c:spPr>
              <a:ln w="3175">
                <a:solidFill>
                  <a:srgbClr val="000000"/>
                </a:solidFill>
                <a:prstDash val="solid"/>
              </a:ln>
            </c:spPr>
          </c:errBars>
          <c:xVal>
            <c:numRef>
              <c:f>Tabelle1!$A$1:$A$7</c:f>
              <c:numCache>
                <c:formatCode>General</c:formatCode>
                <c:ptCount val="7"/>
                <c:pt idx="0">
                  <c:v>1500.0</c:v>
                </c:pt>
                <c:pt idx="1">
                  <c:v>1250.0</c:v>
                </c:pt>
                <c:pt idx="2">
                  <c:v>1000.0</c:v>
                </c:pt>
                <c:pt idx="3">
                  <c:v>750.0</c:v>
                </c:pt>
                <c:pt idx="4">
                  <c:v>500.0</c:v>
                </c:pt>
                <c:pt idx="5">
                  <c:v>250.0</c:v>
                </c:pt>
              </c:numCache>
            </c:numRef>
          </c:xVal>
          <c:yVal>
            <c:numRef>
              <c:f>Tabelle1!$B$1:$B$7</c:f>
              <c:numCache>
                <c:formatCode>General</c:formatCode>
                <c:ptCount val="7"/>
                <c:pt idx="0">
                  <c:v>105.0</c:v>
                </c:pt>
                <c:pt idx="1">
                  <c:v>111.0</c:v>
                </c:pt>
                <c:pt idx="2">
                  <c:v>126.0</c:v>
                </c:pt>
                <c:pt idx="3">
                  <c:v>135.0</c:v>
                </c:pt>
                <c:pt idx="4">
                  <c:v>148.0</c:v>
                </c:pt>
                <c:pt idx="5">
                  <c:v>171.0</c:v>
                </c:pt>
              </c:numCache>
            </c:numRef>
          </c:yVal>
          <c:smooth val="1"/>
        </c:ser>
        <c:dLbls>
          <c:showLegendKey val="0"/>
          <c:showVal val="0"/>
          <c:showCatName val="0"/>
          <c:showSerName val="0"/>
          <c:showPercent val="0"/>
          <c:showBubbleSize val="0"/>
        </c:dLbls>
        <c:axId val="2080032392"/>
        <c:axId val="2080038488"/>
      </c:scatterChart>
      <c:valAx>
        <c:axId val="2080032392"/>
        <c:scaling>
          <c:orientation val="minMax"/>
        </c:scaling>
        <c:delete val="0"/>
        <c:axPos val="b"/>
        <c:title>
          <c:tx>
            <c:rich>
              <a:bodyPr/>
              <a:lstStyle/>
              <a:p>
                <a:pPr>
                  <a:defRPr sz="1200" b="1" i="0" u="none" strike="noStrike" baseline="0">
                    <a:solidFill>
                      <a:srgbClr val="000000"/>
                    </a:solidFill>
                    <a:latin typeface="Arial"/>
                    <a:ea typeface="Arial"/>
                    <a:cs typeface="Arial"/>
                  </a:defRPr>
                </a:pPr>
                <a:r>
                  <a:rPr lang="de-DE" sz="1000" b="0"/>
                  <a:t>Arbeitsdruck [bar]</a:t>
                </a:r>
              </a:p>
            </c:rich>
          </c:tx>
          <c:layout>
            <c:manualLayout>
              <c:xMode val="edge"/>
              <c:yMode val="edge"/>
              <c:x val="0.436939313483065"/>
              <c:y val="0.900646060647225"/>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de-DE"/>
          </a:p>
        </c:txPr>
        <c:crossAx val="2080038488"/>
        <c:crosses val="autoZero"/>
        <c:crossBetween val="midCat"/>
        <c:majorUnit val="250.0"/>
      </c:valAx>
      <c:valAx>
        <c:axId val="2080038488"/>
        <c:scaling>
          <c:orientation val="minMax"/>
          <c:min val="50.0"/>
        </c:scaling>
        <c:delete val="0"/>
        <c:axPos val="l"/>
        <c:title>
          <c:tx>
            <c:rich>
              <a:bodyPr/>
              <a:lstStyle/>
              <a:p>
                <a:pPr>
                  <a:defRPr sz="1200" b="1" i="0" u="none" strike="noStrike" baseline="0">
                    <a:solidFill>
                      <a:srgbClr val="000000"/>
                    </a:solidFill>
                    <a:latin typeface="Arial"/>
                    <a:ea typeface="Arial"/>
                    <a:cs typeface="Arial"/>
                  </a:defRPr>
                </a:pPr>
                <a:r>
                  <a:rPr lang="de-DE" sz="1000" b="0"/>
                  <a:t>mittlerer</a:t>
                </a:r>
                <a:r>
                  <a:rPr lang="de-DE" sz="1000" b="0" baseline="0"/>
                  <a:t> Partikeldurchmesser</a:t>
                </a:r>
                <a:r>
                  <a:rPr lang="de-DE" sz="1000" b="0"/>
                  <a:t> [nm]</a:t>
                </a:r>
              </a:p>
            </c:rich>
          </c:tx>
          <c:layout>
            <c:manualLayout>
              <c:xMode val="edge"/>
              <c:yMode val="edge"/>
              <c:x val="0.000788731003414734"/>
              <c:y val="0.124811478047684"/>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de-DE"/>
          </a:p>
        </c:txPr>
        <c:crossAx val="2080032392"/>
        <c:crosses val="autoZero"/>
        <c:crossBetween val="midCat"/>
      </c:valAx>
      <c:spPr>
        <a:gradFill rotWithShape="0">
          <a:gsLst>
            <a:gs pos="0">
              <a:srgbClr val="C0C0C0"/>
            </a:gs>
            <a:gs pos="100000">
              <a:srgbClr val="FFFFFF">
                <a:gamma/>
                <a:tint val="36471"/>
                <a:invGamma/>
              </a:srgbClr>
            </a:gs>
          </a:gsLst>
          <a:lin ang="5400000" scaled="1"/>
        </a:gradFill>
        <a:ln w="12700">
          <a:solidFill>
            <a:srgbClr val="808080"/>
          </a:solidFill>
          <a:prstDash val="solid"/>
        </a:ln>
      </c:spPr>
    </c:plotArea>
    <c:plotVisOnly val="1"/>
    <c:dispBlanksAs val="gap"/>
    <c:showDLblsOverMax val="0"/>
  </c:chart>
  <c:spPr>
    <a:solidFill>
      <a:srgbClr val="FFFFFF"/>
    </a:solidFill>
    <a:ln w="9525">
      <a:noFill/>
    </a:ln>
  </c:spPr>
  <c:txPr>
    <a:bodyPr/>
    <a:lstStyle/>
    <a:p>
      <a:pPr>
        <a:defRPr sz="1000" b="0" i="0" u="none" strike="noStrike" baseline="0">
          <a:solidFill>
            <a:srgbClr val="000000"/>
          </a:solidFill>
          <a:latin typeface="Arial"/>
          <a:ea typeface="Arial"/>
          <a:cs typeface="Arial"/>
        </a:defRPr>
      </a:pPr>
      <a:endParaRPr lang="de-DE"/>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'PEA-Cys-opt'!$E$3</c:f>
              <c:strCache>
                <c:ptCount val="1"/>
                <c:pt idx="0">
                  <c:v>Num. Wt.</c:v>
                </c:pt>
              </c:strCache>
            </c:strRef>
          </c:tx>
          <c:spPr>
            <a:ln w="19050">
              <a:solidFill>
                <a:sysClr val="windowText" lastClr="000000"/>
              </a:solidFill>
            </a:ln>
          </c:spPr>
          <c:marker>
            <c:symbol val="none"/>
          </c:marker>
          <c:xVal>
            <c:numRef>
              <c:f>'PEA-Cys-opt'!$B$31:$B$60</c:f>
              <c:numCache>
                <c:formatCode>General</c:formatCode>
                <c:ptCount val="30"/>
                <c:pt idx="0">
                  <c:v>47.2</c:v>
                </c:pt>
                <c:pt idx="1">
                  <c:v>53.06</c:v>
                </c:pt>
                <c:pt idx="2">
                  <c:v>59.65</c:v>
                </c:pt>
                <c:pt idx="3">
                  <c:v>67.06</c:v>
                </c:pt>
                <c:pt idx="4">
                  <c:v>75.39</c:v>
                </c:pt>
                <c:pt idx="5">
                  <c:v>84.75</c:v>
                </c:pt>
                <c:pt idx="6">
                  <c:v>95.28</c:v>
                </c:pt>
                <c:pt idx="7">
                  <c:v>107.11</c:v>
                </c:pt>
                <c:pt idx="8">
                  <c:v>120.42</c:v>
                </c:pt>
                <c:pt idx="9">
                  <c:v>135.3800000000008</c:v>
                </c:pt>
                <c:pt idx="10">
                  <c:v>152.19</c:v>
                </c:pt>
                <c:pt idx="11">
                  <c:v>171.09</c:v>
                </c:pt>
                <c:pt idx="12">
                  <c:v>192.3500000000008</c:v>
                </c:pt>
                <c:pt idx="13">
                  <c:v>216.24</c:v>
                </c:pt>
                <c:pt idx="14">
                  <c:v>243.1</c:v>
                </c:pt>
                <c:pt idx="15">
                  <c:v>273.2899999999987</c:v>
                </c:pt>
                <c:pt idx="16">
                  <c:v>307.2299999999987</c:v>
                </c:pt>
                <c:pt idx="17">
                  <c:v>345.4</c:v>
                </c:pt>
                <c:pt idx="18">
                  <c:v>388.3</c:v>
                </c:pt>
                <c:pt idx="19">
                  <c:v>436.53</c:v>
                </c:pt>
                <c:pt idx="20">
                  <c:v>490.75</c:v>
                </c:pt>
                <c:pt idx="21">
                  <c:v>551.71</c:v>
                </c:pt>
                <c:pt idx="22">
                  <c:v>620.23</c:v>
                </c:pt>
                <c:pt idx="23">
                  <c:v>697.2700000000005</c:v>
                </c:pt>
                <c:pt idx="24">
                  <c:v>783.88</c:v>
                </c:pt>
                <c:pt idx="25">
                  <c:v>881.25</c:v>
                </c:pt>
                <c:pt idx="26">
                  <c:v>990.71</c:v>
                </c:pt>
                <c:pt idx="27">
                  <c:v>1113.76</c:v>
                </c:pt>
                <c:pt idx="28">
                  <c:v>1252.1</c:v>
                </c:pt>
                <c:pt idx="29">
                  <c:v>2100.0</c:v>
                </c:pt>
              </c:numCache>
            </c:numRef>
          </c:xVal>
          <c:yVal>
            <c:numRef>
              <c:f>'PEA-Cys-opt'!$E$31:$E$60</c:f>
              <c:numCache>
                <c:formatCode>General</c:formatCode>
                <c:ptCount val="30"/>
                <c:pt idx="0">
                  <c:v>0.0</c:v>
                </c:pt>
                <c:pt idx="1">
                  <c:v>0.0</c:v>
                </c:pt>
                <c:pt idx="2">
                  <c:v>0.0</c:v>
                </c:pt>
                <c:pt idx="3">
                  <c:v>0.0</c:v>
                </c:pt>
                <c:pt idx="4">
                  <c:v>0.0</c:v>
                </c:pt>
                <c:pt idx="5">
                  <c:v>0.0</c:v>
                </c:pt>
                <c:pt idx="6">
                  <c:v>0.0</c:v>
                </c:pt>
                <c:pt idx="7">
                  <c:v>0.0</c:v>
                </c:pt>
                <c:pt idx="8">
                  <c:v>0.0</c:v>
                </c:pt>
                <c:pt idx="9">
                  <c:v>0.0</c:v>
                </c:pt>
                <c:pt idx="10">
                  <c:v>0.0</c:v>
                </c:pt>
                <c:pt idx="11">
                  <c:v>0.16</c:v>
                </c:pt>
                <c:pt idx="12">
                  <c:v>0.630000000000002</c:v>
                </c:pt>
                <c:pt idx="13">
                  <c:v>0.940000000000002</c:v>
                </c:pt>
                <c:pt idx="14">
                  <c:v>1.0</c:v>
                </c:pt>
                <c:pt idx="15">
                  <c:v>0.640000000000002</c:v>
                </c:pt>
                <c:pt idx="16">
                  <c:v>0.29</c:v>
                </c:pt>
                <c:pt idx="17">
                  <c:v>0.23</c:v>
                </c:pt>
                <c:pt idx="18">
                  <c:v>0.17</c:v>
                </c:pt>
                <c:pt idx="19">
                  <c:v>0.11</c:v>
                </c:pt>
                <c:pt idx="20">
                  <c:v>0.27</c:v>
                </c:pt>
                <c:pt idx="21">
                  <c:v>0.26</c:v>
                </c:pt>
                <c:pt idx="22">
                  <c:v>0.18</c:v>
                </c:pt>
                <c:pt idx="23">
                  <c:v>0.07</c:v>
                </c:pt>
                <c:pt idx="24">
                  <c:v>0.02</c:v>
                </c:pt>
                <c:pt idx="25">
                  <c:v>0.0</c:v>
                </c:pt>
                <c:pt idx="26">
                  <c:v>0.0</c:v>
                </c:pt>
                <c:pt idx="27">
                  <c:v>0.0</c:v>
                </c:pt>
                <c:pt idx="28">
                  <c:v>0.0</c:v>
                </c:pt>
                <c:pt idx="29">
                  <c:v>0.0</c:v>
                </c:pt>
              </c:numCache>
            </c:numRef>
          </c:yVal>
          <c:smooth val="1"/>
        </c:ser>
        <c:dLbls>
          <c:showLegendKey val="0"/>
          <c:showVal val="0"/>
          <c:showCatName val="0"/>
          <c:showSerName val="0"/>
          <c:showPercent val="0"/>
          <c:showBubbleSize val="0"/>
        </c:dLbls>
        <c:axId val="2080145928"/>
        <c:axId val="2080151496"/>
      </c:scatterChart>
      <c:valAx>
        <c:axId val="2080145928"/>
        <c:scaling>
          <c:orientation val="minMax"/>
          <c:max val="2200.0"/>
          <c:min val="0.0"/>
        </c:scaling>
        <c:delete val="0"/>
        <c:axPos val="b"/>
        <c:title>
          <c:tx>
            <c:rich>
              <a:bodyPr/>
              <a:lstStyle/>
              <a:p>
                <a:pPr>
                  <a:defRPr sz="1100" baseline="0"/>
                </a:pPr>
                <a:r>
                  <a:rPr lang="de-DE" sz="1050" baseline="0"/>
                  <a:t>Mittlerer Partikeldurchmesser [nm]</a:t>
                </a:r>
              </a:p>
            </c:rich>
          </c:tx>
          <c:layout>
            <c:manualLayout>
              <c:xMode val="edge"/>
              <c:yMode val="edge"/>
              <c:x val="0.340577886852215"/>
              <c:y val="0.886396377855526"/>
            </c:manualLayout>
          </c:layout>
          <c:overlay val="0"/>
        </c:title>
        <c:numFmt formatCode="General" sourceLinked="1"/>
        <c:majorTickMark val="out"/>
        <c:minorTickMark val="none"/>
        <c:tickLblPos val="nextTo"/>
        <c:txPr>
          <a:bodyPr/>
          <a:lstStyle/>
          <a:p>
            <a:pPr algn="ctr">
              <a:defRPr sz="900" baseline="0"/>
            </a:pPr>
            <a:endParaRPr lang="de-DE"/>
          </a:p>
        </c:txPr>
        <c:crossAx val="2080151496"/>
        <c:crosses val="autoZero"/>
        <c:crossBetween val="midCat"/>
        <c:majorUnit val="200.0"/>
      </c:valAx>
      <c:valAx>
        <c:axId val="2080151496"/>
        <c:scaling>
          <c:orientation val="minMax"/>
          <c:max val="1.1"/>
          <c:min val="0.0"/>
        </c:scaling>
        <c:delete val="0"/>
        <c:axPos val="l"/>
        <c:majorGridlines/>
        <c:title>
          <c:tx>
            <c:rich>
              <a:bodyPr rot="-5400000" vert="horz"/>
              <a:lstStyle/>
              <a:p>
                <a:pPr>
                  <a:defRPr sz="1100" baseline="0"/>
                </a:pPr>
                <a:r>
                  <a:rPr lang="de-DE" sz="1050" baseline="0"/>
                  <a:t>rel. Häufigkeit [%]</a:t>
                </a:r>
              </a:p>
            </c:rich>
          </c:tx>
          <c:layout>
            <c:manualLayout>
              <c:xMode val="edge"/>
              <c:yMode val="edge"/>
              <c:x val="0.0249843847595253"/>
              <c:y val="0.256637168141592"/>
            </c:manualLayout>
          </c:layout>
          <c:overlay val="0"/>
        </c:title>
        <c:numFmt formatCode="General" sourceLinked="1"/>
        <c:majorTickMark val="out"/>
        <c:minorTickMark val="none"/>
        <c:tickLblPos val="nextTo"/>
        <c:txPr>
          <a:bodyPr/>
          <a:lstStyle/>
          <a:p>
            <a:pPr>
              <a:defRPr sz="900" baseline="0"/>
            </a:pPr>
            <a:endParaRPr lang="de-DE"/>
          </a:p>
        </c:txPr>
        <c:crossAx val="2080145928"/>
        <c:crosses val="autoZero"/>
        <c:crossBetween val="midCat"/>
        <c:majorUnit val="0.3"/>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'PEA-Cys-opt'!$D$3</c:f>
              <c:strCache>
                <c:ptCount val="1"/>
                <c:pt idx="0">
                  <c:v>Vor dem Trocknen</c:v>
                </c:pt>
              </c:strCache>
            </c:strRef>
          </c:tx>
          <c:spPr>
            <a:ln w="19050">
              <a:solidFill>
                <a:srgbClr val="0000FF"/>
              </a:solidFill>
            </a:ln>
          </c:spPr>
          <c:marker>
            <c:symbol val="none"/>
          </c:marker>
          <c:xVal>
            <c:numRef>
              <c:f>'PEA-Cys-opt'!$G$4:$G$63</c:f>
              <c:numCache>
                <c:formatCode>General</c:formatCode>
                <c:ptCount val="60"/>
                <c:pt idx="0">
                  <c:v>2.0</c:v>
                </c:pt>
                <c:pt idx="1">
                  <c:v>2.25</c:v>
                </c:pt>
                <c:pt idx="2">
                  <c:v>2.53</c:v>
                </c:pt>
                <c:pt idx="3">
                  <c:v>2.84</c:v>
                </c:pt>
                <c:pt idx="4">
                  <c:v>3.19</c:v>
                </c:pt>
                <c:pt idx="5">
                  <c:v>3.59</c:v>
                </c:pt>
                <c:pt idx="6">
                  <c:v>4.04</c:v>
                </c:pt>
                <c:pt idx="7">
                  <c:v>4.54</c:v>
                </c:pt>
                <c:pt idx="8">
                  <c:v>5.1</c:v>
                </c:pt>
                <c:pt idx="9">
                  <c:v>5.74</c:v>
                </c:pt>
                <c:pt idx="10">
                  <c:v>6.45</c:v>
                </c:pt>
                <c:pt idx="11">
                  <c:v>7.25</c:v>
                </c:pt>
                <c:pt idx="12">
                  <c:v>8.15</c:v>
                </c:pt>
                <c:pt idx="13">
                  <c:v>9.16</c:v>
                </c:pt>
                <c:pt idx="14">
                  <c:v>10.3</c:v>
                </c:pt>
                <c:pt idx="15">
                  <c:v>11.58</c:v>
                </c:pt>
                <c:pt idx="16">
                  <c:v>13.02</c:v>
                </c:pt>
                <c:pt idx="17">
                  <c:v>14.64</c:v>
                </c:pt>
                <c:pt idx="18">
                  <c:v>16.45</c:v>
                </c:pt>
                <c:pt idx="19">
                  <c:v>18.5</c:v>
                </c:pt>
                <c:pt idx="20">
                  <c:v>20.8</c:v>
                </c:pt>
                <c:pt idx="21">
                  <c:v>23.38</c:v>
                </c:pt>
                <c:pt idx="22">
                  <c:v>26.27999999999999</c:v>
                </c:pt>
                <c:pt idx="23">
                  <c:v>29.55</c:v>
                </c:pt>
                <c:pt idx="24">
                  <c:v>33.22000000000001</c:v>
                </c:pt>
                <c:pt idx="25">
                  <c:v>37.34</c:v>
                </c:pt>
                <c:pt idx="26">
                  <c:v>41.98</c:v>
                </c:pt>
                <c:pt idx="27">
                  <c:v>47.2</c:v>
                </c:pt>
                <c:pt idx="28">
                  <c:v>53.06</c:v>
                </c:pt>
                <c:pt idx="29">
                  <c:v>59.65</c:v>
                </c:pt>
                <c:pt idx="30">
                  <c:v>67.06</c:v>
                </c:pt>
                <c:pt idx="31">
                  <c:v>75.39</c:v>
                </c:pt>
                <c:pt idx="32">
                  <c:v>84.75</c:v>
                </c:pt>
                <c:pt idx="33">
                  <c:v>95.28</c:v>
                </c:pt>
                <c:pt idx="34">
                  <c:v>107.11</c:v>
                </c:pt>
                <c:pt idx="35">
                  <c:v>120.42</c:v>
                </c:pt>
                <c:pt idx="36">
                  <c:v>135.3800000000006</c:v>
                </c:pt>
                <c:pt idx="37">
                  <c:v>152.19</c:v>
                </c:pt>
                <c:pt idx="38">
                  <c:v>171.09</c:v>
                </c:pt>
                <c:pt idx="39">
                  <c:v>192.3500000000006</c:v>
                </c:pt>
                <c:pt idx="40">
                  <c:v>216.24</c:v>
                </c:pt>
                <c:pt idx="41">
                  <c:v>243.1</c:v>
                </c:pt>
                <c:pt idx="42">
                  <c:v>273.2899999999988</c:v>
                </c:pt>
                <c:pt idx="43">
                  <c:v>307.2299999999988</c:v>
                </c:pt>
                <c:pt idx="44">
                  <c:v>345.4</c:v>
                </c:pt>
                <c:pt idx="45">
                  <c:v>388.3</c:v>
                </c:pt>
                <c:pt idx="46">
                  <c:v>436.53</c:v>
                </c:pt>
                <c:pt idx="47">
                  <c:v>490.75</c:v>
                </c:pt>
                <c:pt idx="48">
                  <c:v>551.71</c:v>
                </c:pt>
                <c:pt idx="49">
                  <c:v>620.23</c:v>
                </c:pt>
                <c:pt idx="50">
                  <c:v>697.2700000000005</c:v>
                </c:pt>
                <c:pt idx="51">
                  <c:v>783.88</c:v>
                </c:pt>
                <c:pt idx="52">
                  <c:v>881.25</c:v>
                </c:pt>
                <c:pt idx="53">
                  <c:v>990.71</c:v>
                </c:pt>
                <c:pt idx="54">
                  <c:v>1113.76</c:v>
                </c:pt>
                <c:pt idx="55">
                  <c:v>1252.1</c:v>
                </c:pt>
                <c:pt idx="56">
                  <c:v>1407.63</c:v>
                </c:pt>
                <c:pt idx="57">
                  <c:v>1582.47</c:v>
                </c:pt>
                <c:pt idx="58">
                  <c:v>1779.03</c:v>
                </c:pt>
                <c:pt idx="59">
                  <c:v>2000.0</c:v>
                </c:pt>
              </c:numCache>
            </c:numRef>
          </c:xVal>
          <c:yVal>
            <c:numRef>
              <c:f>'PEA-Cys-opt'!$H$4:$H$63</c:f>
              <c:numCache>
                <c:formatCode>General</c:formatCode>
                <c:ptCount val="60"/>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0.17</c:v>
                </c:pt>
                <c:pt idx="45">
                  <c:v>0.650000000000002</c:v>
                </c:pt>
                <c:pt idx="46">
                  <c:v>1.0</c:v>
                </c:pt>
                <c:pt idx="47">
                  <c:v>0.98</c:v>
                </c:pt>
                <c:pt idx="48">
                  <c:v>0.54</c:v>
                </c:pt>
                <c:pt idx="49">
                  <c:v>0.18</c:v>
                </c:pt>
                <c:pt idx="50">
                  <c:v>0.0</c:v>
                </c:pt>
                <c:pt idx="51">
                  <c:v>0.0</c:v>
                </c:pt>
                <c:pt idx="52">
                  <c:v>0.0</c:v>
                </c:pt>
                <c:pt idx="53">
                  <c:v>0.0</c:v>
                </c:pt>
                <c:pt idx="54">
                  <c:v>0.0</c:v>
                </c:pt>
                <c:pt idx="55">
                  <c:v>0.0</c:v>
                </c:pt>
                <c:pt idx="56">
                  <c:v>0.0</c:v>
                </c:pt>
                <c:pt idx="57">
                  <c:v>0.0</c:v>
                </c:pt>
                <c:pt idx="58">
                  <c:v>0.0</c:v>
                </c:pt>
                <c:pt idx="59">
                  <c:v>0.0</c:v>
                </c:pt>
              </c:numCache>
            </c:numRef>
          </c:yVal>
          <c:smooth val="1"/>
        </c:ser>
        <c:ser>
          <c:idx val="1"/>
          <c:order val="1"/>
          <c:tx>
            <c:strRef>
              <c:f>'PEA-Cys-opt'!$J$3</c:f>
              <c:strCache>
                <c:ptCount val="1"/>
                <c:pt idx="0">
                  <c:v>Redispergiertes Lyophilisat</c:v>
                </c:pt>
              </c:strCache>
            </c:strRef>
          </c:tx>
          <c:spPr>
            <a:ln w="19050">
              <a:solidFill>
                <a:srgbClr val="FF0000"/>
              </a:solidFill>
            </a:ln>
          </c:spPr>
          <c:marker>
            <c:symbol val="none"/>
          </c:marker>
          <c:xVal>
            <c:numRef>
              <c:f>'PEA-Cys-opt'!$J$4:$J$63</c:f>
              <c:numCache>
                <c:formatCode>General</c:formatCode>
                <c:ptCount val="60"/>
                <c:pt idx="0">
                  <c:v>2.0</c:v>
                </c:pt>
                <c:pt idx="1">
                  <c:v>2.25</c:v>
                </c:pt>
                <c:pt idx="2">
                  <c:v>2.53</c:v>
                </c:pt>
                <c:pt idx="3">
                  <c:v>2.84</c:v>
                </c:pt>
                <c:pt idx="4">
                  <c:v>3.19</c:v>
                </c:pt>
                <c:pt idx="5">
                  <c:v>3.59</c:v>
                </c:pt>
                <c:pt idx="6">
                  <c:v>4.04</c:v>
                </c:pt>
                <c:pt idx="7">
                  <c:v>4.54</c:v>
                </c:pt>
                <c:pt idx="8">
                  <c:v>5.1</c:v>
                </c:pt>
                <c:pt idx="9">
                  <c:v>5.74</c:v>
                </c:pt>
                <c:pt idx="10">
                  <c:v>6.45</c:v>
                </c:pt>
                <c:pt idx="11">
                  <c:v>7.25</c:v>
                </c:pt>
                <c:pt idx="12">
                  <c:v>8.15</c:v>
                </c:pt>
                <c:pt idx="13">
                  <c:v>9.16</c:v>
                </c:pt>
                <c:pt idx="14">
                  <c:v>10.3</c:v>
                </c:pt>
                <c:pt idx="15">
                  <c:v>11.58</c:v>
                </c:pt>
                <c:pt idx="16">
                  <c:v>13.02</c:v>
                </c:pt>
                <c:pt idx="17">
                  <c:v>14.64</c:v>
                </c:pt>
                <c:pt idx="18">
                  <c:v>16.45</c:v>
                </c:pt>
                <c:pt idx="19">
                  <c:v>18.5</c:v>
                </c:pt>
                <c:pt idx="20">
                  <c:v>20.8</c:v>
                </c:pt>
                <c:pt idx="21">
                  <c:v>23.38</c:v>
                </c:pt>
                <c:pt idx="22">
                  <c:v>26.27999999999999</c:v>
                </c:pt>
                <c:pt idx="23">
                  <c:v>29.55</c:v>
                </c:pt>
                <c:pt idx="24">
                  <c:v>33.22000000000001</c:v>
                </c:pt>
                <c:pt idx="25">
                  <c:v>37.34</c:v>
                </c:pt>
                <c:pt idx="26">
                  <c:v>41.98</c:v>
                </c:pt>
                <c:pt idx="27">
                  <c:v>47.2</c:v>
                </c:pt>
                <c:pt idx="28">
                  <c:v>53.06</c:v>
                </c:pt>
                <c:pt idx="29">
                  <c:v>59.65</c:v>
                </c:pt>
                <c:pt idx="30">
                  <c:v>67.06</c:v>
                </c:pt>
                <c:pt idx="31">
                  <c:v>75.39</c:v>
                </c:pt>
                <c:pt idx="32">
                  <c:v>84.75</c:v>
                </c:pt>
                <c:pt idx="33">
                  <c:v>95.28</c:v>
                </c:pt>
                <c:pt idx="34">
                  <c:v>107.11</c:v>
                </c:pt>
                <c:pt idx="35">
                  <c:v>120.42</c:v>
                </c:pt>
                <c:pt idx="36">
                  <c:v>135.3800000000006</c:v>
                </c:pt>
                <c:pt idx="37">
                  <c:v>152.19</c:v>
                </c:pt>
                <c:pt idx="38">
                  <c:v>171.09</c:v>
                </c:pt>
                <c:pt idx="39">
                  <c:v>192.3500000000006</c:v>
                </c:pt>
                <c:pt idx="40">
                  <c:v>216.24</c:v>
                </c:pt>
                <c:pt idx="41">
                  <c:v>243.1</c:v>
                </c:pt>
                <c:pt idx="42">
                  <c:v>273.2899999999988</c:v>
                </c:pt>
                <c:pt idx="43">
                  <c:v>307.2299999999988</c:v>
                </c:pt>
                <c:pt idx="44">
                  <c:v>345.4</c:v>
                </c:pt>
                <c:pt idx="45">
                  <c:v>388.3</c:v>
                </c:pt>
                <c:pt idx="46">
                  <c:v>436.53</c:v>
                </c:pt>
                <c:pt idx="47">
                  <c:v>490.75</c:v>
                </c:pt>
                <c:pt idx="48">
                  <c:v>551.71</c:v>
                </c:pt>
                <c:pt idx="49">
                  <c:v>620.23</c:v>
                </c:pt>
                <c:pt idx="50">
                  <c:v>697.2700000000005</c:v>
                </c:pt>
                <c:pt idx="51">
                  <c:v>783.88</c:v>
                </c:pt>
                <c:pt idx="52">
                  <c:v>881.25</c:v>
                </c:pt>
                <c:pt idx="53">
                  <c:v>990.71</c:v>
                </c:pt>
                <c:pt idx="54">
                  <c:v>1113.76</c:v>
                </c:pt>
                <c:pt idx="55">
                  <c:v>1252.1</c:v>
                </c:pt>
                <c:pt idx="56">
                  <c:v>1407.63</c:v>
                </c:pt>
                <c:pt idx="57">
                  <c:v>1582.47</c:v>
                </c:pt>
                <c:pt idx="58">
                  <c:v>1779.03</c:v>
                </c:pt>
                <c:pt idx="59">
                  <c:v>2000.0</c:v>
                </c:pt>
              </c:numCache>
            </c:numRef>
          </c:xVal>
          <c:yVal>
            <c:numRef>
              <c:f>'PEA-Cys-opt'!$K$4:$K$63</c:f>
              <c:numCache>
                <c:formatCode>General</c:formatCode>
                <c:ptCount val="60"/>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0.23</c:v>
                </c:pt>
                <c:pt idx="46">
                  <c:v>0.68</c:v>
                </c:pt>
                <c:pt idx="47">
                  <c:v>1.0</c:v>
                </c:pt>
                <c:pt idx="48">
                  <c:v>0.93</c:v>
                </c:pt>
                <c:pt idx="49">
                  <c:v>0.5</c:v>
                </c:pt>
                <c:pt idx="50">
                  <c:v>0.16</c:v>
                </c:pt>
                <c:pt idx="51">
                  <c:v>0.0</c:v>
                </c:pt>
                <c:pt idx="52">
                  <c:v>0.0</c:v>
                </c:pt>
                <c:pt idx="53">
                  <c:v>0.0</c:v>
                </c:pt>
                <c:pt idx="54">
                  <c:v>0.0</c:v>
                </c:pt>
                <c:pt idx="55">
                  <c:v>0.0</c:v>
                </c:pt>
                <c:pt idx="56">
                  <c:v>0.0</c:v>
                </c:pt>
                <c:pt idx="57">
                  <c:v>0.0</c:v>
                </c:pt>
                <c:pt idx="58">
                  <c:v>0.0</c:v>
                </c:pt>
                <c:pt idx="59">
                  <c:v>0.0</c:v>
                </c:pt>
              </c:numCache>
            </c:numRef>
          </c:yVal>
          <c:smooth val="1"/>
        </c:ser>
        <c:dLbls>
          <c:showLegendKey val="0"/>
          <c:showVal val="0"/>
          <c:showCatName val="0"/>
          <c:showSerName val="0"/>
          <c:showPercent val="0"/>
          <c:showBubbleSize val="0"/>
        </c:dLbls>
        <c:axId val="2080193592"/>
        <c:axId val="2080199160"/>
      </c:scatterChart>
      <c:valAx>
        <c:axId val="2080193592"/>
        <c:scaling>
          <c:orientation val="minMax"/>
          <c:max val="2250.0"/>
          <c:min val="0.0"/>
        </c:scaling>
        <c:delete val="0"/>
        <c:axPos val="b"/>
        <c:title>
          <c:tx>
            <c:rich>
              <a:bodyPr/>
              <a:lstStyle/>
              <a:p>
                <a:pPr>
                  <a:defRPr sz="1100" baseline="0"/>
                </a:pPr>
                <a:r>
                  <a:rPr lang="de-DE" sz="1050" baseline="0"/>
                  <a:t>Mittlerer Partikeldurchmesser [nm]</a:t>
                </a:r>
              </a:p>
            </c:rich>
          </c:tx>
          <c:layout>
            <c:manualLayout>
              <c:xMode val="edge"/>
              <c:yMode val="edge"/>
              <c:x val="0.328219106685828"/>
              <c:y val="0.908367307318965"/>
            </c:manualLayout>
          </c:layout>
          <c:overlay val="0"/>
        </c:title>
        <c:numFmt formatCode="General" sourceLinked="1"/>
        <c:majorTickMark val="out"/>
        <c:minorTickMark val="none"/>
        <c:tickLblPos val="nextTo"/>
        <c:txPr>
          <a:bodyPr/>
          <a:lstStyle/>
          <a:p>
            <a:pPr>
              <a:defRPr sz="900" baseline="0"/>
            </a:pPr>
            <a:endParaRPr lang="de-DE"/>
          </a:p>
        </c:txPr>
        <c:crossAx val="2080199160"/>
        <c:crosses val="autoZero"/>
        <c:crossBetween val="midCat"/>
        <c:majorUnit val="200.0"/>
      </c:valAx>
      <c:valAx>
        <c:axId val="2080199160"/>
        <c:scaling>
          <c:orientation val="minMax"/>
          <c:max val="1.1"/>
          <c:min val="0.0"/>
        </c:scaling>
        <c:delete val="0"/>
        <c:axPos val="l"/>
        <c:majorGridlines/>
        <c:title>
          <c:tx>
            <c:rich>
              <a:bodyPr rot="-5400000" vert="horz"/>
              <a:lstStyle/>
              <a:p>
                <a:pPr>
                  <a:defRPr sz="1100" baseline="0"/>
                </a:pPr>
                <a:r>
                  <a:rPr lang="de-DE" sz="1050" baseline="0"/>
                  <a:t>rel. Häufigkeit [%]</a:t>
                </a:r>
              </a:p>
            </c:rich>
          </c:tx>
          <c:layout>
            <c:manualLayout>
              <c:xMode val="edge"/>
              <c:yMode val="edge"/>
              <c:x val="0.0181519887620039"/>
              <c:y val="0.31925304619392"/>
            </c:manualLayout>
          </c:layout>
          <c:overlay val="0"/>
        </c:title>
        <c:numFmt formatCode="General" sourceLinked="1"/>
        <c:majorTickMark val="out"/>
        <c:minorTickMark val="none"/>
        <c:tickLblPos val="nextTo"/>
        <c:txPr>
          <a:bodyPr/>
          <a:lstStyle/>
          <a:p>
            <a:pPr>
              <a:defRPr sz="900" baseline="0"/>
            </a:pPr>
            <a:endParaRPr lang="de-DE"/>
          </a:p>
        </c:txPr>
        <c:crossAx val="2080193592"/>
        <c:crosses val="autoZero"/>
        <c:crossBetween val="midCat"/>
        <c:majorUnit val="0.3"/>
      </c:valAx>
    </c:plotArea>
    <c:legend>
      <c:legendPos val="t"/>
      <c:layout>
        <c:manualLayout>
          <c:xMode val="edge"/>
          <c:yMode val="edge"/>
          <c:x val="0.173298536378447"/>
          <c:y val="0.034944670937682"/>
          <c:w val="0.672728932799336"/>
          <c:h val="0.0779767555264095"/>
        </c:manualLayout>
      </c:layout>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Tabelle1!$Q$12</c:f>
              <c:strCache>
                <c:ptCount val="1"/>
                <c:pt idx="0">
                  <c:v>PLGA Partikel</c:v>
                </c:pt>
              </c:strCache>
            </c:strRef>
          </c:tx>
          <c:spPr>
            <a:ln w="19050">
              <a:solidFill>
                <a:srgbClr val="FF0000"/>
              </a:solidFill>
            </a:ln>
          </c:spPr>
          <c:marker>
            <c:spPr>
              <a:solidFill>
                <a:srgbClr val="FF0000"/>
              </a:solidFill>
              <a:ln w="6350">
                <a:solidFill>
                  <a:srgbClr val="FF0000"/>
                </a:solidFill>
              </a:ln>
            </c:spPr>
          </c:marker>
          <c:xVal>
            <c:numRef>
              <c:f>Tabelle1!$L$16:$L$21</c:f>
              <c:numCache>
                <c:formatCode>General</c:formatCode>
                <c:ptCount val="6"/>
                <c:pt idx="0">
                  <c:v>0.083</c:v>
                </c:pt>
                <c:pt idx="1">
                  <c:v>0.5</c:v>
                </c:pt>
                <c:pt idx="2">
                  <c:v>3.0</c:v>
                </c:pt>
                <c:pt idx="3">
                  <c:v>5.0</c:v>
                </c:pt>
                <c:pt idx="4">
                  <c:v>20.0</c:v>
                </c:pt>
                <c:pt idx="5">
                  <c:v>48.0</c:v>
                </c:pt>
              </c:numCache>
            </c:numRef>
          </c:xVal>
          <c:yVal>
            <c:numRef>
              <c:f>Tabelle1!$Q$13:$Q$18</c:f>
              <c:numCache>
                <c:formatCode>General</c:formatCode>
                <c:ptCount val="6"/>
                <c:pt idx="0">
                  <c:v>83.3</c:v>
                </c:pt>
                <c:pt idx="1">
                  <c:v>83.9</c:v>
                </c:pt>
                <c:pt idx="2">
                  <c:v>84.1</c:v>
                </c:pt>
                <c:pt idx="3">
                  <c:v>84.1</c:v>
                </c:pt>
                <c:pt idx="4">
                  <c:v>85.3</c:v>
                </c:pt>
                <c:pt idx="5">
                  <c:v>85.7</c:v>
                </c:pt>
              </c:numCache>
            </c:numRef>
          </c:yVal>
          <c:smooth val="1"/>
        </c:ser>
        <c:ser>
          <c:idx val="2"/>
          <c:order val="1"/>
          <c:tx>
            <c:strRef>
              <c:f>Tabelle1!$N$12</c:f>
              <c:strCache>
                <c:ptCount val="1"/>
                <c:pt idx="0">
                  <c:v>PEA Cystein Partikel</c:v>
                </c:pt>
              </c:strCache>
            </c:strRef>
          </c:tx>
          <c:spPr>
            <a:ln w="19050">
              <a:solidFill>
                <a:srgbClr val="0000FF"/>
              </a:solidFill>
            </a:ln>
          </c:spPr>
          <c:marker>
            <c:spPr>
              <a:solidFill>
                <a:srgbClr val="0000FF"/>
              </a:solidFill>
              <a:ln w="3175">
                <a:solidFill>
                  <a:srgbClr val="0000FF"/>
                </a:solidFill>
              </a:ln>
            </c:spPr>
          </c:marker>
          <c:errBars>
            <c:errDir val="y"/>
            <c:errBarType val="both"/>
            <c:errValType val="cust"/>
            <c:noEndCap val="0"/>
            <c:plus>
              <c:numRef>
                <c:f>Tabelle1!$O$13:$O$18</c:f>
                <c:numCache>
                  <c:formatCode>General</c:formatCode>
                  <c:ptCount val="6"/>
                  <c:pt idx="0">
                    <c:v>5.3</c:v>
                  </c:pt>
                  <c:pt idx="1">
                    <c:v>4.2</c:v>
                  </c:pt>
                  <c:pt idx="2">
                    <c:v>4.7</c:v>
                  </c:pt>
                  <c:pt idx="3">
                    <c:v>4.6</c:v>
                  </c:pt>
                  <c:pt idx="4">
                    <c:v>4.8</c:v>
                  </c:pt>
                  <c:pt idx="5">
                    <c:v>5.0</c:v>
                  </c:pt>
                </c:numCache>
              </c:numRef>
            </c:plus>
            <c:minus>
              <c:numRef>
                <c:f>Tabelle1!$O$13:$O$18</c:f>
                <c:numCache>
                  <c:formatCode>General</c:formatCode>
                  <c:ptCount val="6"/>
                  <c:pt idx="0">
                    <c:v>5.3</c:v>
                  </c:pt>
                  <c:pt idx="1">
                    <c:v>4.2</c:v>
                  </c:pt>
                  <c:pt idx="2">
                    <c:v>4.7</c:v>
                  </c:pt>
                  <c:pt idx="3">
                    <c:v>4.6</c:v>
                  </c:pt>
                  <c:pt idx="4">
                    <c:v>4.8</c:v>
                  </c:pt>
                  <c:pt idx="5">
                    <c:v>5.0</c:v>
                  </c:pt>
                </c:numCache>
              </c:numRef>
            </c:minus>
          </c:errBars>
          <c:xVal>
            <c:numRef>
              <c:f>Tabelle1!$L$16:$L$21</c:f>
              <c:numCache>
                <c:formatCode>General</c:formatCode>
                <c:ptCount val="6"/>
                <c:pt idx="0">
                  <c:v>0.083</c:v>
                </c:pt>
                <c:pt idx="1">
                  <c:v>0.5</c:v>
                </c:pt>
                <c:pt idx="2">
                  <c:v>3.0</c:v>
                </c:pt>
                <c:pt idx="3">
                  <c:v>5.0</c:v>
                </c:pt>
                <c:pt idx="4">
                  <c:v>20.0</c:v>
                </c:pt>
                <c:pt idx="5">
                  <c:v>48.0</c:v>
                </c:pt>
              </c:numCache>
            </c:numRef>
          </c:xVal>
          <c:yVal>
            <c:numRef>
              <c:f>Tabelle1!$N$13:$N$19</c:f>
              <c:numCache>
                <c:formatCode>General</c:formatCode>
                <c:ptCount val="7"/>
                <c:pt idx="0">
                  <c:v>69.4</c:v>
                </c:pt>
                <c:pt idx="1">
                  <c:v>73.4</c:v>
                </c:pt>
                <c:pt idx="2">
                  <c:v>80.3</c:v>
                </c:pt>
                <c:pt idx="3">
                  <c:v>83.9</c:v>
                </c:pt>
                <c:pt idx="4">
                  <c:v>88.9</c:v>
                </c:pt>
                <c:pt idx="5">
                  <c:v>90.3</c:v>
                </c:pt>
              </c:numCache>
            </c:numRef>
          </c:yVal>
          <c:smooth val="1"/>
        </c:ser>
        <c:dLbls>
          <c:showLegendKey val="0"/>
          <c:showVal val="0"/>
          <c:showCatName val="0"/>
          <c:showSerName val="0"/>
          <c:showPercent val="0"/>
          <c:showBubbleSize val="0"/>
        </c:dLbls>
        <c:axId val="2080265976"/>
        <c:axId val="2080271576"/>
      </c:scatterChart>
      <c:valAx>
        <c:axId val="2080265976"/>
        <c:scaling>
          <c:orientation val="minMax"/>
          <c:max val="50.0"/>
          <c:min val="0.0"/>
        </c:scaling>
        <c:delete val="0"/>
        <c:axPos val="b"/>
        <c:title>
          <c:tx>
            <c:rich>
              <a:bodyPr/>
              <a:lstStyle/>
              <a:p>
                <a:pPr>
                  <a:defRPr/>
                </a:pPr>
                <a:r>
                  <a:rPr lang="de-DE" baseline="0"/>
                  <a:t>Zeit [h]</a:t>
                </a:r>
                <a:endParaRPr lang="de-DE"/>
              </a:p>
            </c:rich>
          </c:tx>
          <c:layout/>
          <c:overlay val="0"/>
        </c:title>
        <c:numFmt formatCode="General" sourceLinked="1"/>
        <c:majorTickMark val="out"/>
        <c:minorTickMark val="none"/>
        <c:tickLblPos val="nextTo"/>
        <c:crossAx val="2080271576"/>
        <c:crosses val="autoZero"/>
        <c:crossBetween val="midCat"/>
      </c:valAx>
      <c:valAx>
        <c:axId val="2080271576"/>
        <c:scaling>
          <c:orientation val="minMax"/>
          <c:max val="100.0"/>
          <c:min val="40.0"/>
        </c:scaling>
        <c:delete val="0"/>
        <c:axPos val="l"/>
        <c:majorGridlines/>
        <c:title>
          <c:tx>
            <c:rich>
              <a:bodyPr rot="-5400000" vert="horz"/>
              <a:lstStyle/>
              <a:p>
                <a:pPr>
                  <a:defRPr/>
                </a:pPr>
                <a:r>
                  <a:rPr lang="de-DE"/>
                  <a:t>Desmopressin Freisetzung</a:t>
                </a:r>
                <a:r>
                  <a:rPr lang="de-DE" baseline="0"/>
                  <a:t> [%]</a:t>
                </a:r>
                <a:endParaRPr lang="de-DE"/>
              </a:p>
            </c:rich>
          </c:tx>
          <c:layout/>
          <c:overlay val="0"/>
        </c:title>
        <c:numFmt formatCode="General" sourceLinked="1"/>
        <c:majorTickMark val="out"/>
        <c:minorTickMark val="none"/>
        <c:tickLblPos val="nextTo"/>
        <c:crossAx val="2080265976"/>
        <c:crosses val="autoZero"/>
        <c:crossBetween val="midCat"/>
        <c:majorUnit val="10.0"/>
      </c:valAx>
    </c:plotArea>
    <c:legend>
      <c:legendPos val="t"/>
      <c:layout/>
      <c:overlay val="0"/>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980735702945041"/>
          <c:y val="0.154087816085861"/>
          <c:w val="0.795317956785002"/>
          <c:h val="0.637747434933418"/>
        </c:manualLayout>
      </c:layout>
      <c:barChart>
        <c:barDir val="col"/>
        <c:grouping val="clustered"/>
        <c:varyColors val="0"/>
        <c:ser>
          <c:idx val="0"/>
          <c:order val="0"/>
          <c:tx>
            <c:strRef>
              <c:f>mtt!$A$70:$A$81</c:f>
              <c:strCache>
                <c:ptCount val="1"/>
                <c:pt idx="0">
                  <c:v> PEA 04 Polymer 2 mg/ml  1 : 2  1 : 10  1 : 50  PEA Partikel 2 mg/ml  1 : 2  1 : 10  1 : 50  Desmopressin 30 µg/ml  1 : 2  1 : 10  1 : 50</c:v>
                </c:pt>
              </c:strCache>
            </c:strRef>
          </c:tx>
          <c:spPr>
            <a:solidFill>
              <a:srgbClr val="7030A0"/>
            </a:solidFill>
            <a:ln w="25400">
              <a:noFill/>
            </a:ln>
          </c:spPr>
          <c:invertIfNegative val="0"/>
          <c:dPt>
            <c:idx val="4"/>
            <c:invertIfNegative val="0"/>
            <c:bubble3D val="0"/>
            <c:spPr>
              <a:solidFill>
                <a:srgbClr val="7F7F7F"/>
              </a:solidFill>
              <a:ln w="25400">
                <a:noFill/>
              </a:ln>
            </c:spPr>
          </c:dPt>
          <c:dPt>
            <c:idx val="5"/>
            <c:invertIfNegative val="0"/>
            <c:bubble3D val="0"/>
            <c:spPr>
              <a:solidFill>
                <a:srgbClr val="7F7F7F"/>
              </a:solidFill>
              <a:ln w="25400">
                <a:noFill/>
              </a:ln>
            </c:spPr>
          </c:dPt>
          <c:dPt>
            <c:idx val="6"/>
            <c:invertIfNegative val="0"/>
            <c:bubble3D val="0"/>
            <c:spPr>
              <a:solidFill>
                <a:srgbClr val="7F7F7F"/>
              </a:solidFill>
              <a:ln w="25400">
                <a:noFill/>
              </a:ln>
            </c:spPr>
          </c:dPt>
          <c:dPt>
            <c:idx val="7"/>
            <c:invertIfNegative val="0"/>
            <c:bubble3D val="0"/>
            <c:spPr>
              <a:solidFill>
                <a:srgbClr val="7F7F7F"/>
              </a:solidFill>
              <a:ln w="25400">
                <a:noFill/>
              </a:ln>
            </c:spPr>
          </c:dPt>
          <c:dPt>
            <c:idx val="8"/>
            <c:invertIfNegative val="0"/>
            <c:bubble3D val="0"/>
            <c:spPr>
              <a:solidFill>
                <a:srgbClr val="E6E0EC"/>
              </a:solidFill>
              <a:ln w="25400">
                <a:noFill/>
              </a:ln>
            </c:spPr>
          </c:dPt>
          <c:dPt>
            <c:idx val="9"/>
            <c:invertIfNegative val="0"/>
            <c:bubble3D val="0"/>
            <c:spPr>
              <a:solidFill>
                <a:srgbClr val="E6E0EC"/>
              </a:solidFill>
              <a:ln w="25400">
                <a:noFill/>
              </a:ln>
            </c:spPr>
          </c:dPt>
          <c:dPt>
            <c:idx val="10"/>
            <c:invertIfNegative val="0"/>
            <c:bubble3D val="0"/>
            <c:spPr>
              <a:solidFill>
                <a:srgbClr val="E6E0EC"/>
              </a:solidFill>
              <a:ln w="25400">
                <a:noFill/>
              </a:ln>
            </c:spPr>
          </c:dPt>
          <c:dPt>
            <c:idx val="11"/>
            <c:invertIfNegative val="0"/>
            <c:bubble3D val="0"/>
            <c:spPr>
              <a:solidFill>
                <a:srgbClr val="E6E0EC"/>
              </a:solidFill>
              <a:ln w="25400">
                <a:noFill/>
              </a:ln>
            </c:spPr>
          </c:dPt>
          <c:dLbls>
            <c:delete val="1"/>
          </c:dLbls>
          <c:errBars>
            <c:errBarType val="both"/>
            <c:errValType val="cust"/>
            <c:noEndCap val="0"/>
            <c:plus>
              <c:numRef>
                <c:f>mtt!$C$70:$C$81</c:f>
                <c:numCache>
                  <c:formatCode>General</c:formatCode>
                  <c:ptCount val="12"/>
                  <c:pt idx="0">
                    <c:v>4.535058975806653</c:v>
                  </c:pt>
                  <c:pt idx="1">
                    <c:v>2.782004857921691</c:v>
                  </c:pt>
                  <c:pt idx="2">
                    <c:v>7.152833928101423</c:v>
                  </c:pt>
                  <c:pt idx="3">
                    <c:v>7.026971984682752</c:v>
                  </c:pt>
                  <c:pt idx="4">
                    <c:v>2.698516751057526</c:v>
                  </c:pt>
                  <c:pt idx="5">
                    <c:v>11.15575388708847</c:v>
                  </c:pt>
                  <c:pt idx="6">
                    <c:v>8.520729349396448</c:v>
                  </c:pt>
                  <c:pt idx="7">
                    <c:v>5.566525113299781</c:v>
                  </c:pt>
                  <c:pt idx="8">
                    <c:v>1.799615026111076</c:v>
                  </c:pt>
                  <c:pt idx="9">
                    <c:v>7.347181027052691</c:v>
                  </c:pt>
                  <c:pt idx="10">
                    <c:v>11.7520948050688</c:v>
                  </c:pt>
                  <c:pt idx="11">
                    <c:v>2.43445435281696</c:v>
                  </c:pt>
                </c:numCache>
              </c:numRef>
            </c:plus>
            <c:minus>
              <c:numRef>
                <c:f>mtt!$C$70:$C$81</c:f>
                <c:numCache>
                  <c:formatCode>General</c:formatCode>
                  <c:ptCount val="12"/>
                  <c:pt idx="0">
                    <c:v>4.535058975806653</c:v>
                  </c:pt>
                  <c:pt idx="1">
                    <c:v>2.782004857921691</c:v>
                  </c:pt>
                  <c:pt idx="2">
                    <c:v>7.152833928101423</c:v>
                  </c:pt>
                  <c:pt idx="3">
                    <c:v>7.026971984682752</c:v>
                  </c:pt>
                  <c:pt idx="4">
                    <c:v>2.698516751057526</c:v>
                  </c:pt>
                  <c:pt idx="5">
                    <c:v>11.15575388708847</c:v>
                  </c:pt>
                  <c:pt idx="6">
                    <c:v>8.520729349396448</c:v>
                  </c:pt>
                  <c:pt idx="7">
                    <c:v>5.566525113299781</c:v>
                  </c:pt>
                  <c:pt idx="8">
                    <c:v>1.799615026111076</c:v>
                  </c:pt>
                  <c:pt idx="9">
                    <c:v>7.347181027052691</c:v>
                  </c:pt>
                  <c:pt idx="10">
                    <c:v>11.7520948050688</c:v>
                  </c:pt>
                  <c:pt idx="11">
                    <c:v>2.43445435281696</c:v>
                  </c:pt>
                </c:numCache>
              </c:numRef>
            </c:minus>
            <c:spPr>
              <a:ln w="3175">
                <a:solidFill>
                  <a:srgbClr val="000000"/>
                </a:solidFill>
                <a:prstDash val="solid"/>
              </a:ln>
            </c:spPr>
          </c:errBars>
          <c:cat>
            <c:strRef>
              <c:f>mtt!$A$70:$A$81</c:f>
              <c:strCache>
                <c:ptCount val="12"/>
                <c:pt idx="0">
                  <c:v> PEA 04 Polymer 2 mg/ml</c:v>
                </c:pt>
                <c:pt idx="1">
                  <c:v> 1 : 2</c:v>
                </c:pt>
                <c:pt idx="2">
                  <c:v> 1 : 10</c:v>
                </c:pt>
                <c:pt idx="3">
                  <c:v> 1 : 50</c:v>
                </c:pt>
                <c:pt idx="4">
                  <c:v> PEA Partikel 2 mg/ml</c:v>
                </c:pt>
                <c:pt idx="5">
                  <c:v> 1 : 2</c:v>
                </c:pt>
                <c:pt idx="6">
                  <c:v> 1 : 10</c:v>
                </c:pt>
                <c:pt idx="7">
                  <c:v> 1 : 50</c:v>
                </c:pt>
                <c:pt idx="8">
                  <c:v> Desmopressin 30 µg/ml</c:v>
                </c:pt>
                <c:pt idx="9">
                  <c:v> 1 : 2</c:v>
                </c:pt>
                <c:pt idx="10">
                  <c:v> 1 : 10</c:v>
                </c:pt>
                <c:pt idx="11">
                  <c:v> 1 : 50</c:v>
                </c:pt>
              </c:strCache>
            </c:strRef>
          </c:cat>
          <c:val>
            <c:numRef>
              <c:f>mtt!$B$70:$B$81</c:f>
              <c:numCache>
                <c:formatCode>0</c:formatCode>
                <c:ptCount val="12"/>
                <c:pt idx="0">
                  <c:v>62.26265605048835</c:v>
                </c:pt>
                <c:pt idx="1">
                  <c:v>70.89881859628289</c:v>
                </c:pt>
                <c:pt idx="2">
                  <c:v>98.64161885612535</c:v>
                </c:pt>
                <c:pt idx="3">
                  <c:v>100.0892396454868</c:v>
                </c:pt>
                <c:pt idx="4">
                  <c:v>77.39328948848772</c:v>
                </c:pt>
                <c:pt idx="5">
                  <c:v>96.07357379727591</c:v>
                </c:pt>
                <c:pt idx="6">
                  <c:v>86.47067963721532</c:v>
                </c:pt>
                <c:pt idx="7">
                  <c:v>93.71871042756135</c:v>
                </c:pt>
                <c:pt idx="8">
                  <c:v>89.63859156961325</c:v>
                </c:pt>
                <c:pt idx="9">
                  <c:v>87.36304654240813</c:v>
                </c:pt>
                <c:pt idx="10">
                  <c:v>92.27604327164103</c:v>
                </c:pt>
                <c:pt idx="11">
                  <c:v>84.87928417126771</c:v>
                </c:pt>
              </c:numCache>
            </c:numRef>
          </c:val>
        </c:ser>
        <c:dLbls>
          <c:showLegendKey val="0"/>
          <c:showVal val="1"/>
          <c:showCatName val="0"/>
          <c:showSerName val="0"/>
          <c:showPercent val="0"/>
          <c:showBubbleSize val="0"/>
        </c:dLbls>
        <c:gapWidth val="150"/>
        <c:axId val="2080311304"/>
        <c:axId val="2080314392"/>
      </c:barChart>
      <c:catAx>
        <c:axId val="2080311304"/>
        <c:scaling>
          <c:orientation val="minMax"/>
        </c:scaling>
        <c:delete val="0"/>
        <c:axPos val="b"/>
        <c:numFmt formatCode="General" sourceLinked="1"/>
        <c:majorTickMark val="out"/>
        <c:minorTickMark val="none"/>
        <c:tickLblPos val="nextTo"/>
        <c:spPr>
          <a:ln w="3175">
            <a:solidFill>
              <a:srgbClr val="808080"/>
            </a:solidFill>
            <a:prstDash val="solid"/>
          </a:ln>
        </c:spPr>
        <c:txPr>
          <a:bodyPr rot="-1740000"/>
          <a:lstStyle/>
          <a:p>
            <a:pPr>
              <a:defRPr/>
            </a:pPr>
            <a:endParaRPr lang="de-DE"/>
          </a:p>
        </c:txPr>
        <c:crossAx val="2080314392"/>
        <c:crosses val="autoZero"/>
        <c:auto val="1"/>
        <c:lblAlgn val="ctr"/>
        <c:lblOffset val="100"/>
        <c:noMultiLvlLbl val="0"/>
      </c:catAx>
      <c:valAx>
        <c:axId val="2080314392"/>
        <c:scaling>
          <c:orientation val="minMax"/>
          <c:max val="110.0"/>
          <c:min val="0.0"/>
        </c:scaling>
        <c:delete val="0"/>
        <c:axPos val="l"/>
        <c:majorGridlines>
          <c:spPr>
            <a:ln w="3175">
              <a:solidFill>
                <a:srgbClr val="808080"/>
              </a:solidFill>
              <a:prstDash val="solid"/>
            </a:ln>
          </c:spPr>
        </c:majorGridlines>
        <c:title>
          <c:tx>
            <c:rich>
              <a:bodyPr rot="-5400000" vert="horz"/>
              <a:lstStyle/>
              <a:p>
                <a:pPr>
                  <a:defRPr/>
                </a:pPr>
                <a:r>
                  <a:rPr lang="en-US"/>
                  <a:t>Viabilität [%]</a:t>
                </a:r>
              </a:p>
            </c:rich>
          </c:tx>
          <c:layout/>
          <c:overlay val="0"/>
          <c:spPr>
            <a:noFill/>
            <a:ln w="25400">
              <a:noFill/>
            </a:ln>
          </c:spPr>
        </c:title>
        <c:numFmt formatCode="0" sourceLinked="1"/>
        <c:majorTickMark val="out"/>
        <c:minorTickMark val="none"/>
        <c:tickLblPos val="nextTo"/>
        <c:spPr>
          <a:ln w="3175">
            <a:solidFill>
              <a:srgbClr val="808080"/>
            </a:solidFill>
            <a:prstDash val="solid"/>
          </a:ln>
        </c:spPr>
        <c:crossAx val="2080311304"/>
        <c:crosses val="autoZero"/>
        <c:crossBetween val="between"/>
      </c:valAx>
      <c:spPr>
        <a:solidFill>
          <a:srgbClr val="FFFFFF"/>
        </a:solidFill>
        <a:ln w="25400">
          <a:noFill/>
        </a:ln>
      </c:spPr>
    </c:plotArea>
    <c:plotVisOnly val="1"/>
    <c:dispBlanksAs val="gap"/>
    <c:showDLblsOverMax val="0"/>
  </c:chart>
  <c:spPr>
    <a:solidFill>
      <a:srgbClr val="FFFFFF"/>
    </a:solidFill>
    <a:ln w="3175">
      <a:noFill/>
      <a:prstDash val="solid"/>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980735702945041"/>
          <c:y val="0.154087816085861"/>
          <c:w val="0.795317956785002"/>
          <c:h val="0.637747434933418"/>
        </c:manualLayout>
      </c:layout>
      <c:barChart>
        <c:barDir val="col"/>
        <c:grouping val="clustered"/>
        <c:varyColors val="0"/>
        <c:ser>
          <c:idx val="0"/>
          <c:order val="0"/>
          <c:spPr>
            <a:solidFill>
              <a:srgbClr val="7030A0"/>
            </a:solidFill>
            <a:ln w="25400">
              <a:noFill/>
            </a:ln>
          </c:spPr>
          <c:invertIfNegative val="0"/>
          <c:dPt>
            <c:idx val="4"/>
            <c:invertIfNegative val="0"/>
            <c:bubble3D val="0"/>
            <c:spPr>
              <a:solidFill>
                <a:srgbClr val="7F7F7F"/>
              </a:solidFill>
              <a:ln w="25400">
                <a:noFill/>
              </a:ln>
            </c:spPr>
          </c:dPt>
          <c:dPt>
            <c:idx val="5"/>
            <c:invertIfNegative val="0"/>
            <c:bubble3D val="0"/>
            <c:spPr>
              <a:solidFill>
                <a:srgbClr val="7F7F7F"/>
              </a:solidFill>
              <a:ln w="25400">
                <a:noFill/>
              </a:ln>
            </c:spPr>
          </c:dPt>
          <c:dPt>
            <c:idx val="6"/>
            <c:invertIfNegative val="0"/>
            <c:bubble3D val="0"/>
            <c:spPr>
              <a:solidFill>
                <a:srgbClr val="7F7F7F"/>
              </a:solidFill>
              <a:ln w="25400">
                <a:noFill/>
              </a:ln>
            </c:spPr>
          </c:dPt>
          <c:dPt>
            <c:idx val="7"/>
            <c:invertIfNegative val="0"/>
            <c:bubble3D val="0"/>
            <c:spPr>
              <a:solidFill>
                <a:srgbClr val="7F7F7F"/>
              </a:solidFill>
              <a:ln w="25400">
                <a:noFill/>
              </a:ln>
            </c:spPr>
          </c:dPt>
          <c:dPt>
            <c:idx val="8"/>
            <c:invertIfNegative val="0"/>
            <c:bubble3D val="0"/>
            <c:spPr>
              <a:solidFill>
                <a:srgbClr val="E6E0EC"/>
              </a:solidFill>
              <a:ln w="25400">
                <a:noFill/>
              </a:ln>
            </c:spPr>
          </c:dPt>
          <c:dPt>
            <c:idx val="9"/>
            <c:invertIfNegative val="0"/>
            <c:bubble3D val="0"/>
            <c:spPr>
              <a:solidFill>
                <a:srgbClr val="E6E0EC"/>
              </a:solidFill>
              <a:ln w="25400">
                <a:noFill/>
              </a:ln>
            </c:spPr>
          </c:dPt>
          <c:dPt>
            <c:idx val="10"/>
            <c:invertIfNegative val="0"/>
            <c:bubble3D val="0"/>
            <c:spPr>
              <a:solidFill>
                <a:srgbClr val="E6E0EC"/>
              </a:solidFill>
              <a:ln w="25400">
                <a:noFill/>
              </a:ln>
            </c:spPr>
          </c:dPt>
          <c:dPt>
            <c:idx val="11"/>
            <c:invertIfNegative val="0"/>
            <c:bubble3D val="0"/>
            <c:spPr>
              <a:solidFill>
                <a:srgbClr val="E6E0EC"/>
              </a:solidFill>
              <a:ln w="25400">
                <a:noFill/>
              </a:ln>
            </c:spPr>
          </c:dPt>
          <c:errBars>
            <c:errBarType val="both"/>
            <c:errValType val="cust"/>
            <c:noEndCap val="0"/>
            <c:plus>
              <c:numRef>
                <c:f>glo!$C$70:$C$81</c:f>
                <c:numCache>
                  <c:formatCode>General</c:formatCode>
                  <c:ptCount val="12"/>
                  <c:pt idx="0">
                    <c:v>0.709941692479425</c:v>
                  </c:pt>
                  <c:pt idx="1">
                    <c:v>3.593688362056857</c:v>
                  </c:pt>
                  <c:pt idx="2">
                    <c:v>3.508478856514391</c:v>
                  </c:pt>
                  <c:pt idx="3">
                    <c:v>6.439588372697696</c:v>
                  </c:pt>
                  <c:pt idx="4">
                    <c:v>3.205726680485311</c:v>
                  </c:pt>
                  <c:pt idx="5">
                    <c:v>1.678523927991028</c:v>
                  </c:pt>
                  <c:pt idx="6">
                    <c:v>4.406776471825832</c:v>
                  </c:pt>
                  <c:pt idx="7">
                    <c:v>6.828382127797608</c:v>
                  </c:pt>
                  <c:pt idx="8">
                    <c:v>4.026704427901647</c:v>
                  </c:pt>
                  <c:pt idx="9">
                    <c:v>1.788003376516078</c:v>
                  </c:pt>
                  <c:pt idx="10">
                    <c:v>1.409698477331159</c:v>
                  </c:pt>
                  <c:pt idx="11">
                    <c:v>0.561399718182747</c:v>
                  </c:pt>
                </c:numCache>
              </c:numRef>
            </c:plus>
            <c:minus>
              <c:numRef>
                <c:f>glo!$C$70:$C$81</c:f>
                <c:numCache>
                  <c:formatCode>General</c:formatCode>
                  <c:ptCount val="12"/>
                  <c:pt idx="0">
                    <c:v>0.709941692479425</c:v>
                  </c:pt>
                  <c:pt idx="1">
                    <c:v>3.593688362056857</c:v>
                  </c:pt>
                  <c:pt idx="2">
                    <c:v>3.508478856514391</c:v>
                  </c:pt>
                  <c:pt idx="3">
                    <c:v>6.439588372697696</c:v>
                  </c:pt>
                  <c:pt idx="4">
                    <c:v>3.205726680485311</c:v>
                  </c:pt>
                  <c:pt idx="5">
                    <c:v>1.678523927991028</c:v>
                  </c:pt>
                  <c:pt idx="6">
                    <c:v>4.406776471825832</c:v>
                  </c:pt>
                  <c:pt idx="7">
                    <c:v>6.828382127797608</c:v>
                  </c:pt>
                  <c:pt idx="8">
                    <c:v>4.026704427901647</c:v>
                  </c:pt>
                  <c:pt idx="9">
                    <c:v>1.788003376516078</c:v>
                  </c:pt>
                  <c:pt idx="10">
                    <c:v>1.409698477331159</c:v>
                  </c:pt>
                  <c:pt idx="11">
                    <c:v>0.561399718182747</c:v>
                  </c:pt>
                </c:numCache>
              </c:numRef>
            </c:minus>
            <c:spPr>
              <a:ln w="3175">
                <a:solidFill>
                  <a:srgbClr val="000000"/>
                </a:solidFill>
                <a:prstDash val="solid"/>
              </a:ln>
            </c:spPr>
          </c:errBars>
          <c:cat>
            <c:strRef>
              <c:f>glo!$A$70:$A$81</c:f>
              <c:strCache>
                <c:ptCount val="12"/>
                <c:pt idx="0">
                  <c:v> PEA 04 Polymer 2 mg/ml</c:v>
                </c:pt>
                <c:pt idx="1">
                  <c:v> 1 : 2</c:v>
                </c:pt>
                <c:pt idx="2">
                  <c:v> 1 : 10</c:v>
                </c:pt>
                <c:pt idx="3">
                  <c:v> 1 : 50</c:v>
                </c:pt>
                <c:pt idx="4">
                  <c:v> PEA Formulierung 2 mg/ml</c:v>
                </c:pt>
                <c:pt idx="5">
                  <c:v> 1 : 2</c:v>
                </c:pt>
                <c:pt idx="6">
                  <c:v> 1 : 10</c:v>
                </c:pt>
                <c:pt idx="7">
                  <c:v> 1 : 50</c:v>
                </c:pt>
                <c:pt idx="8">
                  <c:v> Desmopressin 30 µg/ml</c:v>
                </c:pt>
                <c:pt idx="9">
                  <c:v> 1 : 2</c:v>
                </c:pt>
                <c:pt idx="10">
                  <c:v> 1 : 10</c:v>
                </c:pt>
                <c:pt idx="11">
                  <c:v> 1 : 50</c:v>
                </c:pt>
              </c:strCache>
            </c:strRef>
          </c:cat>
          <c:val>
            <c:numRef>
              <c:f>glo!$B$70:$B$81</c:f>
              <c:numCache>
                <c:formatCode>0.0</c:formatCode>
                <c:ptCount val="12"/>
                <c:pt idx="0">
                  <c:v>73.02761287392592</c:v>
                </c:pt>
                <c:pt idx="1">
                  <c:v>77.50723599797092</c:v>
                </c:pt>
                <c:pt idx="2">
                  <c:v>101.1170158698277</c:v>
                </c:pt>
                <c:pt idx="3">
                  <c:v>102.7340318609524</c:v>
                </c:pt>
                <c:pt idx="4">
                  <c:v>71.31268560022454</c:v>
                </c:pt>
                <c:pt idx="5">
                  <c:v>88.71110325103845</c:v>
                </c:pt>
                <c:pt idx="6">
                  <c:v>96.34943265554757</c:v>
                </c:pt>
                <c:pt idx="7">
                  <c:v>95.81340719861355</c:v>
                </c:pt>
                <c:pt idx="8">
                  <c:v>100.9825334131956</c:v>
                </c:pt>
                <c:pt idx="9">
                  <c:v>101.4227581627705</c:v>
                </c:pt>
                <c:pt idx="10">
                  <c:v>104.4281687557722</c:v>
                </c:pt>
                <c:pt idx="11">
                  <c:v>102.6507975669675</c:v>
                </c:pt>
              </c:numCache>
            </c:numRef>
          </c:val>
        </c:ser>
        <c:dLbls>
          <c:showLegendKey val="0"/>
          <c:showVal val="0"/>
          <c:showCatName val="0"/>
          <c:showSerName val="0"/>
          <c:showPercent val="0"/>
          <c:showBubbleSize val="0"/>
        </c:dLbls>
        <c:gapWidth val="150"/>
        <c:axId val="2080353288"/>
        <c:axId val="2080356312"/>
      </c:barChart>
      <c:catAx>
        <c:axId val="2080353288"/>
        <c:scaling>
          <c:orientation val="minMax"/>
        </c:scaling>
        <c:delete val="0"/>
        <c:axPos val="b"/>
        <c:numFmt formatCode="General" sourceLinked="1"/>
        <c:majorTickMark val="out"/>
        <c:minorTickMark val="none"/>
        <c:tickLblPos val="nextTo"/>
        <c:spPr>
          <a:ln w="3175">
            <a:solidFill>
              <a:srgbClr val="808080"/>
            </a:solidFill>
            <a:prstDash val="solid"/>
          </a:ln>
        </c:spPr>
        <c:txPr>
          <a:bodyPr rot="-1740000"/>
          <a:lstStyle/>
          <a:p>
            <a:pPr>
              <a:defRPr/>
            </a:pPr>
            <a:endParaRPr lang="de-DE"/>
          </a:p>
        </c:txPr>
        <c:crossAx val="2080356312"/>
        <c:crosses val="autoZero"/>
        <c:auto val="1"/>
        <c:lblAlgn val="ctr"/>
        <c:lblOffset val="100"/>
        <c:noMultiLvlLbl val="0"/>
      </c:catAx>
      <c:valAx>
        <c:axId val="2080356312"/>
        <c:scaling>
          <c:orientation val="minMax"/>
          <c:max val="110.0"/>
          <c:min val="0.0"/>
        </c:scaling>
        <c:delete val="0"/>
        <c:axPos val="l"/>
        <c:majorGridlines>
          <c:spPr>
            <a:ln w="3175">
              <a:solidFill>
                <a:srgbClr val="808080"/>
              </a:solidFill>
              <a:prstDash val="solid"/>
            </a:ln>
          </c:spPr>
        </c:majorGridlines>
        <c:title>
          <c:tx>
            <c:rich>
              <a:bodyPr rot="-5400000" vert="horz"/>
              <a:lstStyle/>
              <a:p>
                <a:pPr>
                  <a:defRPr/>
                </a:pPr>
                <a:r>
                  <a:rPr lang="en-US"/>
                  <a:t>Viabilität [%]</a:t>
                </a:r>
              </a:p>
            </c:rich>
          </c:tx>
          <c:layout/>
          <c:overlay val="0"/>
          <c:spPr>
            <a:noFill/>
            <a:ln w="25400">
              <a:noFill/>
            </a:ln>
          </c:spPr>
        </c:title>
        <c:numFmt formatCode="0.0" sourceLinked="1"/>
        <c:majorTickMark val="out"/>
        <c:minorTickMark val="none"/>
        <c:tickLblPos val="nextTo"/>
        <c:spPr>
          <a:ln w="3175">
            <a:solidFill>
              <a:srgbClr val="808080"/>
            </a:solidFill>
            <a:prstDash val="solid"/>
          </a:ln>
        </c:spPr>
        <c:crossAx val="2080353288"/>
        <c:crosses val="autoZero"/>
        <c:crossBetween val="between"/>
      </c:valAx>
      <c:spPr>
        <a:solidFill>
          <a:srgbClr val="FFFFFF"/>
        </a:solidFill>
        <a:ln w="25400">
          <a:noFill/>
        </a:ln>
      </c:spPr>
    </c:plotArea>
    <c:plotVisOnly val="1"/>
    <c:dispBlanksAs val="gap"/>
    <c:showDLblsOverMax val="0"/>
  </c:chart>
  <c:spPr>
    <a:solidFill>
      <a:srgbClr val="FFFFFF"/>
    </a:solidFill>
    <a:ln w="3175">
      <a:noFill/>
      <a:prstDash val="solid"/>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38"/>
    </mc:Choice>
    <mc:Fallback>
      <c:style val="38"/>
    </mc:Fallback>
  </mc:AlternateContent>
  <c:chart>
    <c:autoTitleDeleted val="1"/>
    <c:plotArea>
      <c:layout>
        <c:manualLayout>
          <c:layoutTarget val="inner"/>
          <c:xMode val="edge"/>
          <c:yMode val="edge"/>
          <c:x val="0.101167156889612"/>
          <c:y val="0.203530902360878"/>
          <c:w val="0.795317956785002"/>
          <c:h val="0.656513011694936"/>
        </c:manualLayout>
      </c:layout>
      <c:barChart>
        <c:barDir val="col"/>
        <c:grouping val="clustered"/>
        <c:varyColors val="0"/>
        <c:ser>
          <c:idx val="0"/>
          <c:order val="0"/>
          <c:tx>
            <c:v>Partikel aus PEA 08 (Asp)</c:v>
          </c:tx>
          <c:spPr>
            <a:solidFill>
              <a:srgbClr val="7418A5"/>
            </a:solidFill>
            <a:ln w="3175">
              <a:solidFill>
                <a:srgbClr val="666699"/>
              </a:solidFill>
              <a:prstDash val="solid"/>
            </a:ln>
          </c:spPr>
          <c:invertIfNegative val="0"/>
          <c:errBars>
            <c:errBarType val="plus"/>
            <c:errValType val="cust"/>
            <c:noEndCap val="0"/>
            <c:plus>
              <c:numRef>
                <c:f>'[Diagramm in Microsoft Office Word]GLO'!$C$47:$C$50</c:f>
                <c:numCache>
                  <c:formatCode>General</c:formatCode>
                  <c:ptCount val="4"/>
                  <c:pt idx="0">
                    <c:v>7.912943584124991</c:v>
                  </c:pt>
                  <c:pt idx="1">
                    <c:v>3.61709590528532</c:v>
                  </c:pt>
                  <c:pt idx="2">
                    <c:v>1.19931512692287</c:v>
                  </c:pt>
                  <c:pt idx="3">
                    <c:v>0.727049400055741</c:v>
                  </c:pt>
                </c:numCache>
              </c:numRef>
            </c:plus>
            <c:spPr>
              <a:ln w="3175">
                <a:solidFill>
                  <a:srgbClr val="000000"/>
                </a:solidFill>
                <a:prstDash val="solid"/>
              </a:ln>
            </c:spPr>
          </c:errBars>
          <c:cat>
            <c:strRef>
              <c:f>'[Diagramm in Microsoft Office Word]GLO'!$A$47:$A$50</c:f>
              <c:strCache>
                <c:ptCount val="4"/>
                <c:pt idx="0">
                  <c:v>2 mg/ml</c:v>
                </c:pt>
                <c:pt idx="1">
                  <c:v>1 mg/ml</c:v>
                </c:pt>
                <c:pt idx="2">
                  <c:v>0,2 mg/ml</c:v>
                </c:pt>
                <c:pt idx="3">
                  <c:v>0,04 mg/ml</c:v>
                </c:pt>
              </c:strCache>
            </c:strRef>
          </c:cat>
          <c:val>
            <c:numRef>
              <c:f>'[Diagramm in Microsoft Office Word]GLO'!$B$47:$B$50</c:f>
              <c:numCache>
                <c:formatCode>0.0</c:formatCode>
                <c:ptCount val="4"/>
                <c:pt idx="0">
                  <c:v>69.75421146406486</c:v>
                </c:pt>
                <c:pt idx="1">
                  <c:v>86.30559526068248</c:v>
                </c:pt>
                <c:pt idx="2">
                  <c:v>106.1948751287556</c:v>
                </c:pt>
                <c:pt idx="3">
                  <c:v>109.0765525887504</c:v>
                </c:pt>
              </c:numCache>
            </c:numRef>
          </c:val>
        </c:ser>
        <c:ser>
          <c:idx val="2"/>
          <c:order val="1"/>
          <c:tx>
            <c:v>Partikel aus PEA 07 (Cys) </c:v>
          </c:tx>
          <c:spPr>
            <a:solidFill>
              <a:schemeClr val="bg1">
                <a:lumMod val="65000"/>
              </a:schemeClr>
            </a:solidFill>
            <a:ln w="3175">
              <a:solidFill>
                <a:srgbClr val="666699"/>
              </a:solidFill>
              <a:prstDash val="solid"/>
            </a:ln>
          </c:spPr>
          <c:invertIfNegative val="0"/>
          <c:errBars>
            <c:errBarType val="plus"/>
            <c:errValType val="cust"/>
            <c:noEndCap val="0"/>
            <c:plus>
              <c:numRef>
                <c:f>'[Diagramm in Microsoft Office Word]GLO'!$U$47:$U$50</c:f>
                <c:numCache>
                  <c:formatCode>General</c:formatCode>
                  <c:ptCount val="4"/>
                  <c:pt idx="0">
                    <c:v>1.011996904866794</c:v>
                  </c:pt>
                  <c:pt idx="1">
                    <c:v>2.998418471598453</c:v>
                  </c:pt>
                  <c:pt idx="2">
                    <c:v>3.499579544596261</c:v>
                  </c:pt>
                  <c:pt idx="3">
                    <c:v>4.237616517659327</c:v>
                  </c:pt>
                </c:numCache>
              </c:numRef>
            </c:plus>
            <c:spPr>
              <a:ln w="3175">
                <a:solidFill>
                  <a:srgbClr val="000000"/>
                </a:solidFill>
                <a:prstDash val="solid"/>
              </a:ln>
            </c:spPr>
          </c:errBars>
          <c:cat>
            <c:strRef>
              <c:f>'[Diagramm in Microsoft Office Word]GLO'!$A$47:$A$50</c:f>
              <c:strCache>
                <c:ptCount val="4"/>
                <c:pt idx="0">
                  <c:v>2 mg/ml</c:v>
                </c:pt>
                <c:pt idx="1">
                  <c:v>1 mg/ml</c:v>
                </c:pt>
                <c:pt idx="2">
                  <c:v>0,2 mg/ml</c:v>
                </c:pt>
                <c:pt idx="3">
                  <c:v>0,04 mg/ml</c:v>
                </c:pt>
              </c:strCache>
            </c:strRef>
          </c:cat>
          <c:val>
            <c:numRef>
              <c:f>'[Diagramm in Microsoft Office Word]GLO'!$T$47:$T$50</c:f>
              <c:numCache>
                <c:formatCode>0.0</c:formatCode>
                <c:ptCount val="4"/>
                <c:pt idx="0">
                  <c:v>80.88653544339074</c:v>
                </c:pt>
                <c:pt idx="1">
                  <c:v>95.26284320883034</c:v>
                </c:pt>
                <c:pt idx="2">
                  <c:v>109.1998868857315</c:v>
                </c:pt>
                <c:pt idx="3">
                  <c:v>106.4063335158113</c:v>
                </c:pt>
              </c:numCache>
            </c:numRef>
          </c:val>
        </c:ser>
        <c:ser>
          <c:idx val="1"/>
          <c:order val="2"/>
          <c:tx>
            <c:v>Partikel PEA 09 (Cys)</c:v>
          </c:tx>
          <c:spPr>
            <a:solidFill>
              <a:schemeClr val="accent1"/>
            </a:solidFill>
          </c:spPr>
          <c:invertIfNegative val="0"/>
          <c:errBars>
            <c:errBarType val="plus"/>
            <c:errValType val="cust"/>
            <c:noEndCap val="0"/>
            <c:plus>
              <c:numRef>
                <c:f>'[Diagramm in Microsoft Office Word]GLO'!$X$53:$X$56</c:f>
                <c:numCache>
                  <c:formatCode>General</c:formatCode>
                  <c:ptCount val="4"/>
                  <c:pt idx="0">
                    <c:v>8.350000000000006</c:v>
                  </c:pt>
                  <c:pt idx="1">
                    <c:v>8.89</c:v>
                  </c:pt>
                  <c:pt idx="2">
                    <c:v>3.75</c:v>
                  </c:pt>
                  <c:pt idx="3">
                    <c:v>0.98</c:v>
                  </c:pt>
                </c:numCache>
              </c:numRef>
            </c:plus>
            <c:minus>
              <c:numRef>
                <c:f>'[Diagramm in Microsoft Office Word]GLO'!$X$53:$X$56</c:f>
                <c:numCache>
                  <c:formatCode>General</c:formatCode>
                  <c:ptCount val="4"/>
                  <c:pt idx="0">
                    <c:v>8.350000000000006</c:v>
                  </c:pt>
                  <c:pt idx="1">
                    <c:v>8.89</c:v>
                  </c:pt>
                  <c:pt idx="2">
                    <c:v>3.75</c:v>
                  </c:pt>
                  <c:pt idx="3">
                    <c:v>0.98</c:v>
                  </c:pt>
                </c:numCache>
              </c:numRef>
            </c:minus>
          </c:errBars>
          <c:cat>
            <c:strRef>
              <c:f>'[Diagramm in Microsoft Office Word]GLO'!$A$47:$A$50</c:f>
              <c:strCache>
                <c:ptCount val="4"/>
                <c:pt idx="0">
                  <c:v>2 mg/ml</c:v>
                </c:pt>
                <c:pt idx="1">
                  <c:v>1 mg/ml</c:v>
                </c:pt>
                <c:pt idx="2">
                  <c:v>0,2 mg/ml</c:v>
                </c:pt>
                <c:pt idx="3">
                  <c:v>0,04 mg/ml</c:v>
                </c:pt>
              </c:strCache>
            </c:strRef>
          </c:cat>
          <c:val>
            <c:numRef>
              <c:f>'[Diagramm in Microsoft Office Word]GLO'!$W$53:$W$56</c:f>
              <c:numCache>
                <c:formatCode>General</c:formatCode>
                <c:ptCount val="4"/>
                <c:pt idx="0">
                  <c:v>75.8</c:v>
                </c:pt>
                <c:pt idx="1">
                  <c:v>84.4</c:v>
                </c:pt>
                <c:pt idx="2">
                  <c:v>98.2</c:v>
                </c:pt>
                <c:pt idx="3">
                  <c:v>94.4</c:v>
                </c:pt>
              </c:numCache>
            </c:numRef>
          </c:val>
        </c:ser>
        <c:ser>
          <c:idx val="3"/>
          <c:order val="3"/>
          <c:tx>
            <c:v>PVA Kontrolle</c:v>
          </c:tx>
          <c:spPr>
            <a:solidFill>
              <a:schemeClr val="accent4">
                <a:lumMod val="40000"/>
                <a:lumOff val="60000"/>
              </a:schemeClr>
            </a:solidFill>
          </c:spPr>
          <c:invertIfNegative val="0"/>
          <c:errBars>
            <c:errBarType val="plus"/>
            <c:errValType val="cust"/>
            <c:noEndCap val="0"/>
            <c:plus>
              <c:numRef>
                <c:f>'[Diagramm in Microsoft Office Word]GLO'!$L$47:$L$50</c:f>
                <c:numCache>
                  <c:formatCode>General</c:formatCode>
                  <c:ptCount val="4"/>
                  <c:pt idx="0">
                    <c:v>2.366036246985187</c:v>
                  </c:pt>
                  <c:pt idx="1">
                    <c:v>2.853933122444149</c:v>
                  </c:pt>
                  <c:pt idx="2">
                    <c:v>2.850663212666479</c:v>
                  </c:pt>
                  <c:pt idx="3">
                    <c:v>3.292138002268774</c:v>
                  </c:pt>
                </c:numCache>
              </c:numRef>
            </c:plus>
            <c:minus>
              <c:numRef>
                <c:f>'[Diagramm in Microsoft Office Word]GLO'!$L$47:$L$50</c:f>
                <c:numCache>
                  <c:formatCode>General</c:formatCode>
                  <c:ptCount val="4"/>
                  <c:pt idx="0">
                    <c:v>2.366036246985187</c:v>
                  </c:pt>
                  <c:pt idx="1">
                    <c:v>2.853933122444149</c:v>
                  </c:pt>
                  <c:pt idx="2">
                    <c:v>2.850663212666479</c:v>
                  </c:pt>
                  <c:pt idx="3">
                    <c:v>3.292138002268774</c:v>
                  </c:pt>
                </c:numCache>
              </c:numRef>
            </c:minus>
          </c:errBars>
          <c:cat>
            <c:strRef>
              <c:f>'[Diagramm in Microsoft Office Word]GLO'!$A$47:$A$50</c:f>
              <c:strCache>
                <c:ptCount val="4"/>
                <c:pt idx="0">
                  <c:v>2 mg/ml</c:v>
                </c:pt>
                <c:pt idx="1">
                  <c:v>1 mg/ml</c:v>
                </c:pt>
                <c:pt idx="2">
                  <c:v>0,2 mg/ml</c:v>
                </c:pt>
                <c:pt idx="3">
                  <c:v>0,04 mg/ml</c:v>
                </c:pt>
              </c:strCache>
            </c:strRef>
          </c:cat>
          <c:val>
            <c:numRef>
              <c:f>'[Diagramm in Microsoft Office Word]GLO'!$K$47:$K$50</c:f>
              <c:numCache>
                <c:formatCode>0.0</c:formatCode>
                <c:ptCount val="4"/>
                <c:pt idx="0">
                  <c:v>113.6187796812581</c:v>
                </c:pt>
                <c:pt idx="1">
                  <c:v>111.3180036057145</c:v>
                </c:pt>
                <c:pt idx="2">
                  <c:v>114.5704409958156</c:v>
                </c:pt>
                <c:pt idx="3">
                  <c:v>114.1397882277565</c:v>
                </c:pt>
              </c:numCache>
            </c:numRef>
          </c:val>
        </c:ser>
        <c:dLbls>
          <c:showLegendKey val="0"/>
          <c:showVal val="0"/>
          <c:showCatName val="0"/>
          <c:showSerName val="0"/>
          <c:showPercent val="0"/>
          <c:showBubbleSize val="0"/>
        </c:dLbls>
        <c:gapWidth val="150"/>
        <c:axId val="2106646328"/>
        <c:axId val="2106649736"/>
      </c:barChart>
      <c:catAx>
        <c:axId val="2106646328"/>
        <c:scaling>
          <c:orientation val="minMax"/>
        </c:scaling>
        <c:delete val="0"/>
        <c:axPos val="b"/>
        <c:numFmt formatCode="General" sourceLinked="1"/>
        <c:majorTickMark val="out"/>
        <c:minorTickMark val="none"/>
        <c:tickLblPos val="nextTo"/>
        <c:spPr>
          <a:ln w="3175">
            <a:solidFill>
              <a:srgbClr val="808080"/>
            </a:solidFill>
            <a:prstDash val="solid"/>
          </a:ln>
        </c:spPr>
        <c:txPr>
          <a:bodyPr rot="-1740000"/>
          <a:lstStyle/>
          <a:p>
            <a:pPr>
              <a:defRPr/>
            </a:pPr>
            <a:endParaRPr lang="de-DE"/>
          </a:p>
        </c:txPr>
        <c:crossAx val="2106649736"/>
        <c:crosses val="autoZero"/>
        <c:auto val="1"/>
        <c:lblAlgn val="ctr"/>
        <c:lblOffset val="100"/>
        <c:noMultiLvlLbl val="0"/>
      </c:catAx>
      <c:valAx>
        <c:axId val="2106649736"/>
        <c:scaling>
          <c:orientation val="minMax"/>
          <c:max val="130.0"/>
          <c:min val="0.0"/>
        </c:scaling>
        <c:delete val="0"/>
        <c:axPos val="l"/>
        <c:majorGridlines>
          <c:spPr>
            <a:ln w="3175">
              <a:solidFill>
                <a:srgbClr val="808080"/>
              </a:solidFill>
              <a:prstDash val="solid"/>
            </a:ln>
          </c:spPr>
        </c:majorGridlines>
        <c:title>
          <c:tx>
            <c:rich>
              <a:bodyPr rot="-5400000" vert="horz"/>
              <a:lstStyle/>
              <a:p>
                <a:pPr>
                  <a:defRPr/>
                </a:pPr>
                <a:r>
                  <a:rPr lang="en-US"/>
                  <a:t>Viabilität [%]</a:t>
                </a:r>
              </a:p>
            </c:rich>
          </c:tx>
          <c:layout/>
          <c:overlay val="0"/>
          <c:spPr>
            <a:noFill/>
            <a:ln w="25400">
              <a:noFill/>
            </a:ln>
          </c:spPr>
        </c:title>
        <c:numFmt formatCode="0.0" sourceLinked="1"/>
        <c:majorTickMark val="out"/>
        <c:minorTickMark val="none"/>
        <c:tickLblPos val="nextTo"/>
        <c:spPr>
          <a:ln w="3175">
            <a:solidFill>
              <a:srgbClr val="808080"/>
            </a:solidFill>
            <a:prstDash val="solid"/>
          </a:ln>
        </c:spPr>
        <c:crossAx val="2106646328"/>
        <c:crosses val="autoZero"/>
        <c:crossBetween val="between"/>
        <c:majorUnit val="10.0"/>
      </c:valAx>
      <c:spPr>
        <a:noFill/>
        <a:ln w="25400">
          <a:noFill/>
        </a:ln>
      </c:spPr>
    </c:plotArea>
    <c:legend>
      <c:legendPos val="r"/>
      <c:layout>
        <c:manualLayout>
          <c:xMode val="edge"/>
          <c:yMode val="edge"/>
          <c:x val="0.217588600036107"/>
          <c:y val="0.0202190395956192"/>
          <c:w val="0.562618561568693"/>
          <c:h val="0.112359373617624"/>
        </c:manualLayout>
      </c:layout>
      <c:overlay val="0"/>
      <c:spPr>
        <a:noFill/>
        <a:ln w="25400">
          <a:noFill/>
        </a:ln>
      </c:spPr>
    </c:legend>
    <c:plotVisOnly val="1"/>
    <c:dispBlanksAs val="zero"/>
    <c:showDLblsOverMax val="0"/>
  </c:chart>
  <c:spPr>
    <a:solidFill>
      <a:srgbClr val="FFFFFF"/>
    </a:solidFill>
    <a:ln w="3175">
      <a:noFill/>
      <a:prstDash val="solid"/>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902470524518"/>
          <c:y val="0.250680217967276"/>
          <c:w val="0.825948145370718"/>
          <c:h val="0.574303265876232"/>
        </c:manualLayout>
      </c:layout>
      <c:scatterChart>
        <c:scatterStyle val="smoothMarker"/>
        <c:varyColors val="0"/>
        <c:ser>
          <c:idx val="1"/>
          <c:order val="0"/>
          <c:tx>
            <c:strRef>
              <c:f>'2014-03-17_redisp'!$C$88</c:f>
              <c:strCache>
                <c:ptCount val="1"/>
                <c:pt idx="0">
                  <c:v>Nanopartikel ohne Eudragit</c:v>
                </c:pt>
              </c:strCache>
            </c:strRef>
          </c:tx>
          <c:spPr>
            <a:ln w="15875">
              <a:solidFill>
                <a:srgbClr val="C10000"/>
              </a:solidFill>
            </a:ln>
          </c:spPr>
          <c:marker>
            <c:symbol val="none"/>
          </c:marker>
          <c:xVal>
            <c:numRef>
              <c:f>'2014-03-17_redisp'!$A$113:$A$149</c:f>
              <c:numCache>
                <c:formatCode>General</c:formatCode>
                <c:ptCount val="37"/>
                <c:pt idx="0">
                  <c:v>29.55</c:v>
                </c:pt>
                <c:pt idx="1">
                  <c:v>33.22000000000001</c:v>
                </c:pt>
                <c:pt idx="2">
                  <c:v>37.34</c:v>
                </c:pt>
                <c:pt idx="3">
                  <c:v>41.98</c:v>
                </c:pt>
                <c:pt idx="4">
                  <c:v>47.2</c:v>
                </c:pt>
                <c:pt idx="5">
                  <c:v>53.06</c:v>
                </c:pt>
                <c:pt idx="6">
                  <c:v>59.65</c:v>
                </c:pt>
                <c:pt idx="7">
                  <c:v>67.06</c:v>
                </c:pt>
                <c:pt idx="8">
                  <c:v>75.39</c:v>
                </c:pt>
                <c:pt idx="9">
                  <c:v>84.75</c:v>
                </c:pt>
                <c:pt idx="10">
                  <c:v>95.28</c:v>
                </c:pt>
                <c:pt idx="11">
                  <c:v>107.11</c:v>
                </c:pt>
                <c:pt idx="12">
                  <c:v>120.42</c:v>
                </c:pt>
                <c:pt idx="13">
                  <c:v>135.3800000000006</c:v>
                </c:pt>
                <c:pt idx="14">
                  <c:v>152.19</c:v>
                </c:pt>
                <c:pt idx="15">
                  <c:v>171.09</c:v>
                </c:pt>
                <c:pt idx="16">
                  <c:v>192.3500000000006</c:v>
                </c:pt>
                <c:pt idx="17">
                  <c:v>216.24</c:v>
                </c:pt>
                <c:pt idx="18">
                  <c:v>243.1</c:v>
                </c:pt>
                <c:pt idx="19">
                  <c:v>273.2899999999988</c:v>
                </c:pt>
                <c:pt idx="20">
                  <c:v>307.2299999999988</c:v>
                </c:pt>
                <c:pt idx="21">
                  <c:v>345.4</c:v>
                </c:pt>
                <c:pt idx="22">
                  <c:v>388.3</c:v>
                </c:pt>
                <c:pt idx="23">
                  <c:v>436.53</c:v>
                </c:pt>
                <c:pt idx="24">
                  <c:v>490.75</c:v>
                </c:pt>
                <c:pt idx="25">
                  <c:v>551.71</c:v>
                </c:pt>
                <c:pt idx="26">
                  <c:v>620.23</c:v>
                </c:pt>
                <c:pt idx="27">
                  <c:v>697.2700000000005</c:v>
                </c:pt>
                <c:pt idx="28">
                  <c:v>783.88</c:v>
                </c:pt>
                <c:pt idx="29">
                  <c:v>881.25</c:v>
                </c:pt>
                <c:pt idx="30">
                  <c:v>990.71</c:v>
                </c:pt>
                <c:pt idx="31">
                  <c:v>1113.76</c:v>
                </c:pt>
                <c:pt idx="32">
                  <c:v>1252.1</c:v>
                </c:pt>
                <c:pt idx="33">
                  <c:v>1407.63</c:v>
                </c:pt>
                <c:pt idx="34">
                  <c:v>1582.47</c:v>
                </c:pt>
                <c:pt idx="35">
                  <c:v>1779.03</c:v>
                </c:pt>
                <c:pt idx="36">
                  <c:v>2000.0</c:v>
                </c:pt>
              </c:numCache>
            </c:numRef>
          </c:xVal>
          <c:yVal>
            <c:numRef>
              <c:f>'2014-03-17_redisp'!$B$113:$B$149</c:f>
              <c:numCache>
                <c:formatCode>General</c:formatCode>
                <c:ptCount val="37"/>
                <c:pt idx="0">
                  <c:v>0.0</c:v>
                </c:pt>
                <c:pt idx="1">
                  <c:v>0.0</c:v>
                </c:pt>
                <c:pt idx="2">
                  <c:v>0.0</c:v>
                </c:pt>
                <c:pt idx="3">
                  <c:v>0.0</c:v>
                </c:pt>
                <c:pt idx="4">
                  <c:v>0.0</c:v>
                </c:pt>
                <c:pt idx="5">
                  <c:v>0.0</c:v>
                </c:pt>
                <c:pt idx="6">
                  <c:v>0.0</c:v>
                </c:pt>
                <c:pt idx="7">
                  <c:v>0.02</c:v>
                </c:pt>
                <c:pt idx="8">
                  <c:v>0.02</c:v>
                </c:pt>
                <c:pt idx="9">
                  <c:v>0.03</c:v>
                </c:pt>
                <c:pt idx="10">
                  <c:v>0.0</c:v>
                </c:pt>
                <c:pt idx="11">
                  <c:v>0.0</c:v>
                </c:pt>
                <c:pt idx="12">
                  <c:v>0.0</c:v>
                </c:pt>
                <c:pt idx="13">
                  <c:v>0.0</c:v>
                </c:pt>
                <c:pt idx="14">
                  <c:v>0.0</c:v>
                </c:pt>
                <c:pt idx="15">
                  <c:v>0.0</c:v>
                </c:pt>
                <c:pt idx="16">
                  <c:v>0.0</c:v>
                </c:pt>
                <c:pt idx="17">
                  <c:v>0.0</c:v>
                </c:pt>
                <c:pt idx="18">
                  <c:v>0.12</c:v>
                </c:pt>
                <c:pt idx="19">
                  <c:v>0.54</c:v>
                </c:pt>
                <c:pt idx="20">
                  <c:v>0.88</c:v>
                </c:pt>
                <c:pt idx="21">
                  <c:v>1.0</c:v>
                </c:pt>
                <c:pt idx="22">
                  <c:v>0.600000000000002</c:v>
                </c:pt>
                <c:pt idx="23">
                  <c:v>0.24</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numCache>
            </c:numRef>
          </c:yVal>
          <c:smooth val="1"/>
        </c:ser>
        <c:ser>
          <c:idx val="2"/>
          <c:order val="1"/>
          <c:tx>
            <c:strRef>
              <c:f>'2014-06-24_L30D55_HCL'!$D$4</c:f>
              <c:strCache>
                <c:ptCount val="1"/>
                <c:pt idx="0">
                  <c:v>L30D-55 Mikropartikel in HCL pH 1</c:v>
                </c:pt>
              </c:strCache>
            </c:strRef>
          </c:tx>
          <c:spPr>
            <a:ln w="15875">
              <a:solidFill>
                <a:sysClr val="windowText" lastClr="000000"/>
              </a:solidFill>
            </a:ln>
          </c:spPr>
          <c:marker>
            <c:symbol val="none"/>
          </c:marker>
          <c:xVal>
            <c:numRef>
              <c:f>'2014-06-24_L30D55_HCL'!$A$29:$A$65</c:f>
              <c:numCache>
                <c:formatCode>General</c:formatCode>
                <c:ptCount val="37"/>
                <c:pt idx="0">
                  <c:v>29.55</c:v>
                </c:pt>
                <c:pt idx="1">
                  <c:v>33.22000000000001</c:v>
                </c:pt>
                <c:pt idx="2">
                  <c:v>37.34</c:v>
                </c:pt>
                <c:pt idx="3">
                  <c:v>41.98</c:v>
                </c:pt>
                <c:pt idx="4">
                  <c:v>47.2</c:v>
                </c:pt>
                <c:pt idx="5">
                  <c:v>53.06</c:v>
                </c:pt>
                <c:pt idx="6">
                  <c:v>59.65</c:v>
                </c:pt>
                <c:pt idx="7">
                  <c:v>67.06</c:v>
                </c:pt>
                <c:pt idx="8">
                  <c:v>75.39</c:v>
                </c:pt>
                <c:pt idx="9">
                  <c:v>84.75</c:v>
                </c:pt>
                <c:pt idx="10">
                  <c:v>95.28</c:v>
                </c:pt>
                <c:pt idx="11">
                  <c:v>107.11</c:v>
                </c:pt>
                <c:pt idx="12">
                  <c:v>120.42</c:v>
                </c:pt>
                <c:pt idx="13">
                  <c:v>135.3800000000006</c:v>
                </c:pt>
                <c:pt idx="14">
                  <c:v>152.19</c:v>
                </c:pt>
                <c:pt idx="15">
                  <c:v>171.09</c:v>
                </c:pt>
                <c:pt idx="16">
                  <c:v>192.3500000000006</c:v>
                </c:pt>
                <c:pt idx="17">
                  <c:v>216.24</c:v>
                </c:pt>
                <c:pt idx="18">
                  <c:v>243.1</c:v>
                </c:pt>
                <c:pt idx="19">
                  <c:v>273.2899999999988</c:v>
                </c:pt>
                <c:pt idx="20">
                  <c:v>307.2299999999988</c:v>
                </c:pt>
                <c:pt idx="21">
                  <c:v>345.4</c:v>
                </c:pt>
                <c:pt idx="22">
                  <c:v>388.3</c:v>
                </c:pt>
                <c:pt idx="23">
                  <c:v>436.53</c:v>
                </c:pt>
                <c:pt idx="24">
                  <c:v>490.75</c:v>
                </c:pt>
                <c:pt idx="25">
                  <c:v>551.71</c:v>
                </c:pt>
                <c:pt idx="26">
                  <c:v>620.23</c:v>
                </c:pt>
                <c:pt idx="27">
                  <c:v>697.2700000000005</c:v>
                </c:pt>
                <c:pt idx="28">
                  <c:v>783.88</c:v>
                </c:pt>
                <c:pt idx="29">
                  <c:v>881.25</c:v>
                </c:pt>
                <c:pt idx="30">
                  <c:v>990.71</c:v>
                </c:pt>
                <c:pt idx="31">
                  <c:v>1113.76</c:v>
                </c:pt>
                <c:pt idx="32">
                  <c:v>1252.1</c:v>
                </c:pt>
                <c:pt idx="33">
                  <c:v>1407.63</c:v>
                </c:pt>
                <c:pt idx="34">
                  <c:v>1582.47</c:v>
                </c:pt>
                <c:pt idx="35">
                  <c:v>1779.03</c:v>
                </c:pt>
                <c:pt idx="36">
                  <c:v>2000.0</c:v>
                </c:pt>
              </c:numCache>
            </c:numRef>
          </c:xVal>
          <c:yVal>
            <c:numRef>
              <c:f>'2014-06-24_L30D55_HCL'!$C$29:$C$65</c:f>
              <c:numCache>
                <c:formatCode>General</c:formatCode>
                <c:ptCount val="37"/>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0.13</c:v>
                </c:pt>
                <c:pt idx="33">
                  <c:v>0.42</c:v>
                </c:pt>
                <c:pt idx="34">
                  <c:v>1.0</c:v>
                </c:pt>
                <c:pt idx="35">
                  <c:v>0.98</c:v>
                </c:pt>
                <c:pt idx="36">
                  <c:v>0.720000000000002</c:v>
                </c:pt>
              </c:numCache>
            </c:numRef>
          </c:yVal>
          <c:smooth val="1"/>
        </c:ser>
        <c:ser>
          <c:idx val="0"/>
          <c:order val="2"/>
          <c:tx>
            <c:strRef>
              <c:f>'2014-07-07_L30D55_PBS'!$C$5</c:f>
              <c:strCache>
                <c:ptCount val="1"/>
                <c:pt idx="0">
                  <c:v>L30D-55 Mikropartikel in PBS pH 6,8</c:v>
                </c:pt>
              </c:strCache>
            </c:strRef>
          </c:tx>
          <c:spPr>
            <a:ln w="15875">
              <a:solidFill>
                <a:srgbClr val="0000FF"/>
              </a:solidFill>
            </a:ln>
          </c:spPr>
          <c:marker>
            <c:symbol val="none"/>
          </c:marker>
          <c:xVal>
            <c:numRef>
              <c:f>'2014-07-07_L30D55_PBS'!$A$30:$A$66</c:f>
              <c:numCache>
                <c:formatCode>General</c:formatCode>
                <c:ptCount val="37"/>
                <c:pt idx="0">
                  <c:v>29.55</c:v>
                </c:pt>
                <c:pt idx="1">
                  <c:v>33.22000000000001</c:v>
                </c:pt>
                <c:pt idx="2">
                  <c:v>37.34</c:v>
                </c:pt>
                <c:pt idx="3">
                  <c:v>41.98</c:v>
                </c:pt>
                <c:pt idx="4">
                  <c:v>47.2</c:v>
                </c:pt>
                <c:pt idx="5">
                  <c:v>53.06</c:v>
                </c:pt>
                <c:pt idx="6">
                  <c:v>59.65</c:v>
                </c:pt>
                <c:pt idx="7">
                  <c:v>67.06</c:v>
                </c:pt>
                <c:pt idx="8">
                  <c:v>75.39</c:v>
                </c:pt>
                <c:pt idx="9">
                  <c:v>84.75</c:v>
                </c:pt>
                <c:pt idx="10">
                  <c:v>95.28</c:v>
                </c:pt>
                <c:pt idx="11">
                  <c:v>107.11</c:v>
                </c:pt>
                <c:pt idx="12">
                  <c:v>120.42</c:v>
                </c:pt>
                <c:pt idx="13">
                  <c:v>135.3800000000006</c:v>
                </c:pt>
                <c:pt idx="14">
                  <c:v>152.19</c:v>
                </c:pt>
                <c:pt idx="15">
                  <c:v>171.09</c:v>
                </c:pt>
                <c:pt idx="16">
                  <c:v>192.3500000000006</c:v>
                </c:pt>
                <c:pt idx="17">
                  <c:v>216.24</c:v>
                </c:pt>
                <c:pt idx="18">
                  <c:v>243.1</c:v>
                </c:pt>
                <c:pt idx="19">
                  <c:v>273.2899999999988</c:v>
                </c:pt>
                <c:pt idx="20">
                  <c:v>307.2299999999988</c:v>
                </c:pt>
                <c:pt idx="21">
                  <c:v>345.4</c:v>
                </c:pt>
                <c:pt idx="22">
                  <c:v>388.3</c:v>
                </c:pt>
                <c:pt idx="23">
                  <c:v>436.53</c:v>
                </c:pt>
                <c:pt idx="24">
                  <c:v>490.75</c:v>
                </c:pt>
                <c:pt idx="25">
                  <c:v>551.71</c:v>
                </c:pt>
                <c:pt idx="26">
                  <c:v>620.23</c:v>
                </c:pt>
                <c:pt idx="27">
                  <c:v>697.2700000000005</c:v>
                </c:pt>
                <c:pt idx="28">
                  <c:v>783.88</c:v>
                </c:pt>
                <c:pt idx="29">
                  <c:v>881.25</c:v>
                </c:pt>
                <c:pt idx="30">
                  <c:v>990.71</c:v>
                </c:pt>
                <c:pt idx="31">
                  <c:v>1113.76</c:v>
                </c:pt>
                <c:pt idx="32">
                  <c:v>1252.1</c:v>
                </c:pt>
                <c:pt idx="33">
                  <c:v>1407.63</c:v>
                </c:pt>
                <c:pt idx="34">
                  <c:v>1582.47</c:v>
                </c:pt>
                <c:pt idx="35">
                  <c:v>1779.03</c:v>
                </c:pt>
                <c:pt idx="36">
                  <c:v>2000.0</c:v>
                </c:pt>
              </c:numCache>
            </c:numRef>
          </c:xVal>
          <c:yVal>
            <c:numRef>
              <c:f>'2014-07-07_L30D55_PBS'!$B$30:$B$66</c:f>
              <c:numCache>
                <c:formatCode>General</c:formatCode>
                <c:ptCount val="37"/>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0.04</c:v>
                </c:pt>
                <c:pt idx="19">
                  <c:v>0.320000000000001</c:v>
                </c:pt>
                <c:pt idx="20">
                  <c:v>0.670000000000002</c:v>
                </c:pt>
                <c:pt idx="21">
                  <c:v>1.0</c:v>
                </c:pt>
                <c:pt idx="22">
                  <c:v>0.720000000000002</c:v>
                </c:pt>
                <c:pt idx="23">
                  <c:v>0.37</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numCache>
            </c:numRef>
          </c:yVal>
          <c:smooth val="1"/>
        </c:ser>
        <c:dLbls>
          <c:showLegendKey val="0"/>
          <c:showVal val="0"/>
          <c:showCatName val="0"/>
          <c:showSerName val="0"/>
          <c:showPercent val="0"/>
          <c:showBubbleSize val="0"/>
        </c:dLbls>
        <c:axId val="2106712872"/>
        <c:axId val="2106718520"/>
      </c:scatterChart>
      <c:valAx>
        <c:axId val="2106712872"/>
        <c:scaling>
          <c:orientation val="minMax"/>
          <c:max val="2200.0"/>
          <c:min val="0.0"/>
        </c:scaling>
        <c:delete val="0"/>
        <c:axPos val="b"/>
        <c:title>
          <c:tx>
            <c:rich>
              <a:bodyPr/>
              <a:lstStyle/>
              <a:p>
                <a:pPr>
                  <a:defRPr sz="1000" baseline="0"/>
                </a:pPr>
                <a:r>
                  <a:rPr lang="de-DE" sz="1000" baseline="0"/>
                  <a:t>Mittlerer Partikeldurchmesser [nm]</a:t>
                </a:r>
              </a:p>
            </c:rich>
          </c:tx>
          <c:layout>
            <c:manualLayout>
              <c:xMode val="edge"/>
              <c:yMode val="edge"/>
              <c:x val="0.354085164056426"/>
              <c:y val="0.927389039209919"/>
            </c:manualLayout>
          </c:layout>
          <c:overlay val="0"/>
        </c:title>
        <c:numFmt formatCode="General" sourceLinked="1"/>
        <c:majorTickMark val="out"/>
        <c:minorTickMark val="none"/>
        <c:tickLblPos val="nextTo"/>
        <c:spPr>
          <a:ln w="6350"/>
        </c:spPr>
        <c:txPr>
          <a:bodyPr/>
          <a:lstStyle/>
          <a:p>
            <a:pPr>
              <a:defRPr sz="900" baseline="0"/>
            </a:pPr>
            <a:endParaRPr lang="de-DE"/>
          </a:p>
        </c:txPr>
        <c:crossAx val="2106718520"/>
        <c:crosses val="autoZero"/>
        <c:crossBetween val="midCat"/>
        <c:majorUnit val="200.0"/>
      </c:valAx>
      <c:valAx>
        <c:axId val="2106718520"/>
        <c:scaling>
          <c:orientation val="minMax"/>
          <c:max val="1.1"/>
          <c:min val="0.0"/>
        </c:scaling>
        <c:delete val="0"/>
        <c:axPos val="l"/>
        <c:majorGridlines/>
        <c:title>
          <c:tx>
            <c:rich>
              <a:bodyPr rot="-5400000" vert="horz"/>
              <a:lstStyle/>
              <a:p>
                <a:pPr>
                  <a:defRPr sz="1000" baseline="0"/>
                </a:pPr>
                <a:r>
                  <a:rPr lang="de-DE" sz="1000" baseline="0"/>
                  <a:t>rel. Häufigkeit [%]</a:t>
                </a:r>
              </a:p>
            </c:rich>
          </c:tx>
          <c:layout>
            <c:manualLayout>
              <c:xMode val="edge"/>
              <c:yMode val="edge"/>
              <c:x val="0.0147257492801824"/>
              <c:y val="0.41238652131128"/>
            </c:manualLayout>
          </c:layout>
          <c:overlay val="0"/>
        </c:title>
        <c:numFmt formatCode="General" sourceLinked="1"/>
        <c:majorTickMark val="out"/>
        <c:minorTickMark val="none"/>
        <c:tickLblPos val="nextTo"/>
        <c:txPr>
          <a:bodyPr/>
          <a:lstStyle/>
          <a:p>
            <a:pPr>
              <a:defRPr sz="900" baseline="0"/>
            </a:pPr>
            <a:endParaRPr lang="de-DE"/>
          </a:p>
        </c:txPr>
        <c:crossAx val="2106712872"/>
        <c:crosses val="autoZero"/>
        <c:crossBetween val="midCat"/>
        <c:majorUnit val="0.3"/>
      </c:valAx>
    </c:plotArea>
    <c:legend>
      <c:legendPos val="b"/>
      <c:layout>
        <c:manualLayout>
          <c:xMode val="edge"/>
          <c:yMode val="edge"/>
          <c:x val="0.123677736833422"/>
          <c:y val="0.0470263386057771"/>
          <c:w val="0.748782348496518"/>
          <c:h val="0.142048648743557"/>
        </c:manualLayout>
      </c:layout>
      <c:overlay val="0"/>
      <c:txPr>
        <a:bodyPr/>
        <a:lstStyle/>
        <a:p>
          <a:pPr>
            <a:defRPr sz="900"/>
          </a:pPr>
          <a:endParaRPr lang="de-DE"/>
        </a:p>
      </c:txPr>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C2FE57-2C1C-874B-83EF-BF7343A684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206</Pages>
  <Words>60413</Words>
  <Characters>380603</Characters>
  <Application>Microsoft Macintosh Word</Application>
  <DocSecurity>0</DocSecurity>
  <Lines>3171</Lines>
  <Paragraphs>880</Paragraphs>
  <ScaleCrop>false</ScaleCrop>
  <HeadingPairs>
    <vt:vector size="2" baseType="variant">
      <vt:variant>
        <vt:lpstr>Titel</vt:lpstr>
      </vt:variant>
      <vt:variant>
        <vt:i4>1</vt:i4>
      </vt:variant>
    </vt:vector>
  </HeadingPairs>
  <TitlesOfParts>
    <vt:vector size="1" baseType="lpstr">
      <vt:lpstr/>
    </vt:vector>
  </TitlesOfParts>
  <Company>Evonik Industries AG</Company>
  <LinksUpToDate>false</LinksUpToDate>
  <CharactersWithSpaces>440136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Andreas Kirchner</dc:creator>
  <cp:lastModifiedBy>Andreas Kirchner</cp:lastModifiedBy>
  <cp:revision>6</cp:revision>
  <cp:lastPrinted>2015-06-18T22:43:00Z</cp:lastPrinted>
  <dcterms:created xsi:type="dcterms:W3CDTF">2015-06-18T19:03:00Z</dcterms:created>
  <dcterms:modified xsi:type="dcterms:W3CDTF">2015-06-18T23:29:00Z</dcterms:modified>
</cp:coreProperties>
</file>